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line="219" w:lineRule="auto"/>
        <w:rPr>
          <w:sz w:val="20"/>
          <w:szCs w:val="20"/>
          <w:color w:val="auto"/>
        </w:rPr>
      </w:pPr>
      <w:r>
        <w:rPr>
          <w:rFonts w:ascii="Calibri" w:cs="Calibri" w:eastAsia="Calibri" w:hAnsi="Calibri"/>
          <w:sz w:val="29"/>
          <w:szCs w:val="29"/>
          <w:b w:val="1"/>
          <w:bCs w:val="1"/>
          <w:color w:val="auto"/>
        </w:rPr>
        <w:t>SECURITIES AND EXCHANGE COMMISSION</w:t>
      </w:r>
    </w:p>
    <w:p>
      <w:pPr>
        <w:jc w:val="center"/>
        <w:spacing w:after="0"/>
        <w:rPr>
          <w:sz w:val="20"/>
          <w:szCs w:val="20"/>
          <w:color w:val="auto"/>
        </w:rPr>
      </w:pPr>
      <w:r>
        <w:rPr>
          <w:rFonts w:ascii="Calibri" w:cs="Calibri" w:eastAsia="Calibri" w:hAnsi="Calibri"/>
          <w:sz w:val="22"/>
          <w:szCs w:val="22"/>
          <w:b w:val="1"/>
          <w:bCs w:val="1"/>
          <w:color w:val="auto"/>
        </w:rPr>
        <w:t>WASHINGTON, DC 20549</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357"/>
        </w:trPr>
        <w:tc>
          <w:tcPr>
            <w:tcW w:w="32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3"/>
          </w:tcPr>
          <w:p>
            <w:pPr>
              <w:jc w:val="center"/>
              <w:ind w:right="520"/>
              <w:spacing w:after="0"/>
              <w:rPr>
                <w:sz w:val="20"/>
                <w:szCs w:val="20"/>
                <w:color w:val="auto"/>
              </w:rPr>
            </w:pPr>
            <w:r>
              <w:rPr>
                <w:rFonts w:ascii="Calibri" w:cs="Calibri" w:eastAsia="Calibri" w:hAnsi="Calibri"/>
                <w:sz w:val="29"/>
                <w:szCs w:val="29"/>
                <w:b w:val="1"/>
                <w:bCs w:val="1"/>
                <w:color w:val="auto"/>
                <w:w w:val="99"/>
              </w:rPr>
              <w:t>FORM 10-Q</w:t>
            </w:r>
          </w:p>
        </w:tc>
        <w:tc>
          <w:tcPr>
            <w:tcW w:w="3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auto"/>
            </w:tcBorders>
            <w:gridSpan w:val="2"/>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3860" w:type="dxa"/>
            <w:vAlign w:val="bottom"/>
            <w:gridSpan w:val="2"/>
          </w:tcPr>
          <w:p>
            <w:pPr>
              <w:spacing w:after="0" w:line="102" w:lineRule="exact"/>
              <w:rPr>
                <w:sz w:val="20"/>
                <w:szCs w:val="20"/>
                <w:color w:val="auto"/>
              </w:rPr>
            </w:pPr>
            <w:r>
              <w:rPr>
                <w:rFonts w:ascii="Calibri" w:cs="Calibri" w:eastAsia="Calibri" w:hAnsi="Calibri"/>
                <w:sz w:val="11"/>
                <w:szCs w:val="11"/>
                <w:b w:val="1"/>
                <w:bCs w:val="1"/>
                <w:color w:val="auto"/>
              </w:rPr>
              <w:t>(Mark One)</w:t>
            </w: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20" w:type="dxa"/>
            <w:vAlign w:val="bottom"/>
          </w:tcPr>
          <w:p>
            <w:pPr>
              <w:ind w:left="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7060" w:type="dxa"/>
            <w:vAlign w:val="bottom"/>
            <w:gridSpan w:val="6"/>
          </w:tcPr>
          <w:p>
            <w:pPr>
              <w:ind w:left="160"/>
              <w:spacing w:after="0"/>
              <w:rPr>
                <w:sz w:val="20"/>
                <w:szCs w:val="20"/>
                <w:color w:val="auto"/>
              </w:rPr>
            </w:pPr>
            <w:r>
              <w:rPr>
                <w:rFonts w:ascii="Calibri" w:cs="Calibri" w:eastAsia="Calibri" w:hAnsi="Calibri"/>
                <w:sz w:val="14"/>
                <w:szCs w:val="14"/>
                <w:b w:val="1"/>
                <w:bCs w:val="1"/>
                <w:color w:val="auto"/>
              </w:rPr>
              <w:t>QUARTERLY REPORT PURSUANT TO SECTION 13 OR 15(d) OF THE SECURITIES EXCHANGE ACT OF 1934</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2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For the quarterly period ended March 31, 2022</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tcPr>
          <w:p>
            <w:pPr>
              <w:jc w:val="center"/>
              <w:ind w:right="520"/>
              <w:spacing w:after="0" w:line="168" w:lineRule="exact"/>
              <w:rPr>
                <w:sz w:val="20"/>
                <w:szCs w:val="20"/>
                <w:color w:val="auto"/>
              </w:rPr>
            </w:pPr>
            <w:r>
              <w:rPr>
                <w:rFonts w:ascii="Calibri" w:cs="Calibri" w:eastAsia="Calibri" w:hAnsi="Calibri"/>
                <w:sz w:val="14"/>
                <w:szCs w:val="14"/>
                <w:b w:val="1"/>
                <w:bCs w:val="1"/>
                <w:color w:val="auto"/>
              </w:rPr>
              <w:t>OR</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vMerge w:val="continue"/>
          </w:tcPr>
          <w:p>
            <w:pPr>
              <w:spacing w:after="0"/>
              <w:rPr>
                <w:sz w:val="14"/>
                <w:szCs w:val="14"/>
                <w:color w:val="auto"/>
              </w:rPr>
            </w:pPr>
          </w:p>
        </w:tc>
        <w:tc>
          <w:tcPr>
            <w:tcW w:w="7060" w:type="dxa"/>
            <w:vAlign w:val="bottom"/>
            <w:gridSpan w:val="6"/>
          </w:tcPr>
          <w:p>
            <w:pPr>
              <w:ind w:left="160"/>
              <w:spacing w:after="0" w:line="162" w:lineRule="exact"/>
              <w:rPr>
                <w:sz w:val="20"/>
                <w:szCs w:val="20"/>
                <w:color w:val="auto"/>
              </w:rPr>
            </w:pPr>
            <w:r>
              <w:rPr>
                <w:rFonts w:ascii="Calibri" w:cs="Calibri" w:eastAsia="Calibri" w:hAnsi="Calibri"/>
                <w:sz w:val="14"/>
                <w:szCs w:val="14"/>
                <w:b w:val="1"/>
                <w:bCs w:val="1"/>
                <w:color w:val="auto"/>
              </w:rPr>
              <w:t>TRANSITION REPORT PURSUANT TO SECTION 13 OR 15(d) OF THE SECURITIES EXCHANGE ACT OF 1934</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20" w:type="dxa"/>
            <w:vAlign w:val="bottom"/>
            <w:gridSpan w:val="5"/>
          </w:tcPr>
          <w:p>
            <w:pPr>
              <w:jc w:val="center"/>
              <w:spacing w:after="0" w:line="162" w:lineRule="exact"/>
              <w:rPr>
                <w:sz w:val="20"/>
                <w:szCs w:val="20"/>
                <w:color w:val="auto"/>
              </w:rPr>
            </w:pPr>
            <w:r>
              <w:rPr>
                <w:rFonts w:ascii="Calibri" w:cs="Calibri" w:eastAsia="Calibri" w:hAnsi="Calibri"/>
                <w:sz w:val="14"/>
                <w:szCs w:val="14"/>
                <w:b w:val="1"/>
                <w:bCs w:val="1"/>
                <w:color w:val="auto"/>
              </w:rPr>
              <w:t>For the transiton period from __________ to __________</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tcPr>
          <w:p>
            <w:pPr>
              <w:jc w:val="center"/>
              <w:ind w:right="540"/>
              <w:spacing w:after="0"/>
              <w:rPr>
                <w:sz w:val="20"/>
                <w:szCs w:val="20"/>
                <w:color w:val="auto"/>
              </w:rPr>
            </w:pPr>
            <w:r>
              <w:rPr>
                <w:rFonts w:ascii="Calibri" w:cs="Calibri" w:eastAsia="Calibri" w:hAnsi="Calibri"/>
                <w:sz w:val="14"/>
                <w:szCs w:val="14"/>
                <w:b w:val="1"/>
                <w:bCs w:val="1"/>
                <w:color w:val="auto"/>
              </w:rPr>
              <w:t>Commission File Number: 001-40926</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3"/>
          </w:tcPr>
          <w:p>
            <w:pPr>
              <w:jc w:val="center"/>
              <w:ind w:right="540"/>
              <w:spacing w:after="0" w:line="383" w:lineRule="exact"/>
              <w:rPr>
                <w:sz w:val="20"/>
                <w:szCs w:val="20"/>
                <w:color w:val="auto"/>
              </w:rPr>
            </w:pPr>
            <w:r>
              <w:rPr>
                <w:rFonts w:ascii="Calibri" w:cs="Calibri" w:eastAsia="Calibri" w:hAnsi="Calibri"/>
                <w:sz w:val="36"/>
                <w:szCs w:val="36"/>
                <w:b w:val="1"/>
                <w:bCs w:val="1"/>
                <w:color w:val="auto"/>
                <w:w w:val="99"/>
              </w:rPr>
              <w:t>Vivid Seats Inc.</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2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 w:type="dxa"/>
            <w:vAlign w:val="bottom"/>
          </w:tcPr>
          <w:p>
            <w:pPr>
              <w:spacing w:after="0"/>
              <w:rPr>
                <w:sz w:val="24"/>
                <w:szCs w:val="24"/>
                <w:color w:val="auto"/>
              </w:rPr>
            </w:pPr>
          </w:p>
        </w:tc>
        <w:tc>
          <w:tcPr>
            <w:tcW w:w="3540" w:type="dxa"/>
            <w:vAlign w:val="bottom"/>
          </w:tcPr>
          <w:p>
            <w:pPr>
              <w:jc w:val="center"/>
              <w:ind w:left="1388"/>
              <w:spacing w:after="0"/>
              <w:rPr>
                <w:sz w:val="20"/>
                <w:szCs w:val="20"/>
                <w:color w:val="auto"/>
              </w:rPr>
            </w:pPr>
            <w:r>
              <w:rPr>
                <w:rFonts w:ascii="Calibri" w:cs="Calibri" w:eastAsia="Calibri" w:hAnsi="Calibri"/>
                <w:sz w:val="14"/>
                <w:szCs w:val="14"/>
                <w:b w:val="1"/>
                <w:bCs w:val="1"/>
                <w:color w:val="auto"/>
              </w:rPr>
              <w:t>Delaware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6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540" w:type="dxa"/>
            <w:vAlign w:val="bottom"/>
          </w:tcPr>
          <w:p>
            <w:pPr>
              <w:jc w:val="center"/>
              <w:ind w:left="1388"/>
              <w:spacing w:after="0" w:line="149" w:lineRule="exact"/>
              <w:rPr>
                <w:sz w:val="20"/>
                <w:szCs w:val="20"/>
                <w:color w:val="auto"/>
              </w:rPr>
            </w:pPr>
            <w:r>
              <w:rPr>
                <w:rFonts w:ascii="Calibri" w:cs="Calibri" w:eastAsia="Calibri" w:hAnsi="Calibri"/>
                <w:sz w:val="14"/>
                <w:szCs w:val="14"/>
                <w:b w:val="1"/>
                <w:bCs w:val="1"/>
                <w:color w:val="auto"/>
              </w:rPr>
              <w:t>(State or other jurisdicton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60" w:type="dxa"/>
            <w:vAlign w:val="bottom"/>
          </w:tcPr>
          <w:p>
            <w:pPr>
              <w:jc w:val="center"/>
              <w:ind w:right="1688"/>
              <w:spacing w:after="0" w:line="149" w:lineRule="exact"/>
              <w:rPr>
                <w:sz w:val="20"/>
                <w:szCs w:val="20"/>
                <w:color w:val="auto"/>
              </w:rPr>
            </w:pPr>
            <w:r>
              <w:rPr>
                <w:rFonts w:ascii="Calibri" w:cs="Calibri" w:eastAsia="Calibri" w:hAnsi="Calibri"/>
                <w:sz w:val="14"/>
                <w:szCs w:val="14"/>
                <w:b w:val="1"/>
                <w:bCs w:val="1"/>
                <w:color w:val="auto"/>
              </w:rPr>
              <w:t>(I.R.S. Employer</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3540" w:type="dxa"/>
            <w:vAlign w:val="bottom"/>
          </w:tcPr>
          <w:p>
            <w:pPr>
              <w:jc w:val="center"/>
              <w:ind w:left="1388"/>
              <w:spacing w:after="0" w:line="162" w:lineRule="exact"/>
              <w:rPr>
                <w:sz w:val="20"/>
                <w:szCs w:val="20"/>
                <w:color w:val="auto"/>
              </w:rPr>
            </w:pPr>
            <w:r>
              <w:rPr>
                <w:rFonts w:ascii="Calibri" w:cs="Calibri" w:eastAsia="Calibri" w:hAnsi="Calibri"/>
                <w:sz w:val="14"/>
                <w:szCs w:val="14"/>
                <w:b w:val="1"/>
                <w:bCs w:val="1"/>
                <w:color w:val="auto"/>
              </w:rPr>
              <w:t>incorporaton or organizaton)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60" w:type="dxa"/>
            <w:vAlign w:val="bottom"/>
          </w:tcPr>
          <w:p>
            <w:pPr>
              <w:jc w:val="center"/>
              <w:ind w:right="1668"/>
              <w:spacing w:after="0" w:line="162" w:lineRule="exact"/>
              <w:rPr>
                <w:sz w:val="20"/>
                <w:szCs w:val="20"/>
                <w:color w:val="auto"/>
              </w:rPr>
            </w:pPr>
            <w:r>
              <w:rPr>
                <w:rFonts w:ascii="Calibri" w:cs="Calibri" w:eastAsia="Calibri" w:hAnsi="Calibri"/>
                <w:sz w:val="14"/>
                <w:szCs w:val="14"/>
                <w:b w:val="1"/>
                <w:bCs w:val="1"/>
                <w:color w:val="auto"/>
              </w:rPr>
              <w:t>Identfcaton No.)</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3540" w:type="dxa"/>
            <w:vAlign w:val="bottom"/>
          </w:tcPr>
          <w:p>
            <w:pPr>
              <w:jc w:val="center"/>
              <w:ind w:left="1368"/>
              <w:spacing w:after="0" w:line="149" w:lineRule="exact"/>
              <w:rPr>
                <w:sz w:val="20"/>
                <w:szCs w:val="20"/>
                <w:color w:val="auto"/>
              </w:rPr>
            </w:pPr>
            <w:r>
              <w:rPr>
                <w:rFonts w:ascii="Calibri" w:cs="Calibri" w:eastAsia="Calibri" w:hAnsi="Calibri"/>
                <w:sz w:val="14"/>
                <w:szCs w:val="14"/>
                <w:b w:val="1"/>
                <w:bCs w:val="1"/>
                <w:color w:val="auto"/>
              </w:rPr>
              <w:t>111 N. Canal Street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540" w:type="dxa"/>
            <w:vAlign w:val="bottom"/>
          </w:tcPr>
          <w:p>
            <w:pPr>
              <w:jc w:val="center"/>
              <w:ind w:left="1388"/>
              <w:spacing w:after="0" w:line="149" w:lineRule="exact"/>
              <w:rPr>
                <w:sz w:val="20"/>
                <w:szCs w:val="20"/>
                <w:color w:val="auto"/>
              </w:rPr>
            </w:pPr>
            <w:r>
              <w:rPr>
                <w:rFonts w:ascii="Calibri" w:cs="Calibri" w:eastAsia="Calibri" w:hAnsi="Calibri"/>
                <w:sz w:val="14"/>
                <w:szCs w:val="14"/>
                <w:b w:val="1"/>
                <w:bCs w:val="1"/>
                <w:color w:val="auto"/>
              </w:rPr>
              <w:t>Suite 800</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jc w:val="center"/>
              <w:ind w:left="1388"/>
              <w:spacing w:after="0"/>
              <w:rPr>
                <w:sz w:val="20"/>
                <w:szCs w:val="20"/>
                <w:color w:val="auto"/>
              </w:rPr>
            </w:pPr>
            <w:r>
              <w:rPr>
                <w:rFonts w:ascii="Calibri" w:cs="Calibri" w:eastAsia="Calibri" w:hAnsi="Calibri"/>
                <w:sz w:val="14"/>
                <w:szCs w:val="14"/>
                <w:b w:val="1"/>
                <w:bCs w:val="1"/>
                <w:color w:val="auto"/>
              </w:rPr>
              <w:t>Chicago, Illinois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6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60606</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7060" w:type="dxa"/>
            <w:vAlign w:val="bottom"/>
            <w:gridSpan w:val="6"/>
          </w:tcPr>
          <w:p>
            <w:pPr>
              <w:jc w:val="center"/>
              <w:ind w:right="2080"/>
              <w:spacing w:after="0" w:line="168" w:lineRule="exact"/>
              <w:rPr>
                <w:sz w:val="20"/>
                <w:szCs w:val="20"/>
                <w:color w:val="auto"/>
              </w:rPr>
            </w:pPr>
            <w:r>
              <w:rPr>
                <w:rFonts w:ascii="Calibri" w:cs="Calibri" w:eastAsia="Calibri" w:hAnsi="Calibri"/>
                <w:sz w:val="14"/>
                <w:szCs w:val="14"/>
                <w:b w:val="1"/>
                <w:bCs w:val="1"/>
                <w:color w:val="auto"/>
              </w:rPr>
              <w:t>(Address of principal executve ofces)</w:t>
            </w:r>
          </w:p>
        </w:tc>
        <w:tc>
          <w:tcPr>
            <w:tcW w:w="3860" w:type="dxa"/>
            <w:vAlign w:val="bottom"/>
          </w:tcPr>
          <w:p>
            <w:pPr>
              <w:jc w:val="center"/>
              <w:ind w:right="1688"/>
              <w:spacing w:after="0" w:line="168" w:lineRule="exact"/>
              <w:rPr>
                <w:sz w:val="20"/>
                <w:szCs w:val="20"/>
                <w:color w:val="auto"/>
              </w:rPr>
            </w:pPr>
            <w:r>
              <w:rPr>
                <w:rFonts w:ascii="Calibri" w:cs="Calibri" w:eastAsia="Calibri" w:hAnsi="Calibri"/>
                <w:sz w:val="14"/>
                <w:szCs w:val="14"/>
                <w:b w:val="1"/>
                <w:bCs w:val="1"/>
                <w:color w:val="auto"/>
              </w:rPr>
              <w:t>(Zip Code)</w:t>
            </w: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20" w:type="dxa"/>
            <w:vAlign w:val="bottom"/>
            <w:gridSpan w:val="3"/>
          </w:tcPr>
          <w:p>
            <w:pPr>
              <w:jc w:val="center"/>
              <w:ind w:left="1248"/>
              <w:spacing w:after="0" w:line="162" w:lineRule="exact"/>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2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3860" w:type="dxa"/>
            <w:vAlign w:val="bottom"/>
            <w:gridSpan w:val="2"/>
          </w:tcPr>
          <w:p>
            <w:pPr>
              <w:spacing w:after="0" w:line="164" w:lineRule="exact"/>
              <w:rPr>
                <w:sz w:val="20"/>
                <w:szCs w:val="20"/>
                <w:color w:val="auto"/>
              </w:rPr>
            </w:pPr>
            <w:r>
              <w:rPr>
                <w:rFonts w:ascii="Calibri" w:cs="Calibri" w:eastAsia="Calibri" w:hAnsi="Calibri"/>
                <w:sz w:val="14"/>
                <w:szCs w:val="14"/>
                <w:color w:val="auto"/>
              </w:rPr>
              <w:t>Securites registered pursuant to Secton 12(b) of the Act: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3"/>
          </w:tcPr>
          <w:p>
            <w:pPr>
              <w:jc w:val="center"/>
              <w:ind w:right="1300"/>
              <w:spacing w:after="0"/>
              <w:rPr>
                <w:sz w:val="20"/>
                <w:szCs w:val="20"/>
                <w:color w:val="auto"/>
              </w:rPr>
            </w:pPr>
            <w:r>
              <w:rPr>
                <w:rFonts w:ascii="Calibri" w:cs="Calibri" w:eastAsia="Calibri" w:hAnsi="Calibri"/>
                <w:sz w:val="14"/>
                <w:szCs w:val="14"/>
                <w:b w:val="1"/>
                <w:bCs w:val="1"/>
                <w:color w:val="auto"/>
              </w:rPr>
              <w:t>Trading</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jc w:val="center"/>
              <w:ind w:left="48"/>
              <w:spacing w:after="0"/>
              <w:rPr>
                <w:sz w:val="20"/>
                <w:szCs w:val="20"/>
                <w:color w:val="auto"/>
              </w:rPr>
            </w:pPr>
            <w:r>
              <w:rPr>
                <w:rFonts w:ascii="Calibri" w:cs="Calibri" w:eastAsia="Calibri" w:hAnsi="Calibri"/>
                <w:sz w:val="14"/>
                <w:szCs w:val="14"/>
                <w:b w:val="1"/>
                <w:bCs w:val="1"/>
                <w:color w:val="auto"/>
              </w:rPr>
              <w:t>Title of each class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tcPr>
          <w:p>
            <w:pPr>
              <w:jc w:val="center"/>
              <w:ind w:right="1280"/>
              <w:spacing w:after="0"/>
              <w:rPr>
                <w:sz w:val="20"/>
                <w:szCs w:val="20"/>
                <w:color w:val="auto"/>
              </w:rPr>
            </w:pPr>
            <w:r>
              <w:rPr>
                <w:rFonts w:ascii="Calibri" w:cs="Calibri" w:eastAsia="Calibri" w:hAnsi="Calibri"/>
                <w:sz w:val="14"/>
                <w:szCs w:val="14"/>
                <w:b w:val="1"/>
                <w:bCs w:val="1"/>
                <w:color w:val="auto"/>
              </w:rPr>
              <w:t>Symbol(s)</w:t>
            </w:r>
          </w:p>
        </w:tc>
        <w:tc>
          <w:tcPr>
            <w:tcW w:w="3860" w:type="dxa"/>
            <w:vAlign w:val="bottom"/>
          </w:tcPr>
          <w:p>
            <w:pPr>
              <w:jc w:val="center"/>
              <w:ind w:right="1128"/>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3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20" w:type="dxa"/>
            <w:vAlign w:val="bottom"/>
          </w:tcPr>
          <w:p>
            <w:pPr>
              <w:spacing w:after="0"/>
              <w:rPr>
                <w:sz w:val="12"/>
                <w:szCs w:val="12"/>
                <w:color w:val="auto"/>
              </w:rPr>
            </w:pPr>
          </w:p>
        </w:tc>
        <w:tc>
          <w:tcPr>
            <w:tcW w:w="3540" w:type="dxa"/>
            <w:vAlign w:val="bottom"/>
          </w:tcPr>
          <w:p>
            <w:pPr>
              <w:jc w:val="center"/>
              <w:ind w:left="68"/>
              <w:spacing w:after="0" w:line="141" w:lineRule="exact"/>
              <w:rPr>
                <w:sz w:val="20"/>
                <w:szCs w:val="20"/>
                <w:color w:val="auto"/>
              </w:rPr>
            </w:pPr>
            <w:r>
              <w:rPr>
                <w:rFonts w:ascii="Calibri" w:cs="Calibri" w:eastAsia="Calibri" w:hAnsi="Calibri"/>
                <w:sz w:val="14"/>
                <w:szCs w:val="14"/>
                <w:color w:val="auto"/>
              </w:rPr>
              <w:t>Class A common stock, par value $0.0001 per share</w:t>
            </w:r>
          </w:p>
        </w:tc>
        <w:tc>
          <w:tcPr>
            <w:tcW w:w="4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Calibri" w:cs="Calibri" w:eastAsia="Calibri" w:hAnsi="Calibri"/>
                <w:sz w:val="14"/>
                <w:szCs w:val="14"/>
                <w:color w:val="auto"/>
                <w:w w:val="92"/>
              </w:rPr>
              <w:t>SEAT</w:t>
            </w:r>
          </w:p>
        </w:tc>
        <w:tc>
          <w:tcPr>
            <w:tcW w:w="1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3860" w:type="dxa"/>
            <w:vAlign w:val="bottom"/>
          </w:tcPr>
          <w:p>
            <w:pPr>
              <w:jc w:val="center"/>
              <w:ind w:right="1148"/>
              <w:spacing w:after="0" w:line="141" w:lineRule="exact"/>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3540" w:type="dxa"/>
            <w:vAlign w:val="bottom"/>
          </w:tcPr>
          <w:p>
            <w:pPr>
              <w:ind w:left="160"/>
              <w:spacing w:after="0"/>
              <w:rPr>
                <w:sz w:val="20"/>
                <w:szCs w:val="20"/>
                <w:color w:val="auto"/>
              </w:rPr>
            </w:pPr>
            <w:r>
              <w:rPr>
                <w:rFonts w:ascii="Calibri" w:cs="Calibri" w:eastAsia="Calibri" w:hAnsi="Calibri"/>
                <w:sz w:val="14"/>
                <w:szCs w:val="14"/>
                <w:color w:val="auto"/>
              </w:rPr>
              <w:t>Warrants to purchase one share of Class A common stock</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tcPr>
          <w:p>
            <w:pPr>
              <w:jc w:val="center"/>
              <w:ind w:right="1300"/>
              <w:spacing w:after="0"/>
              <w:rPr>
                <w:sz w:val="20"/>
                <w:szCs w:val="20"/>
                <w:color w:val="auto"/>
              </w:rPr>
            </w:pPr>
            <w:r>
              <w:rPr>
                <w:rFonts w:ascii="Calibri" w:cs="Calibri" w:eastAsia="Calibri" w:hAnsi="Calibri"/>
                <w:sz w:val="14"/>
                <w:szCs w:val="14"/>
                <w:color w:val="auto"/>
                <w:w w:val="98"/>
              </w:rPr>
              <w:t>SEATW</w:t>
            </w:r>
          </w:p>
        </w:tc>
        <w:tc>
          <w:tcPr>
            <w:tcW w:w="3860" w:type="dxa"/>
            <w:vAlign w:val="bottom"/>
          </w:tcPr>
          <w:p>
            <w:pPr>
              <w:jc w:val="center"/>
              <w:ind w:right="1148"/>
              <w:spacing w:after="0"/>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bl>
    <w:p>
      <w:pPr>
        <w:spacing w:after="0" w:line="154" w:lineRule="exact"/>
        <w:rPr>
          <w:sz w:val="24"/>
          <w:szCs w:val="24"/>
          <w:color w:val="auto"/>
        </w:rPr>
      </w:pPr>
    </w:p>
    <w:p>
      <w:pPr>
        <w:jc w:val="both"/>
        <w:spacing w:after="0" w:line="178"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jc w:val="both"/>
        <w:spacing w:after="0" w:line="178"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jc w:val="both"/>
        <w:spacing w:after="0" w:line="233"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Calibri" w:cs="Calibri" w:eastAsia="Calibri" w:hAnsi="Calibri"/>
                <w:sz w:val="14"/>
                <w:szCs w:val="14"/>
                <w:color w:val="auto"/>
              </w:rPr>
              <w:t>Accelerated fler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20"/>
              <w:spacing w:after="0"/>
              <w:rPr>
                <w:sz w:val="20"/>
                <w:szCs w:val="20"/>
                <w:color w:val="auto"/>
              </w:rPr>
            </w:pPr>
            <w:r>
              <w:rPr>
                <w:rFonts w:ascii="Calibri" w:cs="Calibri" w:eastAsia="Calibri" w:hAnsi="Calibri"/>
                <w:sz w:val="14"/>
                <w:szCs w:val="14"/>
                <w:color w:val="auto"/>
              </w:rPr>
              <w:t>Smaller reportng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00" w:type="dxa"/>
            <w:vAlign w:val="bottom"/>
          </w:tcPr>
          <w:p>
            <w:pPr>
              <w:spacing w:after="0"/>
              <w:rPr>
                <w:sz w:val="20"/>
                <w:szCs w:val="20"/>
                <w:color w:val="auto"/>
              </w:rPr>
            </w:pPr>
            <w:r>
              <w:rPr>
                <w:rFonts w:ascii="Calibri" w:cs="Calibri" w:eastAsia="Calibri" w:hAnsi="Calibri"/>
                <w:sz w:val="14"/>
                <w:szCs w:val="14"/>
                <w:color w:val="auto"/>
              </w:rPr>
              <w:t>Emerging growth company</w:t>
            </w:r>
          </w:p>
        </w:tc>
        <w:tc>
          <w:tcPr>
            <w:tcW w:w="32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387" w:lineRule="exact"/>
        <w:rPr>
          <w:sz w:val="24"/>
          <w:szCs w:val="24"/>
          <w:color w:val="auto"/>
        </w:rPr>
      </w:pPr>
    </w:p>
    <w:p>
      <w:pPr>
        <w:spacing w:after="0" w:line="178"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72" w:lineRule="exact"/>
        <w:tabs>
          <w:tab w:leader="none" w:pos="6640" w:val="left"/>
          <w:tab w:leader="none" w:pos="716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158" w:lineRule="exact"/>
        <w:rPr>
          <w:sz w:val="24"/>
          <w:szCs w:val="24"/>
          <w:color w:val="auto"/>
        </w:rPr>
      </w:pPr>
    </w:p>
    <w:p>
      <w:pPr>
        <w:ind w:right="20"/>
        <w:spacing w:after="0" w:line="245" w:lineRule="auto"/>
        <w:rPr>
          <w:sz w:val="20"/>
          <w:szCs w:val="20"/>
          <w:color w:val="auto"/>
        </w:rPr>
      </w:pPr>
      <w:r>
        <w:rPr>
          <w:rFonts w:ascii="Calibri" w:cs="Calibri" w:eastAsia="Calibri" w:hAnsi="Calibri"/>
          <w:sz w:val="14"/>
          <w:szCs w:val="14"/>
          <w:color w:val="auto"/>
        </w:rPr>
        <w:t>As of April 30, 2022, the registrant had 79,241,032 shares of Class A common stock, $0.0001 par value per share, outstanding and 118,200,000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160" w:type="dxa"/>
            <w:vAlign w:val="bottom"/>
            <w:gridSpan w:val="9"/>
          </w:tcPr>
          <w:p>
            <w:pPr>
              <w:ind w:left="136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5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Balance Sheets as of March 31, 2022 and December 31, 2021</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Operatons for the three months ended March 31, 2022 and 2021</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Comprehensive Income (Loss) for the three months ended March 31, 2022 and 2021</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Statements of Defcit for the three months ended March 31, 2022 and 2021</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Cash Flows for the three months ended March 31, 2022 and 2021</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23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36</w:t>
            </w: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38</w:t>
            </w:r>
          </w:p>
        </w:tc>
      </w:tr>
      <w:tr>
        <w:trPr>
          <w:trHeight w:val="554"/>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339"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This Quarterly Report on Form 10-Q contains forward-looking statements regarding future events and the future results of Vivid Seats Inc. that are based on our current expectatons, estmates, forecasts and projectons about the industries in which we operate and the beliefs and assumptons of our management. We intend such forward-looking statements to be covered by the safe harbor provisions for forward-looking statements contained in Secton 27A of the Securites Act of 1933, as amended (the "Securites Act"), and Secton 21E of the Securites Exchange Act of 1934, as amended (the "Exchange Act"). Words such as “expect,” “antcipate,” “target,” “goal,” “project,” “intend,” “plan,” “believe,” “seek,” “estmate,” “will,” “likely,” “may,” “designed,” “would,” “future,” “can,” “could,” and other similar expressions which are predictons of, indicate future events and trends or which do not relate to historical maters, are intended to identfy such forward-looking statements. These statements are based on our current expectatons and beliefs and involve a number of risks, uncertaintes and assumptons that are difcult to predict.</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color w:val="auto"/>
        </w:rPr>
        <w:t>For example, we may use forward-looking statements when addressing topics such as:</w:t>
      </w:r>
    </w:p>
    <w:p>
      <w:pPr>
        <w:spacing w:after="0" w:line="150" w:lineRule="exact"/>
        <w:rPr>
          <w:sz w:val="20"/>
          <w:szCs w:val="20"/>
          <w:color w:val="auto"/>
        </w:rPr>
      </w:pPr>
    </w:p>
    <w:p>
      <w:pPr>
        <w:jc w:val="both"/>
        <w:ind w:left="1020" w:hanging="503"/>
        <w:spacing w:after="0" w:line="230" w:lineRule="auto"/>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COVID-19 pandemic, its duraton, its impact on our business, results of operatons, fnancial conditon, liquidity, use of our borrowings, business practces, operatons, suppliers, third-party service providers, customers, employees, industry, ability to meet future performance obligatons and ability to efciently implement advisable safety precautons;</w:t>
      </w:r>
    </w:p>
    <w:p>
      <w:pPr>
        <w:spacing w:after="0" w:line="1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raise fnancing in the future;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future fnancial performance;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in retaining or recruitng, or changes required in, our ofcers, key employees or directors;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pay dividends on our Class A common stock on the terms currently contemplated or at all;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factors relatng to our business, operatons and fnancial performance, including, but not limited to:</w:t>
      </w:r>
    </w:p>
    <w:p>
      <w:pPr>
        <w:spacing w:after="0" w:line="14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the impact of the pandemic on our business and the industries in which we operate;</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compete in the tcketng industry;</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relatonships with buyers, sellers and distributon partners;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contnue to improve our platorm and maintain and enhance our brand;</w:t>
      </w:r>
    </w:p>
    <w:p>
      <w:pPr>
        <w:spacing w:after="0" w:line="156" w:lineRule="exact"/>
        <w:rPr>
          <w:rFonts w:ascii="Times New Roman" w:cs="Times New Roman" w:eastAsia="Times New Roman" w:hAnsi="Times New Roman"/>
          <w:sz w:val="18"/>
          <w:szCs w:val="18"/>
          <w:color w:val="auto"/>
        </w:rPr>
      </w:pPr>
    </w:p>
    <w:p>
      <w:pPr>
        <w:ind w:left="1540" w:hanging="509"/>
        <w:spacing w:after="0" w:line="2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8"/>
          <w:szCs w:val="18"/>
          <w:color w:val="auto"/>
        </w:rPr>
        <w:t>the impact of extraordinary events or adverse economic conditons on discretonary consumer and corporate spending or on the supply and demand of live events;</w:t>
      </w:r>
    </w:p>
    <w:p>
      <w:pPr>
        <w:spacing w:after="0" w:line="15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comply with domestc regulatory regimes;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successfully defend against litgaton;</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the integrity of our informaton systems and infrastructure, and to mitgate possible cyber security risks;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generate sufcient cash fows or raise additonal capital necessary to fund our operatons; and</w:t>
      </w:r>
    </w:p>
    <w:p>
      <w:pPr>
        <w:spacing w:after="0" w:line="166" w:lineRule="exact"/>
        <w:rPr>
          <w:sz w:val="20"/>
          <w:szCs w:val="20"/>
          <w:color w:val="auto"/>
        </w:rPr>
      </w:pPr>
    </w:p>
    <w:p>
      <w:pPr>
        <w:ind w:left="5580" w:right="5220" w:hanging="4554"/>
        <w:spacing w:after="0" w:line="303" w:lineRule="auto"/>
        <w:tabs>
          <w:tab w:leader="none" w:pos="1536" w:val="left"/>
        </w:tabs>
        <w:numPr>
          <w:ilvl w:val="0"/>
          <w:numId w:val="2"/>
        </w:numPr>
        <w:rPr>
          <w:rFonts w:ascii="Times New Roman" w:cs="Times New Roman" w:eastAsia="Times New Roman" w:hAnsi="Times New Roman"/>
          <w:sz w:val="17"/>
          <w:szCs w:val="17"/>
          <w:color w:val="auto"/>
        </w:rPr>
      </w:pPr>
      <w:r>
        <w:rPr>
          <w:rFonts w:ascii="Calibri" w:cs="Calibri" w:eastAsia="Calibri" w:hAnsi="Calibri"/>
          <w:sz w:val="17"/>
          <w:szCs w:val="17"/>
          <w:color w:val="auto"/>
        </w:rPr>
        <w:t>other factors detailed under the secton enttled “Risk Factors.”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jc w:val="both"/>
        <w:spacing w:after="0" w:line="226" w:lineRule="auto"/>
        <w:rPr>
          <w:sz w:val="20"/>
          <w:szCs w:val="20"/>
          <w:color w:val="auto"/>
        </w:rPr>
      </w:pPr>
      <w:r>
        <w:rPr>
          <w:rFonts w:ascii="Calibri" w:cs="Calibri" w:eastAsia="Calibri" w:hAnsi="Calibri"/>
          <w:sz w:val="18"/>
          <w:szCs w:val="18"/>
          <w:color w:val="auto"/>
        </w:rPr>
        <w:t>We have based these forward-looking statements largely on our current expectatons and projectons about future events and fnancial trends that we believe may afect our business, fnancial conditon and results of operatons. Forward-looking statements are predictons and are subject to risks, uncertaintes and assumptons that are difcult to predict. Therefore, actual results may difer materially and adversely from those expressed in any forward-looking statements. You are cautoned not to place undue reliance on these forward-looking statements, which speak only as of the date of this document, or in the case of statements incorporated by reference, on the date of the document incorporated by reference.</w:t>
      </w:r>
    </w:p>
    <w:p>
      <w:pPr>
        <w:spacing w:after="0" w:line="140"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Factors that might cause or contribute to such diferences include, but are not limited to, those discussed in this Quarterly Report on Form 10-Q, under the sectons enttled “Management’s Discussion and Analysis of Financial Conditon and Results of Operatons,” in our Annual Report on Form 10-K for the fscal year ended December 31, 2021, which was fled with the Securites and Exchange Commission (the “SEC”) on March 15, 2022, under the secton enttled “Risk Factors,” in our press releases, and in our other flings with the SEC. The forward-looking statements in this Quarterly Report on Form 10-Q are based upon informaton available to us as of the date of this Quarterly Report on Form 10-Q,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 These forward-looking statements speak only as of the date of this Quarterly Report on Form 10-Q or in the case of statements incorporated by reference, on the date of the document incorporated by reference. Except as required by applicable law, we do not plan to publicly update or revise any forward-looking statements contained in this Quarterly Report on Form 10-Q, whether as a result of new informaton, future events, or risks. New informaton, future events, or risks may cause the forward-looking events we discuss in this report not to occur.</w: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690"/>
              <w:spacing w:after="0"/>
              <w:rPr>
                <w:sz w:val="20"/>
                <w:szCs w:val="20"/>
                <w:color w:val="auto"/>
              </w:rPr>
            </w:pPr>
            <w:r>
              <w:rPr>
                <w:rFonts w:ascii="Calibri" w:cs="Calibri" w:eastAsia="Calibri" w:hAnsi="Calibri"/>
                <w:sz w:val="18"/>
                <w:szCs w:val="18"/>
                <w:b w:val="1"/>
                <w:bCs w:val="1"/>
                <w:color w:val="auto"/>
              </w:rPr>
              <w:t>March 31,</w:t>
            </w:r>
          </w:p>
        </w:tc>
        <w:tc>
          <w:tcPr>
            <w:tcW w:w="220" w:type="dxa"/>
            <w:vAlign w:val="bottom"/>
          </w:tcPr>
          <w:p>
            <w:pPr>
              <w:spacing w:after="0"/>
              <w:rPr>
                <w:sz w:val="19"/>
                <w:szCs w:val="19"/>
                <w:color w:val="auto"/>
              </w:rPr>
            </w:pPr>
          </w:p>
        </w:tc>
        <w:tc>
          <w:tcPr>
            <w:tcW w:w="1560" w:type="dxa"/>
            <w:vAlign w:val="bottom"/>
            <w:gridSpan w:val="2"/>
          </w:tcPr>
          <w:p>
            <w:pPr>
              <w:jc w:val="right"/>
              <w:ind w:right="35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7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4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and cash equivalents</w:t>
            </w:r>
          </w:p>
        </w:tc>
        <w:tc>
          <w:tcPr>
            <w:tcW w:w="300" w:type="dxa"/>
            <w:vAlign w:val="bottom"/>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87"/>
              </w:rPr>
              <w:t>$</w:t>
            </w: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314,055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489,530</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receivable – net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53,978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36,124</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17,899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11,773</w:t>
            </w:r>
          </w:p>
        </w:tc>
        <w:tc>
          <w:tcPr>
            <w:tcW w:w="10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75,687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current assets</w:t>
            </w:r>
          </w:p>
        </w:tc>
        <w:tc>
          <w:tcPr>
            <w:tcW w:w="300" w:type="dxa"/>
            <w:vAlign w:val="bottom"/>
          </w:tcPr>
          <w:p>
            <w:pPr>
              <w:spacing w:after="0"/>
              <w:rPr>
                <w:sz w:val="18"/>
                <w:szCs w:val="18"/>
                <w:color w:val="auto"/>
              </w:rPr>
            </w:pPr>
          </w:p>
        </w:tc>
        <w:tc>
          <w:tcPr>
            <w:tcW w:w="14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461,899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610,211</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 net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1,082</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9,517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 – net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79,944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78,511</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718,204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718,204</w:t>
            </w:r>
          </w:p>
        </w:tc>
        <w:tc>
          <w:tcPr>
            <w:tcW w:w="10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2,949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6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assets</w:t>
            </w:r>
          </w:p>
        </w:tc>
        <w:tc>
          <w:tcPr>
            <w:tcW w:w="300" w:type="dxa"/>
            <w:vAlign w:val="bottom"/>
            <w:tcBorders>
              <w:bottom w:val="single" w:sz="8" w:color="auto"/>
            </w:tcBorders>
          </w:tcPr>
          <w:p>
            <w:pPr>
              <w:jc w:val="right"/>
              <w:ind w:right="1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1,274,218</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6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shareholders’ defcit</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300" w:type="dxa"/>
            <w:vAlign w:val="bottom"/>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87"/>
              </w:rPr>
              <w:t>$</w:t>
            </w: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236,295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191,201</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272,705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281,156</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28,233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25,139</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Current maturites of long-term debt – net</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7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current liabilites</w:t>
            </w:r>
          </w:p>
        </w:tc>
        <w:tc>
          <w:tcPr>
            <w:tcW w:w="3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539,983</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497,496</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266,396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460,132</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Long-term lease liabilites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8,387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27,384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25,834</w:t>
            </w:r>
          </w:p>
        </w:tc>
        <w:tc>
          <w:tcPr>
            <w:tcW w:w="100" w:type="dxa"/>
            <w:vAlign w:val="bottom"/>
          </w:tcPr>
          <w:p>
            <w:pPr>
              <w:spacing w:after="0"/>
              <w:rPr>
                <w:sz w:val="18"/>
                <w:szCs w:val="18"/>
                <w:color w:val="auto"/>
              </w:rPr>
            </w:pPr>
          </w:p>
        </w:tc>
      </w:tr>
      <w:tr>
        <w:trPr>
          <w:trHeight w:val="211"/>
        </w:trPr>
        <w:tc>
          <w:tcPr>
            <w:tcW w:w="7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liabilites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302,167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485,966</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11)</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Redeemable noncontrolling interests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1,307,292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1,286,016</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Shareholders' defcit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7"/>
        </w:trPr>
        <w:tc>
          <w:tcPr>
            <w:tcW w:w="7460" w:type="dxa"/>
            <w:vAlign w:val="bottom"/>
          </w:tcPr>
          <w:p>
            <w:pPr>
              <w:ind w:left="120"/>
              <w:spacing w:after="0" w:line="166" w:lineRule="exact"/>
              <w:rPr>
                <w:sz w:val="20"/>
                <w:szCs w:val="20"/>
                <w:color w:val="auto"/>
              </w:rPr>
            </w:pPr>
            <w:r>
              <w:rPr>
                <w:rFonts w:ascii="Calibri" w:cs="Calibri" w:eastAsia="Calibri" w:hAnsi="Calibri"/>
                <w:sz w:val="18"/>
                <w:szCs w:val="18"/>
                <w:color w:val="auto"/>
              </w:rPr>
              <w:t>Class A common stock, $0.0001 par value; 500,000,000 shares authorized at March 31, 2022 and</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460" w:type="dxa"/>
            <w:vAlign w:val="bottom"/>
          </w:tcPr>
          <w:p>
            <w:pPr>
              <w:ind w:left="120"/>
              <w:spacing w:after="0" w:line="189" w:lineRule="exact"/>
              <w:rPr>
                <w:sz w:val="20"/>
                <w:szCs w:val="20"/>
                <w:color w:val="auto"/>
              </w:rPr>
            </w:pPr>
            <w:r>
              <w:rPr>
                <w:rFonts w:ascii="Calibri" w:cs="Calibri" w:eastAsia="Calibri" w:hAnsi="Calibri"/>
                <w:sz w:val="18"/>
                <w:szCs w:val="18"/>
                <w:color w:val="auto"/>
              </w:rPr>
              <w:t>December 31, 2021; 79,166,943 and 79,091,871 issued and outstanding at March 31, 2022 and</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December 31, 2021, respectvely</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r>
      <w:tr>
        <w:trPr>
          <w:trHeight w:val="23"/>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460" w:type="dxa"/>
            <w:vAlign w:val="bottom"/>
            <w:shd w:val="clear" w:color="auto" w:fill="CFF0FC"/>
          </w:tcPr>
          <w:p>
            <w:pPr>
              <w:ind w:left="120"/>
              <w:spacing w:after="0" w:line="166" w:lineRule="exact"/>
              <w:rPr>
                <w:sz w:val="20"/>
                <w:szCs w:val="20"/>
                <w:color w:val="auto"/>
              </w:rPr>
            </w:pPr>
            <w:r>
              <w:rPr>
                <w:rFonts w:ascii="Calibri" w:cs="Calibri" w:eastAsia="Calibri" w:hAnsi="Calibri"/>
                <w:sz w:val="18"/>
                <w:szCs w:val="18"/>
                <w:color w:val="auto"/>
              </w:rPr>
              <w:t>Class B common stock, $0.0001 par value; 250,000,000 shares authorized, 118,200,000 issued and</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8"/>
        </w:trPr>
        <w:tc>
          <w:tcPr>
            <w:tcW w:w="746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March 31, 2022 and December 31, 2021</w:t>
            </w:r>
          </w:p>
        </w:tc>
        <w:tc>
          <w:tcPr>
            <w:tcW w:w="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300" w:type="dxa"/>
            <w:vAlign w:val="bottom"/>
          </w:tcPr>
          <w:p>
            <w:pPr>
              <w:spacing w:after="0"/>
              <w:rPr>
                <w:sz w:val="18"/>
                <w:szCs w:val="18"/>
                <w:color w:val="auto"/>
              </w:rPr>
            </w:pP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166,291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line="215" w:lineRule="exact"/>
              <w:rPr>
                <w:sz w:val="20"/>
                <w:szCs w:val="20"/>
                <w:color w:val="auto"/>
              </w:rPr>
            </w:pPr>
            <w:r>
              <w:rPr>
                <w:rFonts w:ascii="Calibri" w:cs="Calibri" w:eastAsia="Calibri" w:hAnsi="Calibri"/>
                <w:sz w:val="18"/>
                <w:szCs w:val="18"/>
                <w:color w:val="auto"/>
              </w:rPr>
              <w:t>182,091</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Accumulated defcit</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rPr>
              <w:t>(1,041,535 )</w:t>
            </w: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(1,042,794 )</w:t>
            </w:r>
          </w:p>
        </w:tc>
      </w:tr>
      <w:tr>
        <w:trPr>
          <w:trHeight w:val="209"/>
        </w:trPr>
        <w:tc>
          <w:tcPr>
            <w:tcW w:w="7460" w:type="dxa"/>
            <w:vAlign w:val="bottom"/>
          </w:tcPr>
          <w:p>
            <w:pPr>
              <w:ind w:left="120"/>
              <w:spacing w:after="0" w:line="199" w:lineRule="exact"/>
              <w:rPr>
                <w:sz w:val="20"/>
                <w:szCs w:val="20"/>
                <w:color w:val="auto"/>
              </w:rPr>
            </w:pPr>
            <w:r>
              <w:rPr>
                <w:rFonts w:ascii="Calibri" w:cs="Calibri" w:eastAsia="Calibri" w:hAnsi="Calibri"/>
                <w:sz w:val="18"/>
                <w:szCs w:val="18"/>
                <w:color w:val="auto"/>
              </w:rPr>
              <w:t>Total Shareholders' defcit</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(875,224</w:t>
            </w:r>
          </w:p>
        </w:tc>
        <w:tc>
          <w:tcPr>
            <w:tcW w:w="300" w:type="dxa"/>
            <w:vAlign w:val="bottom"/>
          </w:tcPr>
          <w:p>
            <w:pPr>
              <w:jc w:val="right"/>
              <w:ind w:right="150"/>
              <w:spacing w:after="0" w:line="195" w:lineRule="exact"/>
              <w:rPr>
                <w:sz w:val="20"/>
                <w:szCs w:val="20"/>
                <w:color w:val="auto"/>
              </w:rPr>
            </w:pPr>
            <w:r>
              <w:rPr>
                <w:rFonts w:ascii="Calibri" w:cs="Calibri" w:eastAsia="Calibri" w:hAnsi="Calibri"/>
                <w:sz w:val="18"/>
                <w:szCs w:val="18"/>
                <w:color w:val="auto"/>
                <w:w w:val="72"/>
              </w:rPr>
              <w:t>)</w:t>
            </w: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(860,683</w:t>
            </w:r>
          </w:p>
        </w:tc>
        <w:tc>
          <w:tcPr>
            <w:tcW w:w="100" w:type="dxa"/>
            <w:vAlign w:val="bottom"/>
          </w:tcPr>
          <w:p>
            <w:pPr>
              <w:jc w:val="right"/>
              <w:spacing w:after="0" w:line="195" w:lineRule="exact"/>
              <w:rPr>
                <w:sz w:val="20"/>
                <w:szCs w:val="20"/>
                <w:color w:val="auto"/>
              </w:rPr>
            </w:pPr>
            <w:r>
              <w:rPr>
                <w:rFonts w:ascii="Calibri" w:cs="Calibri" w:eastAsia="Calibri" w:hAnsi="Calibri"/>
                <w:sz w:val="18"/>
                <w:szCs w:val="18"/>
                <w:color w:val="auto"/>
                <w:w w:val="72"/>
              </w:rPr>
              <w:t>)</w:t>
            </w:r>
          </w:p>
        </w:tc>
      </w:tr>
      <w:tr>
        <w:trPr>
          <w:trHeight w:val="250"/>
        </w:trPr>
        <w:tc>
          <w:tcPr>
            <w:tcW w:w="74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liabilites, Redeemable noncontrolling interests, and Shareholders' defcit</w:t>
            </w:r>
          </w:p>
        </w:tc>
        <w:tc>
          <w:tcPr>
            <w:tcW w:w="300" w:type="dxa"/>
            <w:vAlign w:val="bottom"/>
            <w:tcBorders>
              <w:bottom w:val="single" w:sz="8" w:color="auto"/>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1,274,218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4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-4302760</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-3470910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-328930</wp:posOffset>
            </wp:positionV>
            <wp:extent cx="102235"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-328930</wp:posOffset>
            </wp:positionV>
            <wp:extent cx="9398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7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OPERATIONS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for per share data)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tcPr>
          <w:p>
            <w:pPr>
              <w:ind w:left="300"/>
              <w:spacing w:after="0"/>
              <w:rPr>
                <w:sz w:val="20"/>
                <w:szCs w:val="20"/>
                <w:color w:val="auto"/>
              </w:rPr>
            </w:pPr>
            <w:r>
              <w:rPr>
                <w:rFonts w:ascii="Calibri" w:cs="Calibri" w:eastAsia="Calibri" w:hAnsi="Calibri"/>
                <w:sz w:val="18"/>
                <w:szCs w:val="18"/>
                <w:b w:val="1"/>
                <w:bCs w:val="1"/>
                <w:color w:val="auto"/>
              </w:rPr>
              <w:t>Three Months Ended March 31,</w:t>
            </w:r>
          </w:p>
        </w:tc>
      </w:tr>
      <w:tr>
        <w:trPr>
          <w:trHeight w:val="23"/>
        </w:trPr>
        <w:tc>
          <w:tcPr>
            <w:tcW w:w="7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80"/>
              <w:spacing w:after="0" w:line="208" w:lineRule="exact"/>
              <w:rPr>
                <w:sz w:val="20"/>
                <w:szCs w:val="20"/>
                <w:color w:val="auto"/>
              </w:rPr>
            </w:pPr>
            <w:r>
              <w:rPr>
                <w:rFonts w:ascii="Calibri" w:cs="Calibri" w:eastAsia="Calibri" w:hAnsi="Calibri"/>
                <w:sz w:val="18"/>
                <w:szCs w:val="18"/>
                <w:b w:val="1"/>
                <w:bCs w:val="1"/>
                <w:color w:val="auto"/>
              </w:rPr>
              <w:t>2022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11"/>
        </w:trPr>
        <w:tc>
          <w:tcPr>
            <w:tcW w:w="7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400" w:type="dxa"/>
            <w:vAlign w:val="bottom"/>
            <w:shd w:val="clear" w:color="auto" w:fill="CFF0FC"/>
          </w:tcPr>
          <w:p>
            <w:pPr>
              <w:jc w:val="right"/>
              <w:ind w:right="211"/>
              <w:spacing w:after="0" w:line="210"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130,772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24,114</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Cost of revenues (exclusive of depreciaton and amortzaton shown separately below)</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32,164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3,925</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Marketng and selling</w:t>
            </w: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54,228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7,955</w:t>
            </w: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General and administratve</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29,275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15,871</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1,385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295</w:t>
            </w:r>
          </w:p>
        </w:tc>
        <w:tc>
          <w:tcPr>
            <w:tcW w:w="100" w:type="dxa"/>
            <w:vAlign w:val="bottom"/>
          </w:tcPr>
          <w:p>
            <w:pPr>
              <w:spacing w:after="0"/>
              <w:rPr>
                <w:sz w:val="18"/>
                <w:szCs w:val="18"/>
                <w:color w:val="auto"/>
              </w:rPr>
            </w:pPr>
          </w:p>
        </w:tc>
      </w:tr>
      <w:tr>
        <w:trPr>
          <w:trHeight w:val="211"/>
        </w:trPr>
        <w:tc>
          <w:tcPr>
            <w:tcW w:w="7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(loss) from operatons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13,720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(3,932</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 – net</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3,942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16,319</w:t>
            </w: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extnguishment of debt</w:t>
            </w: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746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Other expenses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2,279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Income (loss) before income taxes</w:t>
            </w:r>
          </w:p>
        </w:tc>
        <w:tc>
          <w:tcPr>
            <w:tcW w:w="400" w:type="dxa"/>
            <w:vAlign w:val="bottom"/>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3,214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(20,251 )</w:t>
            </w:r>
          </w:p>
        </w:tc>
      </w:tr>
      <w:tr>
        <w:trPr>
          <w:trHeight w:val="216"/>
        </w:trPr>
        <w:tc>
          <w:tcPr>
            <w:tcW w:w="74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400" w:type="dxa"/>
            <w:vAlign w:val="bottom"/>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3,138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(20,251 )</w:t>
            </w:r>
          </w:p>
        </w:tc>
      </w:tr>
      <w:tr>
        <w:trPr>
          <w:trHeight w:val="217"/>
        </w:trPr>
        <w:tc>
          <w:tcPr>
            <w:tcW w:w="7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loss atributable to Hoya Intermediate, LLC shareholders prior to reverse recapitalizaton</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(20,251 )</w:t>
            </w: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(loss) atributable to redeemable noncontrolling interests</w:t>
            </w: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1,879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51"/>
        </w:trPr>
        <w:tc>
          <w:tcPr>
            <w:tcW w:w="74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income (loss) atributable to Class A Common Stockholders</w:t>
            </w:r>
          </w:p>
        </w:tc>
        <w:tc>
          <w:tcPr>
            <w:tcW w:w="400" w:type="dxa"/>
            <w:vAlign w:val="bottom"/>
            <w:tcBorders>
              <w:top w:val="single" w:sz="8" w:color="auto"/>
              <w:bottom w:val="single" w:sz="8" w:color="auto"/>
            </w:tcBorders>
            <w:shd w:val="clear" w:color="auto" w:fill="CFF0FC"/>
          </w:tcPr>
          <w:p>
            <w:pPr>
              <w:jc w:val="right"/>
              <w:ind w:right="211"/>
              <w:spacing w:after="0" w:line="210"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1,259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7460" w:type="dxa"/>
            <w:vAlign w:val="bottom"/>
          </w:tcPr>
          <w:p>
            <w:pPr>
              <w:ind w:left="20"/>
              <w:spacing w:after="0"/>
              <w:rPr>
                <w:sz w:val="20"/>
                <w:szCs w:val="20"/>
                <w:color w:val="auto"/>
              </w:rPr>
            </w:pPr>
            <w:r>
              <w:rPr>
                <w:rFonts w:ascii="Calibri" w:cs="Calibri" w:eastAsia="Calibri" w:hAnsi="Calibri"/>
                <w:sz w:val="18"/>
                <w:szCs w:val="18"/>
                <w:b w:val="1"/>
                <w:bCs w:val="1"/>
                <w:color w:val="auto"/>
              </w:rPr>
              <w:t>Income per Class A Common Stock</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400" w:type="dxa"/>
            <w:vAlign w:val="bottom"/>
          </w:tcPr>
          <w:p>
            <w:pPr>
              <w:jc w:val="right"/>
              <w:ind w:right="211"/>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0.02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7460" w:type="dxa"/>
            <w:vAlign w:val="bottom"/>
          </w:tcPr>
          <w:p>
            <w:pPr>
              <w:ind w:left="20"/>
              <w:spacing w:after="0" w:line="157" w:lineRule="exact"/>
              <w:rPr>
                <w:sz w:val="20"/>
                <w:szCs w:val="20"/>
                <w:color w:val="auto"/>
              </w:rPr>
            </w:pPr>
            <w:r>
              <w:rPr>
                <w:rFonts w:ascii="Calibri" w:cs="Calibri" w:eastAsia="Calibri" w:hAnsi="Calibri"/>
                <w:sz w:val="17"/>
                <w:szCs w:val="17"/>
                <w:color w:val="auto"/>
              </w:rPr>
              <w:t>Diluted</w:t>
            </w:r>
          </w:p>
        </w:tc>
        <w:tc>
          <w:tcPr>
            <w:tcW w:w="400" w:type="dxa"/>
            <w:vAlign w:val="bottom"/>
          </w:tcPr>
          <w:p>
            <w:pPr>
              <w:jc w:val="right"/>
              <w:ind w:right="211"/>
              <w:spacing w:after="0" w:line="157" w:lineRule="exact"/>
              <w:rPr>
                <w:sz w:val="20"/>
                <w:szCs w:val="20"/>
                <w:color w:val="auto"/>
              </w:rPr>
            </w:pPr>
            <w:r>
              <w:rPr>
                <w:rFonts w:ascii="Calibri" w:cs="Calibri" w:eastAsia="Calibri" w:hAnsi="Calibri"/>
                <w:sz w:val="17"/>
                <w:szCs w:val="17"/>
                <w:color w:val="auto"/>
                <w:w w:val="92"/>
              </w:rPr>
              <w:t>$</w:t>
            </w:r>
          </w:p>
        </w:tc>
        <w:tc>
          <w:tcPr>
            <w:tcW w:w="1320" w:type="dxa"/>
            <w:vAlign w:val="bottom"/>
          </w:tcPr>
          <w:p>
            <w:pPr>
              <w:jc w:val="right"/>
              <w:spacing w:after="0" w:line="157" w:lineRule="exact"/>
              <w:rPr>
                <w:sz w:val="20"/>
                <w:szCs w:val="20"/>
                <w:color w:val="auto"/>
              </w:rPr>
            </w:pPr>
            <w:r>
              <w:rPr>
                <w:rFonts w:ascii="Calibri" w:cs="Calibri" w:eastAsia="Calibri" w:hAnsi="Calibri"/>
                <w:sz w:val="17"/>
                <w:szCs w:val="17"/>
                <w:color w:val="auto"/>
              </w:rPr>
              <w:t>0.02</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6"/>
        </w:trPr>
        <w:tc>
          <w:tcPr>
            <w:tcW w:w="7460" w:type="dxa"/>
            <w:vAlign w:val="bottom"/>
          </w:tcPr>
          <w:p>
            <w:pPr>
              <w:ind w:left="20"/>
              <w:spacing w:after="0" w:line="276" w:lineRule="exact"/>
              <w:rPr>
                <w:sz w:val="20"/>
                <w:szCs w:val="20"/>
                <w:color w:val="auto"/>
              </w:rPr>
            </w:pPr>
            <w:r>
              <w:rPr>
                <w:rFonts w:ascii="Calibri" w:cs="Calibri" w:eastAsia="Calibri" w:hAnsi="Calibri"/>
                <w:sz w:val="18"/>
                <w:szCs w:val="18"/>
                <w:b w:val="1"/>
                <w:bCs w:val="1"/>
                <w:color w:val="auto"/>
              </w:rPr>
              <w:t>Weighted average Class A Common Stock outstanding</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6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79,151,929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60" w:type="dxa"/>
            <w:vAlign w:val="bottom"/>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4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198,414,147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-1833245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-1833245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-1550035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-1550035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-984250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-967105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ind w:right="20" w:firstLine="8"/>
        <w:spacing w:after="0" w:line="245" w:lineRule="auto"/>
        <w:tabs>
          <w:tab w:leader="none" w:pos="248"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There were no shares of Class A Common Stock outstanding prior to October 18, 2021. Therefore, no income (loss) per share informaton has been presented for any period prior to that date.</w:t>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CONDENSED CONSOLIDATED STATEMENTS OF COMPREHENSIVE INCOME (LOSS)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40" w:type="dxa"/>
            <w:vAlign w:val="bottom"/>
          </w:tcPr>
          <w:p>
            <w:pPr>
              <w:spacing w:after="0"/>
              <w:rPr>
                <w:sz w:val="19"/>
                <w:szCs w:val="19"/>
                <w:color w:val="auto"/>
              </w:rPr>
            </w:pPr>
          </w:p>
        </w:tc>
        <w:tc>
          <w:tcPr>
            <w:tcW w:w="3460" w:type="dxa"/>
            <w:vAlign w:val="bottom"/>
            <w:gridSpan w:val="4"/>
          </w:tcPr>
          <w:p>
            <w:pPr>
              <w:jc w:val="right"/>
              <w:ind w:right="170"/>
              <w:spacing w:after="0"/>
              <w:rPr>
                <w:sz w:val="20"/>
                <w:szCs w:val="20"/>
                <w:color w:val="auto"/>
              </w:rPr>
            </w:pPr>
            <w:r>
              <w:rPr>
                <w:rFonts w:ascii="Calibri" w:cs="Calibri" w:eastAsia="Calibri" w:hAnsi="Calibri"/>
                <w:sz w:val="18"/>
                <w:szCs w:val="18"/>
                <w:b w:val="1"/>
                <w:bCs w:val="1"/>
                <w:color w:val="auto"/>
              </w:rPr>
              <w:t>Three Months Ended March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142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8"/>
                <w:szCs w:val="18"/>
                <w:color w:val="auto"/>
              </w:rPr>
            </w:pPr>
          </w:p>
        </w:tc>
        <w:tc>
          <w:tcPr>
            <w:tcW w:w="1420" w:type="dxa"/>
            <w:vAlign w:val="bottom"/>
            <w:gridSpan w:val="2"/>
          </w:tcPr>
          <w:p>
            <w:pPr>
              <w:jc w:val="right"/>
              <w:spacing w:after="0" w:line="216" w:lineRule="exact"/>
              <w:rPr>
                <w:sz w:val="20"/>
                <w:szCs w:val="20"/>
                <w:color w:val="auto"/>
              </w:rPr>
            </w:pPr>
            <w:r>
              <w:rPr>
                <w:rFonts w:ascii="Calibri" w:cs="Calibri" w:eastAsia="Calibri" w:hAnsi="Calibri"/>
                <w:sz w:val="18"/>
                <w:szCs w:val="18"/>
                <w:b w:val="1"/>
                <w:bCs w:val="1"/>
                <w:color w:val="auto"/>
              </w:rPr>
              <w:t>2021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70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0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1420" w:type="dxa"/>
            <w:vAlign w:val="bottom"/>
            <w:shd w:val="clear" w:color="auto" w:fill="CFF0FC"/>
          </w:tcPr>
          <w:p>
            <w:pPr>
              <w:jc w:val="right"/>
              <w:ind w:right="1230"/>
              <w:spacing w:after="0" w:line="209"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3,138</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50"/>
              <w:spacing w:after="0" w:line="209"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(20,251</w:t>
            </w:r>
          </w:p>
        </w:tc>
        <w:tc>
          <w:tcPr>
            <w:tcW w:w="1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72"/>
              </w:rPr>
              <w:t>)</w:t>
            </w:r>
          </w:p>
        </w:tc>
      </w:tr>
      <w:tr>
        <w:trPr>
          <w:trHeight w:val="215"/>
        </w:trPr>
        <w:tc>
          <w:tcPr>
            <w:tcW w:w="70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 (loss):</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Unrealized gain on derivatve instruments</w:t>
            </w:r>
          </w:p>
        </w:tc>
        <w:tc>
          <w:tcPr>
            <w:tcW w:w="14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income (loss), net of taxes</w:t>
            </w:r>
          </w:p>
        </w:tc>
        <w:tc>
          <w:tcPr>
            <w:tcW w:w="1420" w:type="dxa"/>
            <w:vAlign w:val="bottom"/>
          </w:tcPr>
          <w:p>
            <w:pPr>
              <w:jc w:val="right"/>
              <w:ind w:right="1230"/>
              <w:spacing w:after="0" w:line="209"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3,138</w:t>
            </w:r>
          </w:p>
        </w:tc>
        <w:tc>
          <w:tcPr>
            <w:tcW w:w="1420" w:type="dxa"/>
            <w:vAlign w:val="bottom"/>
            <w:gridSpan w:val="2"/>
          </w:tcPr>
          <w:p>
            <w:pPr>
              <w:jc w:val="right"/>
              <w:ind w:right="950"/>
              <w:spacing w:after="0" w:line="209" w:lineRule="exact"/>
              <w:rPr>
                <w:sz w:val="20"/>
                <w:szCs w:val="20"/>
                <w:color w:val="auto"/>
              </w:rPr>
            </w:pPr>
            <w:r>
              <w:rPr>
                <w:rFonts w:ascii="Calibri" w:cs="Calibri" w:eastAsia="Calibri" w:hAnsi="Calibri"/>
                <w:sz w:val="18"/>
                <w:szCs w:val="18"/>
                <w:b w:val="1"/>
                <w:bCs w:val="1"/>
                <w:color w:val="auto"/>
              </w:rPr>
              <w:t>$</w:t>
            </w:r>
          </w:p>
        </w:tc>
        <w:tc>
          <w:tcPr>
            <w:tcW w:w="74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(20,008 )</w:t>
            </w:r>
          </w:p>
        </w:tc>
      </w:tr>
      <w:tr>
        <w:trPr>
          <w:trHeight w:val="167"/>
        </w:trPr>
        <w:tc>
          <w:tcPr>
            <w:tcW w:w="7040" w:type="dxa"/>
            <w:vAlign w:val="bottom"/>
            <w:shd w:val="clear" w:color="auto" w:fill="CFF0FC"/>
          </w:tcPr>
          <w:p>
            <w:pPr>
              <w:ind w:left="120"/>
              <w:spacing w:after="0" w:line="167" w:lineRule="exact"/>
              <w:rPr>
                <w:sz w:val="20"/>
                <w:szCs w:val="20"/>
                <w:color w:val="auto"/>
              </w:rPr>
            </w:pPr>
            <w:r>
              <w:rPr>
                <w:rFonts w:ascii="Calibri" w:cs="Calibri" w:eastAsia="Calibri" w:hAnsi="Calibri"/>
                <w:sz w:val="18"/>
                <w:szCs w:val="18"/>
                <w:color w:val="auto"/>
              </w:rPr>
              <w:t>Comprehensive loss atributable to Hoya Intermediate, LLC shareholders prior to reverse</w:t>
            </w:r>
          </w:p>
        </w:tc>
        <w:tc>
          <w:tcPr>
            <w:tcW w:w="14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8"/>
        </w:trPr>
        <w:tc>
          <w:tcPr>
            <w:tcW w:w="70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recapitalizaton</w:t>
            </w:r>
          </w:p>
        </w:tc>
        <w:tc>
          <w:tcPr>
            <w:tcW w:w="1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(20,008 )</w:t>
            </w:r>
          </w:p>
        </w:tc>
      </w:tr>
      <w:tr>
        <w:trPr>
          <w:trHeight w:val="215"/>
        </w:trPr>
        <w:tc>
          <w:tcPr>
            <w:tcW w:w="7040" w:type="dxa"/>
            <w:vAlign w:val="bottom"/>
          </w:tcPr>
          <w:p>
            <w:pPr>
              <w:ind w:left="120"/>
              <w:spacing w:after="0" w:line="215" w:lineRule="exact"/>
              <w:rPr>
                <w:sz w:val="20"/>
                <w:szCs w:val="20"/>
                <w:color w:val="auto"/>
              </w:rPr>
            </w:pPr>
            <w:r>
              <w:rPr>
                <w:rFonts w:ascii="Calibri" w:cs="Calibri" w:eastAsia="Calibri" w:hAnsi="Calibri"/>
                <w:sz w:val="18"/>
                <w:szCs w:val="18"/>
                <w:color w:val="auto"/>
              </w:rPr>
              <w:t>Comprehensive income (loss) atributable to redeemable noncontrolling interests</w:t>
            </w:r>
          </w:p>
        </w:tc>
        <w:tc>
          <w:tcPr>
            <w:tcW w:w="14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1,879</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51"/>
        </w:trPr>
        <w:tc>
          <w:tcPr>
            <w:tcW w:w="70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Comprehensive income (loss) atributable to Class A Common Stockholders</w:t>
            </w:r>
          </w:p>
        </w:tc>
        <w:tc>
          <w:tcPr>
            <w:tcW w:w="1420" w:type="dxa"/>
            <w:vAlign w:val="bottom"/>
            <w:tcBorders>
              <w:top w:val="single" w:sz="8" w:color="auto"/>
              <w:bottom w:val="single" w:sz="8" w:color="auto"/>
            </w:tcBorders>
            <w:shd w:val="clear" w:color="auto" w:fill="CFF0FC"/>
          </w:tcPr>
          <w:p>
            <w:pPr>
              <w:jc w:val="right"/>
              <w:ind w:right="123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1,259</w:t>
            </w:r>
          </w:p>
        </w:tc>
        <w:tc>
          <w:tcPr>
            <w:tcW w:w="2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5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-710565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Calibri" w:cs="Calibri" w:eastAsia="Calibri" w:hAnsi="Calibri"/>
                <w:sz w:val="18"/>
                <w:szCs w:val="18"/>
                <w:b w:val="1"/>
                <w:bCs w:val="1"/>
                <w:color w:val="auto"/>
                <w:w w:val="98"/>
              </w:rPr>
              <w:t>Redeemable Senior</w:t>
            </w:r>
          </w:p>
        </w:tc>
        <w:tc>
          <w:tcPr>
            <w:tcW w:w="120" w:type="dxa"/>
            <w:vAlign w:val="bottom"/>
          </w:tcPr>
          <w:p>
            <w:pPr>
              <w:spacing w:after="0"/>
              <w:rPr>
                <w:sz w:val="19"/>
                <w:szCs w:val="19"/>
                <w:color w:val="auto"/>
              </w:rPr>
            </w:pPr>
          </w:p>
        </w:tc>
        <w:tc>
          <w:tcPr>
            <w:tcW w:w="1740" w:type="dxa"/>
            <w:vAlign w:val="bottom"/>
            <w:gridSpan w:val="6"/>
          </w:tcPr>
          <w:p>
            <w:pPr>
              <w:jc w:val="center"/>
              <w:ind w:right="260"/>
              <w:spacing w:after="0"/>
              <w:rPr>
                <w:sz w:val="20"/>
                <w:szCs w:val="20"/>
                <w:color w:val="auto"/>
              </w:rPr>
            </w:pPr>
            <w:r>
              <w:rPr>
                <w:rFonts w:ascii="Calibri" w:cs="Calibri" w:eastAsia="Calibri" w:hAnsi="Calibri"/>
                <w:sz w:val="18"/>
                <w:szCs w:val="18"/>
                <w:b w:val="1"/>
                <w:bCs w:val="1"/>
                <w:color w:val="auto"/>
                <w:w w:val="98"/>
              </w:rPr>
              <w:t>Redeemable</w:t>
            </w:r>
          </w:p>
        </w:tc>
        <w:tc>
          <w:tcPr>
            <w:tcW w:w="820" w:type="dxa"/>
            <w:vAlign w:val="bottom"/>
            <w:gridSpan w:val="3"/>
          </w:tcPr>
          <w:p>
            <w:pPr>
              <w:ind w:left="140"/>
              <w:spacing w:after="0"/>
              <w:rPr>
                <w:sz w:val="20"/>
                <w:szCs w:val="20"/>
                <w:color w:val="auto"/>
              </w:rPr>
            </w:pPr>
            <w:r>
              <w:rPr>
                <w:rFonts w:ascii="Calibri" w:cs="Calibri" w:eastAsia="Calibri" w:hAnsi="Calibri"/>
                <w:sz w:val="18"/>
                <w:szCs w:val="18"/>
                <w:b w:val="1"/>
                <w:bCs w:val="1"/>
                <w:color w:val="auto"/>
                <w:w w:val="97"/>
              </w:rPr>
              <w:t>Common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00" w:type="dxa"/>
            <w:vAlign w:val="bottom"/>
          </w:tcPr>
          <w:p>
            <w:pPr>
              <w:spacing w:after="0"/>
              <w:rPr>
                <w:sz w:val="18"/>
                <w:szCs w:val="18"/>
                <w:color w:val="auto"/>
              </w:rPr>
            </w:pPr>
          </w:p>
        </w:tc>
        <w:tc>
          <w:tcPr>
            <w:tcW w:w="1540" w:type="dxa"/>
            <w:vAlign w:val="bottom"/>
            <w:gridSpan w:val="4"/>
          </w:tcPr>
          <w:p>
            <w:pPr>
              <w:jc w:val="right"/>
              <w:ind w:right="131"/>
              <w:spacing w:after="0" w:line="215" w:lineRule="exact"/>
              <w:rPr>
                <w:sz w:val="20"/>
                <w:szCs w:val="20"/>
                <w:color w:val="auto"/>
              </w:rPr>
            </w:pPr>
            <w:r>
              <w:rPr>
                <w:rFonts w:ascii="Calibri" w:cs="Calibri" w:eastAsia="Calibri" w:hAnsi="Calibri"/>
                <w:sz w:val="18"/>
                <w:szCs w:val="18"/>
                <w:b w:val="1"/>
                <w:bCs w:val="1"/>
                <w:color w:val="auto"/>
              </w:rPr>
              <w:t>preferred units</w:t>
            </w:r>
          </w:p>
        </w:tc>
        <w:tc>
          <w:tcPr>
            <w:tcW w:w="120" w:type="dxa"/>
            <w:vAlign w:val="bottom"/>
          </w:tcPr>
          <w:p>
            <w:pPr>
              <w:spacing w:after="0"/>
              <w:rPr>
                <w:sz w:val="18"/>
                <w:szCs w:val="18"/>
                <w:color w:val="auto"/>
              </w:rPr>
            </w:pPr>
          </w:p>
        </w:tc>
        <w:tc>
          <w:tcPr>
            <w:tcW w:w="1740" w:type="dxa"/>
            <w:vAlign w:val="bottom"/>
            <w:gridSpan w:val="6"/>
          </w:tcPr>
          <w:p>
            <w:pPr>
              <w:jc w:val="center"/>
              <w:ind w:right="220"/>
              <w:spacing w:after="0" w:line="215" w:lineRule="exact"/>
              <w:rPr>
                <w:sz w:val="20"/>
                <w:szCs w:val="20"/>
                <w:color w:val="auto"/>
              </w:rPr>
            </w:pPr>
            <w:r>
              <w:rPr>
                <w:rFonts w:ascii="Calibri" w:cs="Calibri" w:eastAsia="Calibri" w:hAnsi="Calibri"/>
                <w:sz w:val="18"/>
                <w:szCs w:val="18"/>
                <w:b w:val="1"/>
                <w:bCs w:val="1"/>
                <w:color w:val="auto"/>
                <w:w w:val="95"/>
              </w:rPr>
              <w:t>Preferred units</w:t>
            </w:r>
          </w:p>
        </w:tc>
        <w:tc>
          <w:tcPr>
            <w:tcW w:w="820" w:type="dxa"/>
            <w:vAlign w:val="bottom"/>
            <w:gridSpan w:val="3"/>
          </w:tcPr>
          <w:p>
            <w:pPr>
              <w:jc w:val="center"/>
              <w:ind w:left="70"/>
              <w:spacing w:after="0" w:line="215" w:lineRule="exact"/>
              <w:rPr>
                <w:sz w:val="20"/>
                <w:szCs w:val="20"/>
                <w:color w:val="auto"/>
              </w:rPr>
            </w:pPr>
            <w:r>
              <w:rPr>
                <w:rFonts w:ascii="Calibri" w:cs="Calibri" w:eastAsia="Calibri" w:hAnsi="Calibri"/>
                <w:sz w:val="18"/>
                <w:szCs w:val="18"/>
                <w:b w:val="1"/>
                <w:bCs w:val="1"/>
                <w:color w:val="auto"/>
              </w:rPr>
              <w:t>units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4"/>
            <w:vMerge w:val="restart"/>
          </w:tcPr>
          <w:p>
            <w:pPr>
              <w:jc w:val="center"/>
              <w:ind w:right="300"/>
              <w:spacing w:after="0" w:line="204" w:lineRule="exact"/>
              <w:rPr>
                <w:sz w:val="20"/>
                <w:szCs w:val="20"/>
                <w:color w:val="auto"/>
              </w:rPr>
            </w:pPr>
            <w:r>
              <w:rPr>
                <w:rFonts w:ascii="Calibri" w:cs="Calibri" w:eastAsia="Calibri" w:hAnsi="Calibri"/>
                <w:sz w:val="18"/>
                <w:szCs w:val="18"/>
                <w:b w:val="1"/>
                <w:bCs w:val="1"/>
                <w:color w:val="auto"/>
                <w:w w:val="95"/>
              </w:rPr>
              <w:t>Accumulated</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w w:val="93"/>
              </w:rPr>
              <w:t>Unit</w:t>
            </w:r>
          </w:p>
        </w:tc>
        <w:tc>
          <w:tcPr>
            <w:tcW w:w="100" w:type="dxa"/>
            <w:vAlign w:val="bottom"/>
          </w:tcPr>
          <w:p>
            <w:pPr>
              <w:spacing w:after="0"/>
              <w:rPr>
                <w:sz w:val="16"/>
                <w:szCs w:val="16"/>
                <w:color w:val="auto"/>
              </w:rPr>
            </w:pPr>
          </w:p>
        </w:tc>
        <w:tc>
          <w:tcPr>
            <w:tcW w:w="560" w:type="dxa"/>
            <w:vAlign w:val="bottom"/>
            <w:gridSpan w:val="2"/>
            <w:vMerge w:val="restart"/>
          </w:tcPr>
          <w:p>
            <w:pPr>
              <w:jc w:val="right"/>
              <w:spacing w:after="0"/>
              <w:rPr>
                <w:sz w:val="20"/>
                <w:szCs w:val="20"/>
                <w:color w:val="auto"/>
              </w:rPr>
            </w:pPr>
            <w:r>
              <w:rPr>
                <w:rFonts w:ascii="Calibri" w:cs="Calibri" w:eastAsia="Calibri" w:hAnsi="Calibri"/>
                <w:sz w:val="18"/>
                <w:szCs w:val="18"/>
                <w:b w:val="1"/>
                <w:bCs w:val="1"/>
                <w:color w:val="auto"/>
                <w:w w:val="98"/>
              </w:rPr>
              <w:t>Amoun</w:t>
            </w:r>
          </w:p>
        </w:tc>
        <w:tc>
          <w:tcPr>
            <w:tcW w:w="120" w:type="dxa"/>
            <w:vAlign w:val="bottom"/>
          </w:tcPr>
          <w:p>
            <w:pPr>
              <w:spacing w:after="0"/>
              <w:rPr>
                <w:sz w:val="16"/>
                <w:szCs w:val="16"/>
                <w:color w:val="auto"/>
              </w:rPr>
            </w:pPr>
          </w:p>
        </w:tc>
        <w:tc>
          <w:tcPr>
            <w:tcW w:w="880" w:type="dxa"/>
            <w:vAlign w:val="bottom"/>
            <w:gridSpan w:val="3"/>
          </w:tcPr>
          <w:p>
            <w:pPr>
              <w:ind w:left="20"/>
              <w:spacing w:after="0" w:line="189" w:lineRule="exact"/>
              <w:rPr>
                <w:sz w:val="20"/>
                <w:szCs w:val="20"/>
                <w:color w:val="auto"/>
              </w:rPr>
            </w:pPr>
            <w:r>
              <w:rPr>
                <w:rFonts w:ascii="Calibri" w:cs="Calibri" w:eastAsia="Calibri" w:hAnsi="Calibri"/>
                <w:sz w:val="18"/>
                <w:szCs w:val="18"/>
                <w:b w:val="1"/>
                <w:bCs w:val="1"/>
                <w:color w:val="auto"/>
              </w:rPr>
              <w:t>Additona</w:t>
            </w:r>
          </w:p>
        </w:tc>
        <w:tc>
          <w:tcPr>
            <w:tcW w:w="1060" w:type="dxa"/>
            <w:vAlign w:val="bottom"/>
            <w:gridSpan w:val="3"/>
            <w:vMerge w:val="restart"/>
          </w:tcPr>
          <w:p>
            <w:pPr>
              <w:ind w:left="20"/>
              <w:spacing w:after="0"/>
              <w:rPr>
                <w:sz w:val="20"/>
                <w:szCs w:val="20"/>
                <w:color w:val="auto"/>
              </w:rPr>
            </w:pPr>
            <w:r>
              <w:rPr>
                <w:rFonts w:ascii="Calibri" w:cs="Calibri" w:eastAsia="Calibri" w:hAnsi="Calibri"/>
                <w:sz w:val="18"/>
                <w:szCs w:val="18"/>
                <w:b w:val="1"/>
                <w:bCs w:val="1"/>
                <w:color w:val="auto"/>
              </w:rPr>
              <w:t>Accumulate</w:t>
            </w:r>
          </w:p>
        </w:tc>
        <w:tc>
          <w:tcPr>
            <w:tcW w:w="160" w:type="dxa"/>
            <w:vAlign w:val="bottom"/>
          </w:tcPr>
          <w:p>
            <w:pPr>
              <w:spacing w:after="0"/>
              <w:rPr>
                <w:sz w:val="16"/>
                <w:szCs w:val="16"/>
                <w:color w:val="auto"/>
              </w:rPr>
            </w:pPr>
          </w:p>
        </w:tc>
        <w:tc>
          <w:tcPr>
            <w:tcW w:w="1200" w:type="dxa"/>
            <w:vAlign w:val="bottom"/>
            <w:gridSpan w:val="3"/>
          </w:tcPr>
          <w:p>
            <w:pPr>
              <w:jc w:val="center"/>
              <w:ind w:right="480"/>
              <w:spacing w:after="0" w:line="189" w:lineRule="exact"/>
              <w:rPr>
                <w:sz w:val="20"/>
                <w:szCs w:val="20"/>
                <w:color w:val="auto"/>
              </w:rPr>
            </w:pPr>
            <w:r>
              <w:rPr>
                <w:rFonts w:ascii="Calibri" w:cs="Calibri" w:eastAsia="Calibri" w:hAnsi="Calibri"/>
                <w:sz w:val="18"/>
                <w:szCs w:val="18"/>
                <w:b w:val="1"/>
                <w:bCs w:val="1"/>
                <w:color w:val="auto"/>
                <w:w w:val="97"/>
              </w:rPr>
              <w:t>other</w:t>
            </w:r>
          </w:p>
        </w:tc>
        <w:tc>
          <w:tcPr>
            <w:tcW w:w="720" w:type="dxa"/>
            <w:vAlign w:val="bottom"/>
            <w:gridSpan w:val="2"/>
          </w:tcPr>
          <w:p>
            <w:pPr>
              <w:jc w:val="right"/>
              <w:ind w:right="300"/>
              <w:spacing w:after="0" w:line="189" w:lineRule="exact"/>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660" w:type="dxa"/>
            <w:vAlign w:val="bottom"/>
          </w:tcPr>
          <w:p>
            <w:pPr>
              <w:jc w:val="right"/>
              <w:ind w:right="30"/>
              <w:spacing w:after="0" w:line="171" w:lineRule="exact"/>
              <w:rPr>
                <w:sz w:val="20"/>
                <w:szCs w:val="20"/>
                <w:color w:val="auto"/>
              </w:rPr>
            </w:pPr>
            <w:r>
              <w:rPr>
                <w:rFonts w:ascii="Calibri" w:cs="Calibri" w:eastAsia="Calibri" w:hAnsi="Calibri"/>
                <w:sz w:val="18"/>
                <w:szCs w:val="18"/>
                <w:b w:val="1"/>
                <w:bCs w:val="1"/>
                <w:color w:val="auto"/>
              </w:rPr>
              <w:t>Units</w:t>
            </w:r>
          </w:p>
        </w:tc>
        <w:tc>
          <w:tcPr>
            <w:tcW w:w="140" w:type="dxa"/>
            <w:vAlign w:val="bottom"/>
          </w:tcPr>
          <w:p>
            <w:pPr>
              <w:spacing w:after="0"/>
              <w:rPr>
                <w:sz w:val="14"/>
                <w:szCs w:val="14"/>
                <w:color w:val="auto"/>
              </w:rPr>
            </w:pPr>
          </w:p>
        </w:tc>
        <w:tc>
          <w:tcPr>
            <w:tcW w:w="740" w:type="dxa"/>
            <w:vAlign w:val="bottom"/>
            <w:gridSpan w:val="2"/>
          </w:tcPr>
          <w:p>
            <w:pPr>
              <w:jc w:val="right"/>
              <w:spacing w:after="0" w:line="171" w:lineRule="exact"/>
              <w:rPr>
                <w:sz w:val="20"/>
                <w:szCs w:val="20"/>
                <w:color w:val="auto"/>
              </w:rPr>
            </w:pPr>
            <w:r>
              <w:rPr>
                <w:rFonts w:ascii="Calibri" w:cs="Calibri" w:eastAsia="Calibri" w:hAnsi="Calibri"/>
                <w:sz w:val="18"/>
                <w:szCs w:val="18"/>
                <w:b w:val="1"/>
                <w:bCs w:val="1"/>
                <w:color w:val="auto"/>
              </w:rPr>
              <w:t>Amount</w:t>
            </w:r>
          </w:p>
        </w:tc>
        <w:tc>
          <w:tcPr>
            <w:tcW w:w="120" w:type="dxa"/>
            <w:vAlign w:val="bottom"/>
          </w:tcPr>
          <w:p>
            <w:pPr>
              <w:spacing w:after="0"/>
              <w:rPr>
                <w:sz w:val="14"/>
                <w:szCs w:val="14"/>
                <w:color w:val="auto"/>
              </w:rPr>
            </w:pPr>
          </w:p>
        </w:tc>
        <w:tc>
          <w:tcPr>
            <w:tcW w:w="660" w:type="dxa"/>
            <w:vAlign w:val="bottom"/>
          </w:tcPr>
          <w:p>
            <w:pPr>
              <w:jc w:val="right"/>
              <w:ind w:right="30"/>
              <w:spacing w:after="0" w:line="171" w:lineRule="exact"/>
              <w:rPr>
                <w:sz w:val="20"/>
                <w:szCs w:val="20"/>
                <w:color w:val="auto"/>
              </w:rPr>
            </w:pPr>
            <w:r>
              <w:rPr>
                <w:rFonts w:ascii="Calibri" w:cs="Calibri" w:eastAsia="Calibri" w:hAnsi="Calibri"/>
                <w:sz w:val="18"/>
                <w:szCs w:val="18"/>
                <w:b w:val="1"/>
                <w:bCs w:val="1"/>
                <w:color w:val="auto"/>
              </w:rPr>
              <w:t>Units</w:t>
            </w:r>
          </w:p>
        </w:tc>
        <w:tc>
          <w:tcPr>
            <w:tcW w:w="140" w:type="dxa"/>
            <w:vAlign w:val="bottom"/>
          </w:tcPr>
          <w:p>
            <w:pPr>
              <w:spacing w:after="0"/>
              <w:rPr>
                <w:sz w:val="14"/>
                <w:szCs w:val="14"/>
                <w:color w:val="auto"/>
              </w:rPr>
            </w:pPr>
          </w:p>
        </w:tc>
        <w:tc>
          <w:tcPr>
            <w:tcW w:w="940" w:type="dxa"/>
            <w:vAlign w:val="bottom"/>
            <w:gridSpan w:val="4"/>
          </w:tcPr>
          <w:p>
            <w:pPr>
              <w:ind w:left="60"/>
              <w:spacing w:after="0" w:line="171" w:lineRule="exact"/>
              <w:rPr>
                <w:sz w:val="20"/>
                <w:szCs w:val="20"/>
                <w:color w:val="auto"/>
              </w:rPr>
            </w:pPr>
            <w:r>
              <w:rPr>
                <w:rFonts w:ascii="Calibri" w:cs="Calibri" w:eastAsia="Calibri" w:hAnsi="Calibri"/>
                <w:sz w:val="18"/>
                <w:szCs w:val="18"/>
                <w:b w:val="1"/>
                <w:bCs w:val="1"/>
                <w:color w:val="auto"/>
              </w:rPr>
              <w:t>Amount</w:t>
            </w: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60"/>
              <w:spacing w:after="0" w:line="171" w:lineRule="exact"/>
              <w:rPr>
                <w:sz w:val="20"/>
                <w:szCs w:val="20"/>
                <w:color w:val="auto"/>
              </w:rPr>
            </w:pPr>
            <w:r>
              <w:rPr>
                <w:rFonts w:ascii="Calibri" w:cs="Calibri" w:eastAsia="Calibri" w:hAnsi="Calibri"/>
                <w:sz w:val="18"/>
                <w:szCs w:val="18"/>
                <w:b w:val="1"/>
                <w:bCs w:val="1"/>
                <w:color w:val="auto"/>
              </w:rPr>
              <w:t>l paid-in</w:t>
            </w:r>
          </w:p>
        </w:tc>
        <w:tc>
          <w:tcPr>
            <w:tcW w:w="1060" w:type="dxa"/>
            <w:vAlign w:val="bottom"/>
            <w:gridSpan w:val="3"/>
            <w:vMerge w:val="continue"/>
          </w:tcPr>
          <w:p>
            <w:pPr>
              <w:spacing w:after="0"/>
              <w:rPr>
                <w:sz w:val="14"/>
                <w:szCs w:val="14"/>
                <w:color w:val="auto"/>
              </w:rPr>
            </w:pPr>
          </w:p>
        </w:tc>
        <w:tc>
          <w:tcPr>
            <w:tcW w:w="2080" w:type="dxa"/>
            <w:vAlign w:val="bottom"/>
            <w:gridSpan w:val="6"/>
          </w:tcPr>
          <w:p>
            <w:pPr>
              <w:jc w:val="right"/>
              <w:ind w:right="100"/>
              <w:spacing w:after="0" w:line="171" w:lineRule="exact"/>
              <w:rPr>
                <w:sz w:val="20"/>
                <w:szCs w:val="20"/>
                <w:color w:val="auto"/>
              </w:rPr>
            </w:pPr>
            <w:r>
              <w:rPr>
                <w:rFonts w:ascii="Calibri" w:cs="Calibri" w:eastAsia="Calibri" w:hAnsi="Calibri"/>
                <w:sz w:val="18"/>
                <w:szCs w:val="18"/>
                <w:b w:val="1"/>
                <w:bCs w:val="1"/>
                <w:color w:val="auto"/>
              </w:rPr>
              <w:t>comprehensiv  members'</w:t>
            </w:r>
          </w:p>
        </w:tc>
        <w:tc>
          <w:tcPr>
            <w:tcW w:w="0" w:type="dxa"/>
            <w:vAlign w:val="bottom"/>
          </w:tcPr>
          <w:p>
            <w:pPr>
              <w:spacing w:after="0"/>
              <w:rPr>
                <w:sz w:val="1"/>
                <w:szCs w:val="1"/>
                <w:color w:val="auto"/>
              </w:rPr>
            </w:pPr>
          </w:p>
        </w:tc>
      </w:tr>
      <w:tr>
        <w:trPr>
          <w:trHeight w:val="207"/>
        </w:trPr>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70"/>
              <w:spacing w:after="0" w:line="189" w:lineRule="exact"/>
              <w:rPr>
                <w:sz w:val="20"/>
                <w:szCs w:val="20"/>
                <w:color w:val="auto"/>
              </w:rPr>
            </w:pPr>
            <w:r>
              <w:rPr>
                <w:rFonts w:ascii="Calibri" w:cs="Calibri" w:eastAsia="Calibri" w:hAnsi="Calibri"/>
                <w:sz w:val="18"/>
                <w:szCs w:val="18"/>
                <w:b w:val="1"/>
                <w:bCs w:val="1"/>
                <w:color w:val="auto"/>
              </w:rPr>
              <w:t>s</w:t>
            </w:r>
          </w:p>
        </w:tc>
        <w:tc>
          <w:tcPr>
            <w:tcW w:w="100" w:type="dxa"/>
            <w:vAlign w:val="bottom"/>
          </w:tcPr>
          <w:p>
            <w:pPr>
              <w:spacing w:after="0"/>
              <w:rPr>
                <w:sz w:val="18"/>
                <w:szCs w:val="18"/>
                <w:color w:val="auto"/>
              </w:rPr>
            </w:pPr>
          </w:p>
        </w:tc>
        <w:tc>
          <w:tcPr>
            <w:tcW w:w="380" w:type="dxa"/>
            <w:vAlign w:val="bottom"/>
          </w:tcPr>
          <w:p>
            <w:pPr>
              <w:ind w:left="260"/>
              <w:spacing w:after="0" w:line="189" w:lineRule="exact"/>
              <w:rPr>
                <w:sz w:val="20"/>
                <w:szCs w:val="20"/>
                <w:color w:val="auto"/>
              </w:rPr>
            </w:pPr>
            <w:r>
              <w:rPr>
                <w:rFonts w:ascii="Calibri" w:cs="Calibri" w:eastAsia="Calibri" w:hAnsi="Calibri"/>
                <w:sz w:val="18"/>
                <w:szCs w:val="18"/>
                <w:b w:val="1"/>
                <w:bCs w:val="1"/>
                <w:color w:val="auto"/>
              </w:rPr>
              <w:t>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line="207" w:lineRule="exact"/>
              <w:rPr>
                <w:sz w:val="20"/>
                <w:szCs w:val="20"/>
                <w:color w:val="auto"/>
              </w:rPr>
            </w:pPr>
            <w:r>
              <w:rPr>
                <w:rFonts w:ascii="Calibri" w:cs="Calibri" w:eastAsia="Calibri" w:hAnsi="Calibri"/>
                <w:sz w:val="18"/>
                <w:szCs w:val="18"/>
                <w:b w:val="1"/>
                <w:bCs w:val="1"/>
                <w:color w:val="auto"/>
                <w:w w:val="95"/>
              </w:rPr>
              <w:t>capital</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line="189" w:lineRule="exact"/>
              <w:rPr>
                <w:sz w:val="20"/>
                <w:szCs w:val="20"/>
                <w:color w:val="auto"/>
              </w:rPr>
            </w:pPr>
            <w:r>
              <w:rPr>
                <w:rFonts w:ascii="Calibri" w:cs="Calibri" w:eastAsia="Calibri" w:hAnsi="Calibri"/>
                <w:sz w:val="18"/>
                <w:szCs w:val="18"/>
                <w:b w:val="1"/>
                <w:bCs w:val="1"/>
                <w:color w:val="auto"/>
              </w:rPr>
              <w:t>d defcit</w:t>
            </w:r>
          </w:p>
        </w:tc>
        <w:tc>
          <w:tcPr>
            <w:tcW w:w="160" w:type="dxa"/>
            <w:vAlign w:val="bottom"/>
          </w:tcPr>
          <w:p>
            <w:pPr>
              <w:spacing w:after="0"/>
              <w:rPr>
                <w:sz w:val="18"/>
                <w:szCs w:val="18"/>
                <w:color w:val="auto"/>
              </w:rPr>
            </w:pPr>
          </w:p>
        </w:tc>
        <w:tc>
          <w:tcPr>
            <w:tcW w:w="1200" w:type="dxa"/>
            <w:vAlign w:val="bottom"/>
            <w:gridSpan w:val="3"/>
          </w:tcPr>
          <w:p>
            <w:pPr>
              <w:jc w:val="center"/>
              <w:ind w:right="460"/>
              <w:spacing w:after="0" w:line="207" w:lineRule="exact"/>
              <w:rPr>
                <w:sz w:val="20"/>
                <w:szCs w:val="20"/>
                <w:color w:val="auto"/>
              </w:rPr>
            </w:pPr>
            <w:r>
              <w:rPr>
                <w:rFonts w:ascii="Calibri" w:cs="Calibri" w:eastAsia="Calibri" w:hAnsi="Calibri"/>
                <w:sz w:val="18"/>
                <w:szCs w:val="18"/>
                <w:b w:val="1"/>
                <w:bCs w:val="1"/>
                <w:color w:val="auto"/>
                <w:w w:val="96"/>
              </w:rPr>
              <w:t>e income</w:t>
            </w:r>
          </w:p>
        </w:tc>
        <w:tc>
          <w:tcPr>
            <w:tcW w:w="720" w:type="dxa"/>
            <w:vAlign w:val="bottom"/>
            <w:gridSpan w:val="2"/>
          </w:tcPr>
          <w:p>
            <w:pPr>
              <w:jc w:val="right"/>
              <w:ind w:right="240"/>
              <w:spacing w:after="0" w:line="207" w:lineRule="exact"/>
              <w:rPr>
                <w:sz w:val="20"/>
                <w:szCs w:val="20"/>
                <w:color w:val="auto"/>
              </w:rPr>
            </w:pPr>
            <w:r>
              <w:rPr>
                <w:rFonts w:ascii="Calibri" w:cs="Calibri" w:eastAsia="Calibri" w:hAnsi="Calibri"/>
                <w:sz w:val="18"/>
                <w:szCs w:val="18"/>
                <w:b w:val="1"/>
                <w:bCs w:val="1"/>
                <w:color w:val="auto"/>
              </w:rPr>
              <w:t>defcit</w:t>
            </w:r>
          </w:p>
        </w:tc>
        <w:tc>
          <w:tcPr>
            <w:tcW w:w="0" w:type="dxa"/>
            <w:vAlign w:val="bottom"/>
          </w:tcPr>
          <w:p>
            <w:pPr>
              <w:spacing w:after="0"/>
              <w:rPr>
                <w:sz w:val="1"/>
                <w:szCs w:val="1"/>
                <w:color w:val="auto"/>
              </w:rPr>
            </w:pPr>
          </w:p>
        </w:tc>
      </w:tr>
      <w:tr>
        <w:trPr>
          <w:trHeight w:val="215"/>
        </w:trPr>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420"/>
              <w:spacing w:after="0" w:line="215" w:lineRule="exact"/>
              <w:rPr>
                <w:sz w:val="20"/>
                <w:szCs w:val="20"/>
                <w:color w:val="auto"/>
              </w:rPr>
            </w:pPr>
            <w:r>
              <w:rPr>
                <w:rFonts w:ascii="Calibri" w:cs="Calibri" w:eastAsia="Calibri" w:hAnsi="Calibri"/>
                <w:sz w:val="18"/>
                <w:szCs w:val="18"/>
                <w:b w:val="1"/>
                <w:bCs w:val="1"/>
                <w:color w:val="auto"/>
                <w:w w:val="95"/>
              </w:rPr>
              <w:t>(loss)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7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218,28</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755,71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(1,026,67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(271,78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Balances at January 1, 2021</w:t>
            </w: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3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78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340" w:type="dxa"/>
            <w:vAlign w:val="bottom"/>
            <w:tcBorders>
              <w:bottom w:val="single" w:sz="8" w:color="CFF0FC"/>
            </w:tcBorders>
            <w:gridSpan w:val="2"/>
            <w:shd w:val="clear" w:color="auto" w:fill="CFF0FC"/>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9,939</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480" w:type="dxa"/>
            <w:vAlign w:val="bottom"/>
            <w:tcBorders>
              <w:bottom w:val="single" w:sz="8" w:color="CFF0FC"/>
            </w:tcBorders>
            <w:gridSpan w:val="2"/>
            <w:shd w:val="clear" w:color="auto" w:fill="CFF0FC"/>
          </w:tcPr>
          <w:p>
            <w:pPr>
              <w:jc w:val="center"/>
              <w:ind w:right="70"/>
              <w:spacing w:after="0" w:line="215" w:lineRule="exact"/>
              <w:rPr>
                <w:sz w:val="20"/>
                <w:szCs w:val="20"/>
                <w:color w:val="auto"/>
              </w:rPr>
            </w:pPr>
            <w:r>
              <w:rPr>
                <w:rFonts w:ascii="Calibri" w:cs="Calibri" w:eastAsia="Calibri" w:hAnsi="Calibri"/>
                <w:sz w:val="18"/>
                <w:szCs w:val="18"/>
                <w:color w:val="auto"/>
                <w:w w:val="87"/>
              </w:rPr>
              <w:t>$</w:t>
            </w: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FF0FC"/>
            </w:tcBorders>
            <w:gridSpan w:val="2"/>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5 ) $</w:t>
            </w:r>
          </w:p>
        </w:tc>
        <w:tc>
          <w:tcPr>
            <w:tcW w:w="1200" w:type="dxa"/>
            <w:vAlign w:val="bottom"/>
            <w:tcBorders>
              <w:bottom w:val="single" w:sz="8" w:color="CFF0FC"/>
            </w:tcBorders>
            <w:gridSpan w:val="3"/>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(822 ) $</w:t>
            </w:r>
          </w:p>
        </w:tc>
        <w:tc>
          <w:tcPr>
            <w:tcW w:w="72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color w:val="auto"/>
              </w:rPr>
              <w:t>(20,251 )</w:t>
            </w:r>
          </w:p>
        </w:tc>
        <w:tc>
          <w:tcPr>
            <w:tcW w:w="160" w:type="dxa"/>
            <w:vAlign w:val="bottom"/>
          </w:tcPr>
          <w:p>
            <w:pPr>
              <w:spacing w:after="0"/>
              <w:rPr>
                <w:sz w:val="18"/>
                <w:szCs w:val="18"/>
                <w:color w:val="auto"/>
              </w:rPr>
            </w:pPr>
          </w:p>
        </w:tc>
        <w:tc>
          <w:tcPr>
            <w:tcW w:w="1200" w:type="dxa"/>
            <w:vAlign w:val="bottom"/>
            <w:gridSpan w:val="3"/>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(20,251 )</w:t>
            </w:r>
          </w:p>
        </w:tc>
        <w:tc>
          <w:tcPr>
            <w:tcW w:w="0" w:type="dxa"/>
            <w:vAlign w:val="bottom"/>
          </w:tcPr>
          <w:p>
            <w:pPr>
              <w:spacing w:after="0"/>
              <w:rPr>
                <w:sz w:val="1"/>
                <w:szCs w:val="1"/>
                <w:color w:val="auto"/>
              </w:rPr>
            </w:pPr>
          </w:p>
        </w:tc>
      </w:tr>
      <w:tr>
        <w:trPr>
          <w:trHeight w:val="167"/>
        </w:trPr>
        <w:tc>
          <w:tcPr>
            <w:tcW w:w="270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Unrealized gain on derivatve</w:t>
            </w: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7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3"/>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line="215" w:lineRule="exact"/>
              <w:rPr>
                <w:sz w:val="20"/>
                <w:szCs w:val="20"/>
                <w:color w:val="auto"/>
              </w:rPr>
            </w:pPr>
            <w:r>
              <w:rPr>
                <w:rFonts w:ascii="Calibri" w:cs="Calibri" w:eastAsia="Calibri" w:hAnsi="Calibri"/>
                <w:sz w:val="18"/>
                <w:szCs w:val="18"/>
                <w:color w:val="auto"/>
              </w:rPr>
              <w:t>parent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1,091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00" w:type="dxa"/>
            <w:vAlign w:val="bottom"/>
            <w:gridSpan w:val="3"/>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7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Accreton of senior preferred units</w:t>
            </w:r>
          </w:p>
        </w:tc>
        <w:tc>
          <w:tcPr>
            <w:tcW w:w="6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6,822</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7"/>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(6,822 )</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(6,822 )</w:t>
            </w:r>
          </w:p>
        </w:tc>
        <w:tc>
          <w:tcPr>
            <w:tcW w:w="0" w:type="dxa"/>
            <w:vAlign w:val="bottom"/>
          </w:tcPr>
          <w:p>
            <w:pPr>
              <w:spacing w:after="0"/>
              <w:rPr>
                <w:sz w:val="1"/>
                <w:szCs w:val="1"/>
                <w:color w:val="auto"/>
              </w:rPr>
            </w:pPr>
          </w:p>
        </w:tc>
      </w:tr>
      <w:tr>
        <w:trPr>
          <w:trHeight w:val="161"/>
        </w:trPr>
        <w:tc>
          <w:tcPr>
            <w:tcW w:w="27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225,11</w:t>
            </w:r>
          </w:p>
        </w:tc>
        <w:tc>
          <w:tcPr>
            <w:tcW w:w="12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749,98</w:t>
            </w:r>
          </w:p>
        </w:tc>
        <w:tc>
          <w:tcPr>
            <w:tcW w:w="1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(1,046,92</w:t>
            </w: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60" w:lineRule="exact"/>
              <w:rPr>
                <w:sz w:val="20"/>
                <w:szCs w:val="20"/>
                <w:color w:val="auto"/>
              </w:rPr>
            </w:pPr>
            <w:r>
              <w:rPr>
                <w:rFonts w:ascii="Calibri" w:cs="Calibri" w:eastAsia="Calibri" w:hAnsi="Calibri"/>
                <w:sz w:val="17"/>
                <w:szCs w:val="17"/>
                <w:b w:val="1"/>
                <w:bCs w:val="1"/>
                <w:color w:val="auto"/>
              </w:rPr>
              <w:t>(297,52</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700" w:type="dxa"/>
            <w:vAlign w:val="bottom"/>
          </w:tcPr>
          <w:p>
            <w:pPr>
              <w:ind w:left="20"/>
              <w:spacing w:after="0"/>
              <w:rPr>
                <w:sz w:val="20"/>
                <w:szCs w:val="20"/>
                <w:color w:val="auto"/>
              </w:rPr>
            </w:pPr>
            <w:r>
              <w:rPr>
                <w:rFonts w:ascii="Calibri" w:cs="Calibri" w:eastAsia="Calibri" w:hAnsi="Calibri"/>
                <w:sz w:val="18"/>
                <w:szCs w:val="18"/>
                <w:b w:val="1"/>
                <w:bCs w:val="1"/>
                <w:color w:val="auto"/>
              </w:rPr>
              <w:t>Balances at March 31, 2021</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140" w:type="dxa"/>
            <w:vAlign w:val="bottom"/>
          </w:tcPr>
          <w:p>
            <w:pPr>
              <w:spacing w:after="0"/>
              <w:rPr>
                <w:sz w:val="20"/>
                <w:szCs w:val="20"/>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20" w:type="dxa"/>
            <w:vAlign w:val="bottom"/>
          </w:tcPr>
          <w:p>
            <w:pPr>
              <w:spacing w:after="0"/>
              <w:rPr>
                <w:sz w:val="20"/>
                <w:szCs w:val="20"/>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140" w:type="dxa"/>
            <w:vAlign w:val="bottom"/>
          </w:tcPr>
          <w:p>
            <w:pPr>
              <w:spacing w:after="0"/>
              <w:rPr>
                <w:sz w:val="20"/>
                <w:szCs w:val="20"/>
                <w:color w:val="auto"/>
              </w:rPr>
            </w:pPr>
          </w:p>
        </w:tc>
        <w:tc>
          <w:tcPr>
            <w:tcW w:w="2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87"/>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9,939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100" w:type="dxa"/>
            <w:vAlign w:val="bottom"/>
          </w:tcPr>
          <w:p>
            <w:pPr>
              <w:spacing w:after="0"/>
              <w:rPr>
                <w:sz w:val="20"/>
                <w:szCs w:val="20"/>
                <w:color w:val="auto"/>
              </w:rPr>
            </w:pPr>
          </w:p>
        </w:tc>
        <w:tc>
          <w:tcPr>
            <w:tcW w:w="380" w:type="dxa"/>
            <w:vAlign w:val="bottom"/>
          </w:tcPr>
          <w:p>
            <w:pPr>
              <w:jc w:val="center"/>
              <w:ind w:right="170"/>
              <w:spacing w:after="0" w:line="215" w:lineRule="exact"/>
              <w:rPr>
                <w:sz w:val="20"/>
                <w:szCs w:val="20"/>
                <w:color w:val="auto"/>
              </w:rPr>
            </w:pPr>
            <w:r>
              <w:rPr>
                <w:rFonts w:ascii="Calibri" w:cs="Calibri" w:eastAsia="Calibri" w:hAnsi="Calibri"/>
                <w:sz w:val="18"/>
                <w:szCs w:val="18"/>
                <w:b w:val="1"/>
                <w:bCs w:val="1"/>
                <w:color w:val="auto"/>
                <w:w w:val="87"/>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w w:val="97"/>
              </w:rPr>
              <w:t>—</w:t>
            </w:r>
          </w:p>
        </w:tc>
        <w:tc>
          <w:tcPr>
            <w:tcW w:w="120" w:type="dxa"/>
            <w:vAlign w:val="bottom"/>
          </w:tcPr>
          <w:p>
            <w:pPr>
              <w:spacing w:after="0"/>
              <w:rPr>
                <w:sz w:val="20"/>
                <w:szCs w:val="20"/>
                <w:color w:val="auto"/>
              </w:rPr>
            </w:pP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5</w:t>
            </w:r>
          </w:p>
        </w:tc>
        <w:tc>
          <w:tcPr>
            <w:tcW w:w="140" w:type="dxa"/>
            <w:vAlign w:val="bottom"/>
          </w:tcPr>
          <w:p>
            <w:pPr>
              <w:spacing w:after="0"/>
              <w:rPr>
                <w:sz w:val="20"/>
                <w:szCs w:val="20"/>
                <w:color w:val="auto"/>
              </w:rPr>
            </w:pPr>
          </w:p>
        </w:tc>
        <w:tc>
          <w:tcPr>
            <w:tcW w:w="140" w:type="dxa"/>
            <w:vAlign w:val="bottom"/>
          </w:tcPr>
          <w:p>
            <w:pPr>
              <w:spacing w:after="0" w:line="215" w:lineRule="exact"/>
              <w:rPr>
                <w:sz w:val="20"/>
                <w:szCs w:val="20"/>
                <w:color w:val="auto"/>
              </w:rPr>
            </w:pPr>
            <w:r>
              <w:rPr>
                <w:rFonts w:ascii="Calibri" w:cs="Calibri" w:eastAsia="Calibri" w:hAnsi="Calibri"/>
                <w:sz w:val="18"/>
                <w:szCs w:val="18"/>
                <w:b w:val="1"/>
                <w:bCs w:val="1"/>
                <w:color w:val="auto"/>
              </w:rPr>
              <w:t>$</w:t>
            </w:r>
          </w:p>
        </w:tc>
        <w:tc>
          <w:tcPr>
            <w:tcW w:w="1080" w:type="dxa"/>
            <w:vAlign w:val="bottom"/>
            <w:gridSpan w:val="3"/>
          </w:tcPr>
          <w:p>
            <w:pPr>
              <w:jc w:val="right"/>
              <w:spacing w:after="0" w:line="215" w:lineRule="exact"/>
              <w:rPr>
                <w:sz w:val="20"/>
                <w:szCs w:val="20"/>
                <w:color w:val="auto"/>
              </w:rPr>
            </w:pPr>
            <w:r>
              <w:rPr>
                <w:rFonts w:ascii="Calibri" w:cs="Calibri" w:eastAsia="Calibri" w:hAnsi="Calibri"/>
                <w:sz w:val="18"/>
                <w:szCs w:val="18"/>
                <w:b w:val="1"/>
                <w:bCs w:val="1"/>
                <w:color w:val="auto"/>
              </w:rPr>
              <w:t>6 ) $</w:t>
            </w:r>
          </w:p>
        </w:tc>
        <w:tc>
          <w:tcPr>
            <w:tcW w:w="120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b w:val="1"/>
                <w:bCs w:val="1"/>
                <w:color w:val="auto"/>
              </w:rPr>
              <w:t>(579 ) $</w:t>
            </w:r>
          </w:p>
        </w:tc>
        <w:tc>
          <w:tcPr>
            <w:tcW w:w="7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b w:val="1"/>
                <w:bCs w:val="1"/>
                <w:color w:val="auto"/>
              </w:rPr>
              <w:t>0 )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gridSpan w:val="7"/>
          </w:tcPr>
          <w:p>
            <w:pPr>
              <w:jc w:val="center"/>
              <w:ind w:left="10"/>
              <w:spacing w:after="0"/>
              <w:rPr>
                <w:sz w:val="20"/>
                <w:szCs w:val="20"/>
                <w:color w:val="auto"/>
              </w:rPr>
            </w:pPr>
            <w:r>
              <w:rPr>
                <w:rFonts w:ascii="Calibri" w:cs="Calibri" w:eastAsia="Calibri" w:hAnsi="Calibri"/>
                <w:sz w:val="18"/>
                <w:szCs w:val="18"/>
                <w:b w:val="1"/>
                <w:bCs w:val="1"/>
                <w:color w:val="auto"/>
                <w:w w:val="96"/>
              </w:rPr>
              <w:t>Class A Common Shares</w:t>
            </w:r>
          </w:p>
        </w:tc>
        <w:tc>
          <w:tcPr>
            <w:tcW w:w="2000" w:type="dxa"/>
            <w:vAlign w:val="bottom"/>
            <w:gridSpan w:val="8"/>
          </w:tcPr>
          <w:p>
            <w:pPr>
              <w:jc w:val="right"/>
              <w:ind w:right="80"/>
              <w:spacing w:after="0"/>
              <w:rPr>
                <w:sz w:val="20"/>
                <w:szCs w:val="20"/>
                <w:color w:val="auto"/>
              </w:rPr>
            </w:pPr>
            <w:r>
              <w:rPr>
                <w:rFonts w:ascii="Calibri" w:cs="Calibri" w:eastAsia="Calibri" w:hAnsi="Calibri"/>
                <w:sz w:val="18"/>
                <w:szCs w:val="18"/>
                <w:b w:val="1"/>
                <w:bCs w:val="1"/>
                <w:color w:val="auto"/>
              </w:rPr>
              <w:t>Class B Common Shares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-541655</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-541655</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-541655</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-541655</wp:posOffset>
            </wp:positionV>
            <wp:extent cx="431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-541655</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-541655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-541655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-541655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-541655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-541655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3" w:lineRule="exact"/>
        <w:rPr>
          <w:sz w:val="20"/>
          <w:szCs w:val="20"/>
          <w:color w:val="auto"/>
        </w:rPr>
      </w:pPr>
    </w:p>
    <w:tbl>
      <w:tblPr>
        <w:tblLayout w:type="fixed"/>
        <w:tblInd w:w="3140" w:type="dxa"/>
        <w:tblCellMar>
          <w:top w:w="0" w:type="dxa"/>
          <w:left w:w="0" w:type="dxa"/>
          <w:bottom w:w="0" w:type="dxa"/>
          <w:right w:w="0" w:type="dxa"/>
        </w:tblCellMar>
      </w:tblPr>
      <w:tr>
        <w:trPr>
          <w:trHeight w:val="180"/>
        </w:trPr>
        <w:tc>
          <w:tcPr>
            <w:tcW w:w="1180" w:type="dxa"/>
            <w:vAlign w:val="bottom"/>
          </w:tcPr>
          <w:p>
            <w:pPr>
              <w:jc w:val="center"/>
              <w:ind w:right="130"/>
              <w:spacing w:after="0" w:line="180" w:lineRule="exact"/>
              <w:rPr>
                <w:sz w:val="20"/>
                <w:szCs w:val="20"/>
                <w:color w:val="auto"/>
              </w:rPr>
            </w:pPr>
            <w:r>
              <w:rPr>
                <w:rFonts w:ascii="Calibri" w:cs="Calibri" w:eastAsia="Calibri" w:hAnsi="Calibri"/>
                <w:sz w:val="18"/>
                <w:szCs w:val="18"/>
                <w:b w:val="1"/>
                <w:bCs w:val="1"/>
                <w:color w:val="auto"/>
                <w:w w:val="98"/>
              </w:rPr>
              <w:t>Redeemable</w:t>
            </w:r>
          </w:p>
        </w:tc>
        <w:tc>
          <w:tcPr>
            <w:tcW w:w="9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Calibri" w:cs="Calibri" w:eastAsia="Calibri" w:hAnsi="Calibri"/>
                <w:sz w:val="18"/>
                <w:szCs w:val="18"/>
                <w:b w:val="1"/>
                <w:bCs w:val="1"/>
                <w:color w:val="auto"/>
              </w:rPr>
              <w:t>Additona</w:t>
            </w:r>
          </w:p>
        </w:tc>
        <w:tc>
          <w:tcPr>
            <w:tcW w:w="960" w:type="dxa"/>
            <w:vAlign w:val="bottom"/>
            <w:vMerge w:val="restart"/>
          </w:tcPr>
          <w:p>
            <w:pPr>
              <w:jc w:val="center"/>
              <w:ind w:left="10"/>
              <w:spacing w:after="0"/>
              <w:rPr>
                <w:sz w:val="20"/>
                <w:szCs w:val="20"/>
                <w:color w:val="auto"/>
              </w:rPr>
            </w:pPr>
            <w:r>
              <w:rPr>
                <w:rFonts w:ascii="Calibri" w:cs="Calibri" w:eastAsia="Calibri" w:hAnsi="Calibri"/>
                <w:sz w:val="18"/>
                <w:szCs w:val="18"/>
                <w:b w:val="1"/>
                <w:bCs w:val="1"/>
                <w:color w:val="auto"/>
                <w:w w:val="97"/>
              </w:rPr>
              <w:t>Accumulate</w:t>
            </w:r>
          </w:p>
        </w:tc>
        <w:tc>
          <w:tcPr>
            <w:tcW w:w="0" w:type="dxa"/>
            <w:vAlign w:val="bottom"/>
          </w:tcPr>
          <w:p>
            <w:pPr>
              <w:spacing w:after="0"/>
              <w:rPr>
                <w:sz w:val="1"/>
                <w:szCs w:val="1"/>
                <w:color w:val="auto"/>
              </w:rPr>
            </w:pPr>
          </w:p>
        </w:tc>
      </w:tr>
      <w:tr>
        <w:trPr>
          <w:trHeight w:val="95"/>
        </w:trPr>
        <w:tc>
          <w:tcPr>
            <w:tcW w:w="1180" w:type="dxa"/>
            <w:vAlign w:val="bottom"/>
            <w:vMerge w:val="restart"/>
          </w:tcPr>
          <w:p>
            <w:pPr>
              <w:jc w:val="center"/>
              <w:ind w:right="90"/>
              <w:spacing w:after="0" w:line="189" w:lineRule="exact"/>
              <w:rPr>
                <w:sz w:val="20"/>
                <w:szCs w:val="20"/>
                <w:color w:val="auto"/>
              </w:rPr>
            </w:pPr>
            <w:r>
              <w:rPr>
                <w:rFonts w:ascii="Calibri" w:cs="Calibri" w:eastAsia="Calibri" w:hAnsi="Calibri"/>
                <w:sz w:val="18"/>
                <w:szCs w:val="18"/>
                <w:b w:val="1"/>
                <w:bCs w:val="1"/>
                <w:color w:val="auto"/>
                <w:w w:val="98"/>
              </w:rPr>
              <w:t>noncontrollin</w:t>
            </w:r>
          </w:p>
        </w:tc>
        <w:tc>
          <w:tcPr>
            <w:tcW w:w="900" w:type="dxa"/>
            <w:vAlign w:val="bottom"/>
            <w:vMerge w:val="restart"/>
          </w:tcPr>
          <w:p>
            <w:pPr>
              <w:ind w:left="200"/>
              <w:spacing w:after="0" w:line="189" w:lineRule="exact"/>
              <w:rPr>
                <w:sz w:val="20"/>
                <w:szCs w:val="20"/>
                <w:color w:val="auto"/>
              </w:rPr>
            </w:pPr>
            <w:r>
              <w:rPr>
                <w:rFonts w:ascii="Calibri" w:cs="Calibri" w:eastAsia="Calibri" w:hAnsi="Calibri"/>
                <w:sz w:val="18"/>
                <w:szCs w:val="18"/>
                <w:b w:val="1"/>
                <w:bCs w:val="1"/>
                <w:color w:val="auto"/>
              </w:rPr>
              <w:t>Shares</w:t>
            </w:r>
          </w:p>
        </w:tc>
        <w:tc>
          <w:tcPr>
            <w:tcW w:w="880" w:type="dxa"/>
            <w:vAlign w:val="bottom"/>
            <w:vMerge w:val="restart"/>
          </w:tcPr>
          <w:p>
            <w:pPr>
              <w:ind w:left="200"/>
              <w:spacing w:after="0" w:line="189" w:lineRule="exact"/>
              <w:rPr>
                <w:sz w:val="20"/>
                <w:szCs w:val="20"/>
                <w:color w:val="auto"/>
              </w:rPr>
            </w:pPr>
            <w:r>
              <w:rPr>
                <w:rFonts w:ascii="Calibri" w:cs="Calibri" w:eastAsia="Calibri" w:hAnsi="Calibri"/>
                <w:sz w:val="18"/>
                <w:szCs w:val="18"/>
                <w:b w:val="1"/>
                <w:bCs w:val="1"/>
                <w:color w:val="auto"/>
              </w:rPr>
              <w:t>Amount</w:t>
            </w:r>
          </w:p>
        </w:tc>
        <w:tc>
          <w:tcPr>
            <w:tcW w:w="160" w:type="dxa"/>
            <w:vAlign w:val="bottom"/>
          </w:tcPr>
          <w:p>
            <w:pPr>
              <w:spacing w:after="0"/>
              <w:rPr>
                <w:sz w:val="8"/>
                <w:szCs w:val="8"/>
                <w:color w:val="auto"/>
              </w:rPr>
            </w:pPr>
          </w:p>
        </w:tc>
        <w:tc>
          <w:tcPr>
            <w:tcW w:w="920" w:type="dxa"/>
            <w:vAlign w:val="bottom"/>
            <w:vMerge w:val="restart"/>
          </w:tcPr>
          <w:p>
            <w:pPr>
              <w:ind w:left="220"/>
              <w:spacing w:after="0" w:line="189" w:lineRule="exact"/>
              <w:rPr>
                <w:sz w:val="20"/>
                <w:szCs w:val="20"/>
                <w:color w:val="auto"/>
              </w:rPr>
            </w:pPr>
            <w:r>
              <w:rPr>
                <w:rFonts w:ascii="Calibri" w:cs="Calibri" w:eastAsia="Calibri" w:hAnsi="Calibri"/>
                <w:sz w:val="18"/>
                <w:szCs w:val="18"/>
                <w:b w:val="1"/>
                <w:bCs w:val="1"/>
                <w:color w:val="auto"/>
              </w:rPr>
              <w:t>Shares</w:t>
            </w:r>
          </w:p>
        </w:tc>
        <w:tc>
          <w:tcPr>
            <w:tcW w:w="1860" w:type="dxa"/>
            <w:vAlign w:val="bottom"/>
            <w:gridSpan w:val="2"/>
            <w:vMerge w:val="restart"/>
          </w:tcPr>
          <w:p>
            <w:pPr>
              <w:ind w:left="220"/>
              <w:spacing w:after="0" w:line="189" w:lineRule="exact"/>
              <w:rPr>
                <w:sz w:val="20"/>
                <w:szCs w:val="20"/>
                <w:color w:val="auto"/>
              </w:rPr>
            </w:pPr>
            <w:r>
              <w:rPr>
                <w:rFonts w:ascii="Calibri" w:cs="Calibri" w:eastAsia="Calibri" w:hAnsi="Calibri"/>
                <w:sz w:val="18"/>
                <w:szCs w:val="18"/>
                <w:b w:val="1"/>
                <w:bCs w:val="1"/>
                <w:color w:val="auto"/>
              </w:rPr>
              <w:t>Amount   l paid-in</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960" w:type="dxa"/>
            <w:vAlign w:val="bottom"/>
            <w:vMerge w:val="restart"/>
          </w:tcPr>
          <w:p>
            <w:pPr>
              <w:jc w:val="center"/>
              <w:ind w:left="10"/>
              <w:spacing w:after="0" w:line="215" w:lineRule="exact"/>
              <w:rPr>
                <w:sz w:val="20"/>
                <w:szCs w:val="20"/>
                <w:color w:val="auto"/>
              </w:rPr>
            </w:pPr>
            <w:r>
              <w:rPr>
                <w:rFonts w:ascii="Calibri" w:cs="Calibri" w:eastAsia="Calibri" w:hAnsi="Calibri"/>
                <w:sz w:val="18"/>
                <w:szCs w:val="18"/>
                <w:b w:val="1"/>
                <w:bCs w:val="1"/>
                <w:color w:val="auto"/>
              </w:rPr>
              <w:t>d defcit</w:t>
            </w:r>
          </w:p>
        </w:tc>
        <w:tc>
          <w:tcPr>
            <w:tcW w:w="0" w:type="dxa"/>
            <w:vAlign w:val="bottom"/>
          </w:tcPr>
          <w:p>
            <w:pPr>
              <w:spacing w:after="0"/>
              <w:rPr>
                <w:sz w:val="1"/>
                <w:szCs w:val="1"/>
                <w:color w:val="auto"/>
              </w:rPr>
            </w:pPr>
          </w:p>
        </w:tc>
      </w:tr>
      <w:tr>
        <w:trPr>
          <w:trHeight w:val="120"/>
        </w:trPr>
        <w:tc>
          <w:tcPr>
            <w:tcW w:w="1180" w:type="dxa"/>
            <w:vAlign w:val="bottom"/>
            <w:vMerge w:val="restart"/>
          </w:tcPr>
          <w:p>
            <w:pPr>
              <w:jc w:val="center"/>
              <w:ind w:right="90"/>
              <w:spacing w:after="0" w:line="215" w:lineRule="exact"/>
              <w:rPr>
                <w:sz w:val="20"/>
                <w:szCs w:val="20"/>
                <w:color w:val="auto"/>
              </w:rPr>
            </w:pPr>
            <w:r>
              <w:rPr>
                <w:rFonts w:ascii="Calibri" w:cs="Calibri" w:eastAsia="Calibri" w:hAnsi="Calibri"/>
                <w:sz w:val="18"/>
                <w:szCs w:val="18"/>
                <w:b w:val="1"/>
                <w:bCs w:val="1"/>
                <w:color w:val="auto"/>
                <w:w w:val="97"/>
              </w:rPr>
              <w:t>g interests</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5"/>
              </w:rPr>
              <w:t>capital</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alibri" w:cs="Calibri" w:eastAsia="Calibri" w:hAnsi="Calibri"/>
          <w:sz w:val="18"/>
          <w:szCs w:val="18"/>
          <w:b w:val="1"/>
          <w:bCs w:val="1"/>
          <w:color w:val="auto"/>
        </w:rPr>
        <w:t>Total</w:t>
      </w:r>
    </w:p>
    <w:p>
      <w:pPr>
        <w:jc w:val="center"/>
        <w:ind w:right="100"/>
        <w:spacing w:after="0" w:line="218" w:lineRule="auto"/>
        <w:rPr>
          <w:sz w:val="20"/>
          <w:szCs w:val="20"/>
          <w:color w:val="auto"/>
        </w:rPr>
      </w:pPr>
      <w:r>
        <w:rPr>
          <w:rFonts w:ascii="Calibri" w:cs="Calibri" w:eastAsia="Calibri" w:hAnsi="Calibri"/>
          <w:sz w:val="17"/>
          <w:szCs w:val="17"/>
          <w:b w:val="1"/>
          <w:bCs w:val="1"/>
          <w:color w:val="auto"/>
        </w:rPr>
        <w:t>shareholders</w:t>
      </w:r>
    </w:p>
    <w:p>
      <w:pPr>
        <w:jc w:val="center"/>
        <w:ind w:right="100"/>
        <w:spacing w:after="0" w:line="206" w:lineRule="auto"/>
        <w:rPr>
          <w:sz w:val="20"/>
          <w:szCs w:val="20"/>
          <w:color w:val="auto"/>
        </w:rPr>
      </w:pPr>
      <w:r>
        <w:rPr>
          <w:rFonts w:ascii="Calibri" w:cs="Calibri" w:eastAsia="Calibri" w:hAnsi="Calibri"/>
          <w:sz w:val="18"/>
          <w:szCs w:val="18"/>
          <w:b w:val="1"/>
          <w:bCs w:val="1"/>
          <w:color w:val="auto"/>
        </w:rPr>
        <w:t>' defcit</w:t>
      </w:r>
    </w:p>
    <w:p>
      <w:pPr>
        <w:spacing w:after="0" w:line="3" w:lineRule="exact"/>
        <w:rPr>
          <w:sz w:val="20"/>
          <w:szCs w:val="20"/>
          <w:color w:val="auto"/>
        </w:rPr>
      </w:pPr>
    </w:p>
    <w:p>
      <w:pPr>
        <w:sectPr>
          <w:pgSz w:w="11900" w:h="16838" w:orient="portrait"/>
          <w:cols w:equalWidth="0" w:num="2">
            <w:col w:w="10000" w:space="200"/>
            <w:col w:w="1040"/>
          </w:cols>
          <w:pgMar w:left="320" w:top="112"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79,091,87</w:t>
            </w:r>
          </w:p>
        </w:tc>
        <w:tc>
          <w:tcPr>
            <w:tcW w:w="14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118,200,00</w:t>
            </w:r>
          </w:p>
        </w:tc>
        <w:tc>
          <w:tcPr>
            <w:tcW w:w="1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(1,042,79</w:t>
            </w:r>
          </w:p>
        </w:tc>
        <w:tc>
          <w:tcPr>
            <w:tcW w:w="1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0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Balances at January 1, 2022</w:t>
            </w:r>
          </w:p>
        </w:tc>
        <w:tc>
          <w:tcPr>
            <w:tcW w:w="2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1,286,016</w:t>
            </w:r>
          </w:p>
        </w:tc>
        <w:tc>
          <w:tcPr>
            <w:tcW w:w="10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w:t>
            </w:r>
          </w:p>
        </w:tc>
        <w:tc>
          <w:tcPr>
            <w:tcW w:w="50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1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CFF0FC"/>
            </w:tcBorders>
            <w:gridSpan w:val="2"/>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9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$ 182,091</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CFF0FC"/>
            </w:tcBorders>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color w:val="auto"/>
              </w:rPr>
              <w:t>4 )</w:t>
            </w:r>
          </w:p>
        </w:tc>
        <w:tc>
          <w:tcPr>
            <w:tcW w:w="2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(860,683 )</w:t>
            </w: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1,879</w:t>
            </w:r>
          </w:p>
        </w:tc>
        <w:tc>
          <w:tcPr>
            <w:tcW w:w="1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Issuance of shares</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75,072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line="215" w:lineRule="exact"/>
              <w:rPr>
                <w:sz w:val="20"/>
                <w:szCs w:val="20"/>
                <w:color w:val="auto"/>
              </w:rPr>
            </w:pPr>
            <w:r>
              <w:rPr>
                <w:rFonts w:ascii="Calibri" w:cs="Calibri" w:eastAsia="Calibri" w:hAnsi="Calibri"/>
                <w:sz w:val="18"/>
                <w:szCs w:val="18"/>
                <w:color w:val="auto"/>
              </w:rPr>
              <w:t>Deemed contributon from former parent</w:t>
            </w: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691</w:t>
            </w:r>
          </w:p>
        </w:tc>
        <w:tc>
          <w:tcPr>
            <w:tcW w:w="1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Equity-based compensaton</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2,443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0"/>
              <w:spacing w:after="0" w:line="166" w:lineRule="exact"/>
              <w:rPr>
                <w:sz w:val="20"/>
                <w:szCs w:val="20"/>
                <w:color w:val="auto"/>
              </w:rPr>
            </w:pPr>
            <w:r>
              <w:rPr>
                <w:rFonts w:ascii="Calibri" w:cs="Calibri" w:eastAsia="Calibri" w:hAnsi="Calibri"/>
                <w:sz w:val="18"/>
                <w:szCs w:val="18"/>
                <w:color w:val="auto"/>
              </w:rPr>
              <w:t>Subsequent remeasurement of</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Calibri" w:cs="Calibri" w:eastAsia="Calibri" w:hAnsi="Calibri"/>
                <w:sz w:val="18"/>
                <w:szCs w:val="18"/>
                <w:color w:val="auto"/>
              </w:rPr>
              <w:t>18,706</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40" w:type="dxa"/>
            <w:vAlign w:val="bottom"/>
            <w:gridSpan w:val="3"/>
            <w:vMerge w:val="restart"/>
          </w:tcPr>
          <w:p>
            <w:pPr>
              <w:jc w:val="right"/>
              <w:ind w:right="80"/>
              <w:spacing w:after="0"/>
              <w:rPr>
                <w:sz w:val="20"/>
                <w:szCs w:val="20"/>
                <w:color w:val="auto"/>
              </w:rPr>
            </w:pPr>
            <w:r>
              <w:rPr>
                <w:rFonts w:ascii="Calibri" w:cs="Calibri" w:eastAsia="Calibri" w:hAnsi="Calibri"/>
                <w:sz w:val="18"/>
                <w:szCs w:val="18"/>
                <w:color w:val="auto"/>
              </w:rPr>
              <w:t>(18,706 )</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Calibri" w:cs="Calibri" w:eastAsia="Calibri" w:hAnsi="Calibri"/>
                <w:sz w:val="18"/>
                <w:szCs w:val="18"/>
                <w:color w:val="auto"/>
              </w:rPr>
              <w:t>(18,706 )</w:t>
            </w: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79,166,94</w:t>
            </w:r>
          </w:p>
        </w:tc>
        <w:tc>
          <w:tcPr>
            <w:tcW w:w="14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118,200,00</w:t>
            </w:r>
          </w:p>
        </w:tc>
        <w:tc>
          <w:tcPr>
            <w:tcW w:w="12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(1,041,53</w:t>
            </w:r>
          </w:p>
        </w:tc>
        <w:tc>
          <w:tcPr>
            <w:tcW w:w="1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10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Balances at March 31, 2022</w:t>
            </w: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b w:val="1"/>
                <w:bCs w:val="1"/>
                <w:color w:val="auto"/>
                <w:w w:val="87"/>
              </w:rPr>
              <w:t>$</w:t>
            </w:r>
          </w:p>
        </w:tc>
        <w:tc>
          <w:tcPr>
            <w:tcW w:w="8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1,307,292</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3</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line="215" w:lineRule="exact"/>
              <w:rPr>
                <w:sz w:val="20"/>
                <w:szCs w:val="20"/>
                <w:color w:val="auto"/>
              </w:rPr>
            </w:pPr>
            <w:r>
              <w:rPr>
                <w:rFonts w:ascii="Calibri" w:cs="Calibri" w:eastAsia="Calibri" w:hAnsi="Calibri"/>
                <w:sz w:val="18"/>
                <w:szCs w:val="18"/>
                <w:b w:val="1"/>
                <w:bCs w:val="1"/>
                <w:color w:val="auto"/>
                <w:w w:val="87"/>
              </w:rPr>
              <w:t>$</w:t>
            </w:r>
          </w:p>
        </w:tc>
        <w:tc>
          <w:tcPr>
            <w:tcW w:w="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line="215" w:lineRule="exact"/>
              <w:rPr>
                <w:sz w:val="20"/>
                <w:szCs w:val="20"/>
                <w:color w:val="auto"/>
              </w:rPr>
            </w:pPr>
            <w:r>
              <w:rPr>
                <w:rFonts w:ascii="Calibri" w:cs="Calibri" w:eastAsia="Calibri" w:hAnsi="Calibri"/>
                <w:sz w:val="18"/>
                <w:szCs w:val="18"/>
                <w:b w:val="1"/>
                <w:bCs w:val="1"/>
                <w:color w:val="auto"/>
                <w:w w:val="87"/>
              </w:rPr>
              <w:t>$</w:t>
            </w:r>
          </w:p>
        </w:tc>
        <w:tc>
          <w:tcPr>
            <w:tcW w:w="4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$ 166,291</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00" w:type="dxa"/>
            <w:vAlign w:val="bottom"/>
            <w:gridSpan w:val="2"/>
            <w:shd w:val="clear" w:color="auto" w:fill="CFF0FC"/>
          </w:tcPr>
          <w:p>
            <w:pPr>
              <w:jc w:val="right"/>
              <w:ind w:right="80"/>
              <w:spacing w:after="0" w:line="215" w:lineRule="exact"/>
              <w:rPr>
                <w:sz w:val="20"/>
                <w:szCs w:val="20"/>
                <w:color w:val="auto"/>
              </w:rPr>
            </w:pPr>
            <w:r>
              <w:rPr>
                <w:rFonts w:ascii="Calibri" w:cs="Calibri" w:eastAsia="Calibri" w:hAnsi="Calibri"/>
                <w:sz w:val="18"/>
                <w:szCs w:val="18"/>
                <w:b w:val="1"/>
                <w:bCs w:val="1"/>
                <w:color w:val="auto"/>
              </w:rPr>
              <w:t>5 )</w:t>
            </w:r>
          </w:p>
        </w:tc>
        <w:tc>
          <w:tcPr>
            <w:tcW w:w="22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8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b w:val="1"/>
                <w:bCs w:val="1"/>
                <w:color w:val="auto"/>
              </w:rPr>
              <w:t>(875,224 )</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-24765</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431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43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3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tcPr>
          <w:p>
            <w:pPr>
              <w:spacing w:after="0"/>
              <w:rPr>
                <w:sz w:val="19"/>
                <w:szCs w:val="19"/>
                <w:color w:val="auto"/>
              </w:rPr>
            </w:pPr>
          </w:p>
        </w:tc>
        <w:tc>
          <w:tcPr>
            <w:tcW w:w="308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74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42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fows from operatng actvites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108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3,138</w:t>
            </w:r>
          </w:p>
        </w:tc>
        <w:tc>
          <w:tcPr>
            <w:tcW w:w="280" w:type="dxa"/>
            <w:vAlign w:val="bottom"/>
          </w:tcPr>
          <w:p>
            <w:pPr>
              <w:spacing w:after="0"/>
              <w:rPr>
                <w:sz w:val="18"/>
                <w:szCs w:val="18"/>
                <w:color w:val="auto"/>
              </w:rPr>
            </w:pPr>
          </w:p>
        </w:tc>
        <w:tc>
          <w:tcPr>
            <w:tcW w:w="106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w w:val="87"/>
              </w:rPr>
              <w:t>$</w:t>
            </w: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(20,251 )</w:t>
            </w: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Adjustments to reconcile net income (loss) to net cash provided by operatng actvites: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1,385</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295</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Amortzaton of deferred fnancing costs and interest rate cap</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329</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1,311</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10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3,597</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1,091</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Loss on extnguishment of debt</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10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2,279</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 paid-in-kind</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10,640</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10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490</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Change in assets and liabilites:</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w:t>
            </w:r>
          </w:p>
        </w:tc>
        <w:tc>
          <w:tcPr>
            <w:tcW w:w="1080" w:type="dxa"/>
            <w:vAlign w:val="bottom"/>
          </w:tcPr>
          <w:p>
            <w:pPr>
              <w:spacing w:after="0"/>
              <w:rPr>
                <w:sz w:val="18"/>
                <w:szCs w:val="18"/>
                <w:color w:val="auto"/>
              </w:rPr>
            </w:pPr>
          </w:p>
        </w:tc>
        <w:tc>
          <w:tcPr>
            <w:tcW w:w="9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(17,854 )</w:t>
            </w:r>
          </w:p>
        </w:tc>
        <w:tc>
          <w:tcPr>
            <w:tcW w:w="1060" w:type="dxa"/>
            <w:vAlign w:val="bottom"/>
          </w:tcPr>
          <w:p>
            <w:pPr>
              <w:spacing w:after="0"/>
              <w:rPr>
                <w:sz w:val="18"/>
                <w:szCs w:val="18"/>
                <w:color w:val="auto"/>
              </w:rPr>
            </w:pP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(1,843 )</w:t>
            </w: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Inventory</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(6,126 )</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(1,420 )</w:t>
            </w: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080" w:type="dxa"/>
            <w:vAlign w:val="bottom"/>
          </w:tcPr>
          <w:p>
            <w:pPr>
              <w:spacing w:after="0"/>
              <w:rPr>
                <w:sz w:val="18"/>
                <w:szCs w:val="18"/>
                <w:color w:val="auto"/>
              </w:rPr>
            </w:pPr>
          </w:p>
        </w:tc>
        <w:tc>
          <w:tcPr>
            <w:tcW w:w="9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(3,252 )</w:t>
            </w:r>
          </w:p>
        </w:tc>
        <w:tc>
          <w:tcPr>
            <w:tcW w:w="1060" w:type="dxa"/>
            <w:vAlign w:val="bottom"/>
          </w:tcPr>
          <w:p>
            <w:pPr>
              <w:spacing w:after="0"/>
              <w:rPr>
                <w:sz w:val="18"/>
                <w:szCs w:val="18"/>
                <w:color w:val="auto"/>
              </w:rPr>
            </w:pP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(1,398 )</w:t>
            </w: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45,094</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37,857</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080" w:type="dxa"/>
            <w:vAlign w:val="bottom"/>
          </w:tcPr>
          <w:p>
            <w:pPr>
              <w:spacing w:after="0"/>
              <w:rPr>
                <w:sz w:val="18"/>
                <w:szCs w:val="18"/>
                <w:color w:val="auto"/>
              </w:rPr>
            </w:pPr>
          </w:p>
        </w:tc>
        <w:tc>
          <w:tcPr>
            <w:tcW w:w="9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(10,599 )</w:t>
            </w: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1,164</w:t>
            </w: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3,094</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3,006</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Other assets and liabilites</w:t>
            </w:r>
          </w:p>
        </w:tc>
        <w:tc>
          <w:tcPr>
            <w:tcW w:w="1080" w:type="dxa"/>
            <w:vAlign w:val="bottom"/>
          </w:tcPr>
          <w:p>
            <w:pPr>
              <w:spacing w:after="0"/>
              <w:rPr>
                <w:sz w:val="18"/>
                <w:szCs w:val="18"/>
                <w:color w:val="auto"/>
              </w:rPr>
            </w:pPr>
          </w:p>
        </w:tc>
        <w:tc>
          <w:tcPr>
            <w:tcW w:w="9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(2,326 )</w:t>
            </w:r>
          </w:p>
        </w:tc>
        <w:tc>
          <w:tcPr>
            <w:tcW w:w="106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309</w:t>
            </w:r>
          </w:p>
        </w:tc>
        <w:tc>
          <w:tcPr>
            <w:tcW w:w="100" w:type="dxa"/>
            <w:vAlign w:val="bottom"/>
          </w:tcPr>
          <w:p>
            <w:pPr>
              <w:spacing w:after="0"/>
              <w:rPr>
                <w:sz w:val="18"/>
                <w:szCs w:val="18"/>
                <w:color w:val="auto"/>
              </w:rPr>
            </w:pPr>
          </w:p>
        </w:tc>
      </w:tr>
      <w:tr>
        <w:trPr>
          <w:trHeight w:val="211"/>
        </w:trPr>
        <w:tc>
          <w:tcPr>
            <w:tcW w:w="7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provided by operatng actvites</w:t>
            </w: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23,534</w:t>
            </w:r>
          </w:p>
        </w:tc>
        <w:tc>
          <w:tcPr>
            <w:tcW w:w="2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30,761</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Purchases of property and equipment</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(693 )</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Investments in developed technology</w:t>
            </w:r>
          </w:p>
        </w:tc>
        <w:tc>
          <w:tcPr>
            <w:tcW w:w="1080" w:type="dxa"/>
            <w:vAlign w:val="bottom"/>
          </w:tcPr>
          <w:p>
            <w:pPr>
              <w:spacing w:after="0"/>
              <w:rPr>
                <w:sz w:val="18"/>
                <w:szCs w:val="18"/>
                <w:color w:val="auto"/>
              </w:rPr>
            </w:pPr>
          </w:p>
        </w:tc>
        <w:tc>
          <w:tcPr>
            <w:tcW w:w="9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(2,748 )</w:t>
            </w:r>
          </w:p>
        </w:tc>
        <w:tc>
          <w:tcPr>
            <w:tcW w:w="1060" w:type="dxa"/>
            <w:vAlign w:val="bottom"/>
          </w:tcPr>
          <w:p>
            <w:pPr>
              <w:spacing w:after="0"/>
              <w:rPr>
                <w:sz w:val="18"/>
                <w:szCs w:val="18"/>
                <w:color w:val="auto"/>
              </w:rPr>
            </w:pP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(1,726 )</w:t>
            </w:r>
          </w:p>
        </w:tc>
      </w:tr>
      <w:tr>
        <w:trPr>
          <w:trHeight w:val="211"/>
        </w:trPr>
        <w:tc>
          <w:tcPr>
            <w:tcW w:w="74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used in investng actvites</w:t>
            </w:r>
          </w:p>
        </w:tc>
        <w:tc>
          <w:tcPr>
            <w:tcW w:w="10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(3,441</w:t>
            </w:r>
          </w:p>
        </w:tc>
        <w:tc>
          <w:tcPr>
            <w:tcW w:w="28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(1,726</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74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June 2017 First Lien Loan</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w w:val="94"/>
              </w:rPr>
              <w:t>(465,712 )</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(1,603 )</w:t>
            </w: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February 2022 First Lien Loan</w:t>
            </w:r>
          </w:p>
        </w:tc>
        <w:tc>
          <w:tcPr>
            <w:tcW w:w="108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275,000</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(4,856 )</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08"/>
        </w:trPr>
        <w:tc>
          <w:tcPr>
            <w:tcW w:w="742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auto"/>
              </w:rPr>
              <w:t>Net cash used in fnancing actvites</w:t>
            </w:r>
          </w:p>
        </w:tc>
        <w:tc>
          <w:tcPr>
            <w:tcW w:w="10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8"/>
              </w:rPr>
              <w:t>(195,568</w:t>
            </w:r>
          </w:p>
        </w:tc>
        <w:tc>
          <w:tcPr>
            <w:tcW w:w="280" w:type="dxa"/>
            <w:vAlign w:val="bottom"/>
          </w:tcPr>
          <w:p>
            <w:pPr>
              <w:jc w:val="right"/>
              <w:ind w:right="110"/>
              <w:spacing w:after="0" w:line="19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(1,603</w:t>
            </w:r>
          </w:p>
        </w:tc>
        <w:tc>
          <w:tcPr>
            <w:tcW w:w="100" w:type="dxa"/>
            <w:vAlign w:val="bottom"/>
          </w:tcPr>
          <w:p>
            <w:pPr>
              <w:jc w:val="right"/>
              <w:spacing w:after="0" w:line="195" w:lineRule="exact"/>
              <w:rPr>
                <w:sz w:val="20"/>
                <w:szCs w:val="20"/>
                <w:color w:val="auto"/>
              </w:rPr>
            </w:pPr>
            <w:r>
              <w:rPr>
                <w:rFonts w:ascii="Calibri" w:cs="Calibri" w:eastAsia="Calibri" w:hAnsi="Calibri"/>
                <w:sz w:val="18"/>
                <w:szCs w:val="18"/>
                <w:b w:val="1"/>
                <w:bCs w:val="1"/>
                <w:color w:val="auto"/>
                <w:w w:val="70"/>
              </w:rPr>
              <w:t>)</w:t>
            </w:r>
          </w:p>
        </w:tc>
      </w:tr>
      <w:tr>
        <w:trPr>
          <w:trHeight w:val="210"/>
        </w:trPr>
        <w:tc>
          <w:tcPr>
            <w:tcW w:w="74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increase (decrease) in cash, cash equivalents, and restricted cash</w:t>
            </w:r>
          </w:p>
        </w:tc>
        <w:tc>
          <w:tcPr>
            <w:tcW w:w="10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8"/>
              </w:rPr>
              <w:t>(175,475</w:t>
            </w:r>
          </w:p>
        </w:tc>
        <w:tc>
          <w:tcPr>
            <w:tcW w:w="280" w:type="dxa"/>
            <w:vAlign w:val="bottom"/>
            <w:tcBorders>
              <w:bottom w:val="single" w:sz="8" w:color="CFF0FC"/>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27,432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489,810</w:t>
            </w:r>
          </w:p>
        </w:tc>
        <w:tc>
          <w:tcPr>
            <w:tcW w:w="2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285,337</w:t>
            </w:r>
          </w:p>
        </w:tc>
        <w:tc>
          <w:tcPr>
            <w:tcW w:w="100" w:type="dxa"/>
            <w:vAlign w:val="bottom"/>
          </w:tcPr>
          <w:p>
            <w:pPr>
              <w:spacing w:after="0"/>
              <w:rPr>
                <w:sz w:val="18"/>
                <w:szCs w:val="18"/>
                <w:color w:val="auto"/>
              </w:rPr>
            </w:pPr>
          </w:p>
        </w:tc>
      </w:tr>
      <w:tr>
        <w:trPr>
          <w:trHeight w:val="250"/>
        </w:trPr>
        <w:tc>
          <w:tcPr>
            <w:tcW w:w="74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1080" w:type="dxa"/>
            <w:vAlign w:val="bottom"/>
            <w:tcBorders>
              <w:bottom w:val="single" w:sz="8" w:color="auto"/>
            </w:tcBorders>
            <w:shd w:val="clear" w:color="auto" w:fill="CFF0FC"/>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6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314,335</w:t>
            </w:r>
          </w:p>
        </w:tc>
        <w:tc>
          <w:tcPr>
            <w:tcW w:w="2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0"/>
              <w:spacing w:after="0" w:line="210" w:lineRule="exact"/>
              <w:rPr>
                <w:sz w:val="20"/>
                <w:szCs w:val="20"/>
                <w:color w:val="auto"/>
              </w:rPr>
            </w:pPr>
            <w:r>
              <w:rPr>
                <w:rFonts w:ascii="Calibri" w:cs="Calibri" w:eastAsia="Calibri" w:hAnsi="Calibri"/>
                <w:sz w:val="18"/>
                <w:szCs w:val="18"/>
                <w:b w:val="1"/>
                <w:bCs w:val="1"/>
                <w:color w:val="auto"/>
                <w:w w:val="87"/>
              </w:rPr>
              <w:t>$</w:t>
            </w:r>
          </w:p>
        </w:tc>
        <w:tc>
          <w:tcPr>
            <w:tcW w:w="6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312,769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420" w:type="dxa"/>
            <w:vAlign w:val="bottom"/>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4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Paid-in-kind interest added to May 2020 First Lien Loan principal</w:t>
            </w:r>
          </w:p>
        </w:tc>
        <w:tc>
          <w:tcPr>
            <w:tcW w:w="1080" w:type="dxa"/>
            <w:vAlign w:val="bottom"/>
            <w:shd w:val="clear" w:color="auto" w:fill="CFF0FC"/>
          </w:tcPr>
          <w:p>
            <w:pPr>
              <w:jc w:val="right"/>
              <w:ind w:right="890"/>
              <w:spacing w:after="0" w:line="216" w:lineRule="exact"/>
              <w:rPr>
                <w:sz w:val="20"/>
                <w:szCs w:val="20"/>
                <w:color w:val="auto"/>
              </w:rPr>
            </w:pPr>
            <w:r>
              <w:rPr>
                <w:rFonts w:ascii="Calibri" w:cs="Calibri" w:eastAsia="Calibri" w:hAnsi="Calibri"/>
                <w:sz w:val="18"/>
                <w:szCs w:val="18"/>
                <w:color w:val="auto"/>
                <w:w w:val="87"/>
              </w:rPr>
              <w:t>$</w:t>
            </w:r>
          </w:p>
        </w:tc>
        <w:tc>
          <w:tcPr>
            <w:tcW w:w="940" w:type="dxa"/>
            <w:vAlign w:val="bottom"/>
            <w:gridSpan w:val="2"/>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FF0FC"/>
          </w:tcPr>
          <w:p>
            <w:pPr>
              <w:jc w:val="right"/>
              <w:ind w:right="870"/>
              <w:spacing w:after="0" w:line="216"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10,640</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tcPr>
          <w:p>
            <w:pPr>
              <w:ind w:left="120"/>
              <w:spacing w:after="0" w:line="215" w:lineRule="exact"/>
              <w:rPr>
                <w:sz w:val="20"/>
                <w:szCs w:val="20"/>
                <w:color w:val="auto"/>
              </w:rPr>
            </w:pPr>
            <w:r>
              <w:rPr>
                <w:rFonts w:ascii="Calibri" w:cs="Calibri" w:eastAsia="Calibri" w:hAnsi="Calibri"/>
                <w:sz w:val="18"/>
                <w:szCs w:val="18"/>
                <w:color w:val="auto"/>
              </w:rPr>
              <w:t>Cash paid for interest</w:t>
            </w:r>
          </w:p>
        </w:tc>
        <w:tc>
          <w:tcPr>
            <w:tcW w:w="108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3,612</w:t>
            </w:r>
          </w:p>
        </w:tc>
        <w:tc>
          <w:tcPr>
            <w:tcW w:w="280" w:type="dxa"/>
            <w:vAlign w:val="bottom"/>
          </w:tcPr>
          <w:p>
            <w:pPr>
              <w:spacing w:after="0"/>
              <w:rPr>
                <w:sz w:val="18"/>
                <w:szCs w:val="18"/>
                <w:color w:val="auto"/>
              </w:rPr>
            </w:pPr>
          </w:p>
        </w:tc>
        <w:tc>
          <w:tcPr>
            <w:tcW w:w="106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6,985</w:t>
            </w:r>
          </w:p>
        </w:tc>
        <w:tc>
          <w:tcPr>
            <w:tcW w:w="100" w:type="dxa"/>
            <w:vAlign w:val="bottom"/>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Right-of-use assets obtained in exchange for lease obligatons</w:t>
            </w:r>
          </w:p>
        </w:tc>
        <w:tc>
          <w:tcPr>
            <w:tcW w:w="1080" w:type="dxa"/>
            <w:vAlign w:val="bottom"/>
            <w:tcBorders>
              <w:bottom w:val="single" w:sz="8" w:color="auto"/>
            </w:tcBorders>
            <w:shd w:val="clear" w:color="auto" w:fill="CFF0FC"/>
          </w:tcPr>
          <w:p>
            <w:pPr>
              <w:jc w:val="right"/>
              <w:ind w:right="890"/>
              <w:spacing w:after="0" w:line="216"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3,406</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870"/>
              <w:spacing w:after="0" w:line="216"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-1177925</wp:posOffset>
            </wp:positionV>
            <wp:extent cx="102235"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-1177925</wp:posOffset>
            </wp:positionV>
            <wp:extent cx="9398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-873760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-582295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-565150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36" w:lineRule="exact"/>
        <w:rPr>
          <w:sz w:val="20"/>
          <w:szCs w:val="20"/>
          <w:color w:val="auto"/>
        </w:rPr>
      </w:pPr>
    </w:p>
    <w:p>
      <w:pPr>
        <w:jc w:val="both"/>
        <w:spacing w:after="0" w:line="229" w:lineRule="auto"/>
        <w:rPr>
          <w:sz w:val="20"/>
          <w:szCs w:val="20"/>
          <w:color w:val="auto"/>
        </w:rPr>
      </w:pPr>
      <w:r>
        <w:rPr>
          <w:rFonts w:ascii="Calibri" w:cs="Calibri" w:eastAsia="Calibri" w:hAnsi="Calibri"/>
          <w:sz w:val="18"/>
          <w:szCs w:val="18"/>
          <w:color w:val="auto"/>
        </w:rPr>
        <w:t>Vivid Seats Inc. and its subsidiaries including Hoya Intermediate, LLC and Vivid Seats LLC (collectvely the “Company,” “us,” “we,” and “our”), provide an online secondary tcket marketplace, that enables tcket buyers to discover and easily purchase tckets to sports, concerts, theater, and other live events in the United States and Canada.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2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We have prepared the accompanying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("SEC"). Accordingly, they do not include all of the informaton and notes required by GAAP for comprehensive annual fnancial statements. Our condensed consolidated fnancial statements are not necessarily indicatve of results that may be expected for any other interim period or for the full year. These condensed consolidated fnancial statements should be read in conjuncton with the audited annual consolidated fnancial statements and related notes included in our Annual Report on Form 10-K for the fscal year ended December 31, 2021 which was fled on March 15, 2022. Our condensed consolidated fnancial statements include all of our accounts, including those of our consolidated subsidiaries. All intercompany transactons and balances have been eliminated in consolidaton.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Immaterial Correcton of an Error in Prior Periods</w:t>
      </w:r>
    </w:p>
    <w:p>
      <w:pPr>
        <w:spacing w:after="0" w:line="13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During the second quarter of 2021, we identfed immaterial errors related to the classifcaton of informaton technology expenses that impacted our previously issued fnancial statements for the three months ended March 31, 2021. Previously, we classifed informaton technology expenses entrely within General and administratve expenses in the Condensed Consolidated Statements of Operatons. We subsequently determined that a porton of our informaton technology expenses are directly atributable to our revenue-generatng actvites and should be classifed within Cost of revenues. We have adjusted for these errors by revising our fnancial statements presented herein. The correcton resulted in an increase to Cost of revenues of $0.4 million for the three months ended March 31, 2021, with a corresponding reducton to General and administratve expenses. The increase to Cost of revenues resulted in a decrease to Marketplace and Resale contributon margin of $0.3 million and $0.1 million, respectvely, for the three months ended March 31, 2021. The efect of the error did not impact the Net loss, the Condensed Consolidated Balance Sheets, and Condensed Consolidated Statements of Cash Flows.</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COVID-19 Update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COVID-19 pandemic contnues to have a material impact on our business and results of operatons. Beginning in the second quarter of 2021, and contnuing through the frst quarter of 2022, we have seen a recovery in tcket orders as mitgaton measures ease.</w:t>
      </w:r>
    </w:p>
    <w:p>
      <w:pPr>
        <w:spacing w:after="0" w:line="138"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The COVID-19 pandemic is evolving, and as new variants emerge the ultmate pace and tming of recovery contnues to remain uncertain. We expect uncertaintes around our key accountng estmates to contnue to evolve depending on the duraton and degree of impact associated with the COVID-19 pandemic. Our estmates may change as new events occur and additonal informaton emerges, and such changes are recognized or disclosed in our condensed consolidated fnancial statements. If economic conditons caused by the pandemic do not contnue to recover, our fnancial conditon, cash fows, and results of operatons may be further materially impacted.</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Betcha Acquisiton</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On December 13, 2021, we acquired 100% of the equity interests of Betcha, Sports Inc. ("Betcha"). Betcha is a real money daily fantasy sports app with social and gamifcaton features that enhance fans’ connecton with their favorite live sports. The acquisiton date fair value of the consideraton transferred consisted of approximately $0.8 million in cash and 2.1 million shares of Class A common stock. The total consideraton includes cash earnouts of $7.5 million as of the acquisiton date representng the estmated fair value that we may be obligated to pay if Betcha meets certain earnings objectves following the acquisiton. In additon, the purchase consideraton includes future milestone payments of $9.7 million as of the acquisiton date representng the estmated fair value that we may be obligated to pay upon the achievement of certain integraton objectves. The purchase consideraton allocaton for Betcha is preliminary because the evaluatons necessary to assess the fair values of the net assets acquired are stll in process. The primary areas that are not yet fnalized relate to the valuatons of certain intangible assets, cash earnouts, milestone payments, and acquired income tax assets and liabilites. As a result, these allocatons are subject to change during the purchase price allocaton period as the valuatons are fnalized.</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Recently adopted accountng standards</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In February 2016, the Financial Accountng Standards Board ("FASB") issued Accountng Standards Update ("ASU") 2016-02, </w:t>
      </w:r>
      <w:r>
        <w:rPr>
          <w:rFonts w:ascii="Calibri" w:cs="Calibri" w:eastAsia="Calibri" w:hAnsi="Calibri"/>
          <w:sz w:val="18"/>
          <w:szCs w:val="18"/>
          <w:i w:val="1"/>
          <w:iCs w:val="1"/>
          <w:color w:val="auto"/>
        </w:rPr>
        <w:t>Leases (Topic 842)</w:t>
      </w:r>
      <w:r>
        <w:rPr>
          <w:rFonts w:ascii="Calibri" w:cs="Calibri" w:eastAsia="Calibri" w:hAnsi="Calibri"/>
          <w:sz w:val="18"/>
          <w:szCs w:val="18"/>
          <w:color w:val="auto"/>
        </w:rPr>
        <w:t>, which requires lessees to recognize a right-of-use asset and a lease liability for virtually all of their leases (other than leases that meet the defniton of a short-term lease) in the balance sheet. Lease liabilites are equal to the present value of lease payments, while right-of-use assets are based on the associated lease liabilites, subject to certain adjustments, such as for inital direct costs. We elected the extended transiton period available to emerging growth companies and adopted Accountng Standards Codifcaton ("ASC") 842 efectve January 1, 2022 on a modifed retrospectve basis by applying the new standard to all leases existng at the date of inital applicaton. We elected to present the fnancial statements for all periods prior to January 1, 2022 under the previous lease standard ("ASC 840"), as well as elected other optons, which allow us to use our previous evaluatons regarding if an arrangement contains a lease, if a lease is an operatng or fnancing lease, and what costs are capitalized as inital direct costs prior to adopton. We also elected to combine lease and non-lease components.</w:t>
      </w:r>
    </w:p>
    <w:p>
      <w:pPr>
        <w:spacing w:after="0" w:line="155"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Upon the adopton of the new lease standard, on January 1, 2022, we recognized right-of-use assets of $6.6 million and lease liabilites of $8.1 million (including a current liability of $3.0 million) in the Condensed Consolidated Balance Sheets and reclassifed certain balances related to existng leases. The right-of-use assets balance as of January 1, 2022 is adjusted for $1.5 million of lease terminaton liabilites and deferred rent liabilites recognized under the previous lease standard. There was no impact to Accumulated defcit on the Condensed Consolidated Balance Sheets at adopton. Refer to Note 5, Leases, for more informaton on leases.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Accountng standards issued but not yet adopted</w:t>
      </w:r>
    </w:p>
    <w:p>
      <w:pPr>
        <w:spacing w:after="0" w:line="150" w:lineRule="exact"/>
        <w:rPr>
          <w:sz w:val="20"/>
          <w:szCs w:val="20"/>
          <w:color w:val="auto"/>
        </w:rPr>
      </w:pPr>
    </w:p>
    <w:p>
      <w:pPr>
        <w:jc w:val="both"/>
        <w:spacing w:after="0" w:line="256" w:lineRule="auto"/>
        <w:rPr>
          <w:sz w:val="20"/>
          <w:szCs w:val="20"/>
          <w:color w:val="auto"/>
        </w:rPr>
      </w:pPr>
      <w:r>
        <w:rPr>
          <w:rFonts w:ascii="Calibri" w:cs="Calibri" w:eastAsia="Calibri" w:hAnsi="Calibri"/>
          <w:sz w:val="17"/>
          <w:szCs w:val="17"/>
          <w:color w:val="auto"/>
        </w:rPr>
        <w:t xml:space="preserve">In June 2016, the FASB issued ASU 2016-13, </w:t>
      </w:r>
      <w:r>
        <w:rPr>
          <w:rFonts w:ascii="Calibri" w:cs="Calibri" w:eastAsia="Calibri" w:hAnsi="Calibri"/>
          <w:sz w:val="17"/>
          <w:szCs w:val="17"/>
          <w:i w:val="1"/>
          <w:iCs w:val="1"/>
          <w:color w:val="auto"/>
        </w:rPr>
        <w:t>Financial Instruments-Credit Losses (Topic 326): Measurement of Credit Losses on Financial Instruments</w:t>
      </w:r>
      <w:r>
        <w:rPr>
          <w:rFonts w:ascii="Calibri" w:cs="Calibri" w:eastAsia="Calibri" w:hAnsi="Calibri"/>
          <w:sz w:val="17"/>
          <w:szCs w:val="17"/>
          <w:color w:val="auto"/>
        </w:rPr>
        <w:t xml:space="preserve">, which changes how enttes will measure credit losses for fnancial assets and certain other instruments that are not measured at fair value through net income. The new expected credit loss impairment model requires immediate recogniton of estmated credit losses expected to occur. Additonal disclosures are required regarding assumptons, models, and methods for estmatng the credit losses. ASU 2019-10, </w:t>
      </w:r>
      <w:r>
        <w:rPr>
          <w:rFonts w:ascii="Calibri" w:cs="Calibri" w:eastAsia="Calibri" w:hAnsi="Calibri"/>
          <w:sz w:val="17"/>
          <w:szCs w:val="17"/>
          <w:i w:val="1"/>
          <w:iCs w:val="1"/>
          <w:color w:val="auto"/>
        </w:rPr>
        <w:t>Financial Instruments-Credit Losses (Topic 326), Derivatves and</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Hedging (Topic 815), and Leases (Topic 842): Efectve Dates</w:t>
      </w:r>
      <w:r>
        <w:rPr>
          <w:rFonts w:ascii="Calibri" w:cs="Calibri" w:eastAsia="Calibri" w:hAnsi="Calibri"/>
          <w:sz w:val="17"/>
          <w:szCs w:val="17"/>
          <w:color w:val="auto"/>
        </w:rPr>
        <w:t>, deferred the efectve date for non-public companies. The standard is efectve for non-public</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companies for fscal years beginning afer December 15, 2022. We elected the extended transiton period available to emerging growth companies and are currently evaluatng the efect of adopton of the standard on our condensed consolidated fnancial statements and related disclosures.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jc w:val="both"/>
        <w:spacing w:after="0" w:line="259" w:lineRule="auto"/>
        <w:rPr>
          <w:sz w:val="20"/>
          <w:szCs w:val="20"/>
          <w:color w:val="auto"/>
        </w:rPr>
      </w:pPr>
      <w:r>
        <w:rPr>
          <w:rFonts w:ascii="Calibri" w:cs="Calibri" w:eastAsia="Calibri" w:hAnsi="Calibri"/>
          <w:sz w:val="17"/>
          <w:szCs w:val="17"/>
          <w:color w:val="auto"/>
        </w:rPr>
        <w:t xml:space="preserve">In March 2020, the FASB issued ASU 2020-04, </w:t>
      </w:r>
      <w:r>
        <w:rPr>
          <w:rFonts w:ascii="Calibri" w:cs="Calibri" w:eastAsia="Calibri" w:hAnsi="Calibri"/>
          <w:sz w:val="17"/>
          <w:szCs w:val="17"/>
          <w:i w:val="1"/>
          <w:iCs w:val="1"/>
          <w:color w:val="auto"/>
        </w:rPr>
        <w:t>Reference Rate Reform (Topic 848), Facilitaton of the Efects of Reference Rate Reform on Financial Reportng</w:t>
      </w:r>
      <w:r>
        <w:rPr>
          <w:rFonts w:ascii="Calibri" w:cs="Calibri" w:eastAsia="Calibri" w:hAnsi="Calibri"/>
          <w:sz w:val="17"/>
          <w:szCs w:val="17"/>
          <w:color w:val="auto"/>
        </w:rPr>
        <w:t>, as modifed in January 2021. The ASU is intended to help stakeholders during the global market-wide reference rate transiton period. The new guidance provides optonal expedients and exceptons for applying generally accepted accountng principles to contract modifcatons and hedging relatonships, subject to meetng certain criteria, that reference LIBOR or another reference rate expected to be discontnued. The guidance also establishes (1) a general contract modifcaton principle that enttes can apply in other areas that may be afected by reference rate reform and (2) certain electve hedge accountng expedients. The amendment is efectve for all enttes startng March 12, 2020 and can be adopted through December 31, 2022. We have not yet decided the date of adopton of this standard. The adopton of this standard will not have a material impact on our condensed consolidated fnancial statements.</w:t>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Revenue Recognition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recognize revenue in accordance with ASC 606. We have two reportable segments: Marketplace and Resale.</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Through the Marketplace segment, we act as an intermediary between tcket buyers and sellers. We earn revenue processing tcket sales from our Owned Propertes, consistng of the Vivid Seats website and mobile applicatons, and from our Private Label ofering, which is comprised of numerous distributon partners.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00" w:type="dxa"/>
            <w:vAlign w:val="bottom"/>
          </w:tcPr>
          <w:p>
            <w:pPr>
              <w:spacing w:after="0"/>
              <w:rPr>
                <w:sz w:val="20"/>
                <w:szCs w:val="20"/>
                <w:color w:val="auto"/>
              </w:rPr>
            </w:pPr>
            <w:r>
              <w:rPr>
                <w:rFonts w:ascii="Calibri" w:cs="Calibri" w:eastAsia="Calibri" w:hAnsi="Calibri"/>
                <w:sz w:val="18"/>
                <w:szCs w:val="18"/>
                <w:color w:val="auto"/>
              </w:rPr>
              <w:t>Marketplace revenues consisted of the following (in thousands):</w:t>
            </w: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80" w:type="dxa"/>
            <w:vAlign w:val="bottom"/>
            <w:gridSpan w:val="3"/>
          </w:tcPr>
          <w:p>
            <w:pPr>
              <w:jc w:val="right"/>
              <w:ind w:right="40"/>
              <w:spacing w:after="0"/>
              <w:rPr>
                <w:sz w:val="20"/>
                <w:szCs w:val="20"/>
                <w:color w:val="auto"/>
              </w:rPr>
            </w:pPr>
            <w:r>
              <w:rPr>
                <w:rFonts w:ascii="Calibri" w:cs="Calibri" w:eastAsia="Calibri" w:hAnsi="Calibri"/>
                <w:sz w:val="18"/>
                <w:szCs w:val="18"/>
                <w:b w:val="1"/>
                <w:bCs w:val="1"/>
                <w:color w:val="auto"/>
                <w:w w:val="98"/>
              </w:rPr>
              <w:t>Three Months Ended March 31,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3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1440" w:type="dxa"/>
            <w:vAlign w:val="bottom"/>
          </w:tcPr>
          <w:p>
            <w:pPr>
              <w:jc w:val="right"/>
              <w:ind w:right="123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83,666</w:t>
            </w:r>
          </w:p>
        </w:tc>
        <w:tc>
          <w:tcPr>
            <w:tcW w:w="1360" w:type="dxa"/>
            <w:vAlign w:val="bottom"/>
            <w:gridSpan w:val="2"/>
          </w:tcPr>
          <w:p>
            <w:pPr>
              <w:jc w:val="right"/>
              <w:ind w:right="88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18,196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Label</w:t>
            </w:r>
          </w:p>
        </w:tc>
        <w:tc>
          <w:tcPr>
            <w:tcW w:w="1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26,850</w:t>
            </w:r>
          </w:p>
        </w:tc>
        <w:tc>
          <w:tcPr>
            <w:tcW w:w="3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1440" w:type="dxa"/>
            <w:vAlign w:val="bottom"/>
          </w:tcPr>
          <w:p>
            <w:pPr>
              <w:jc w:val="right"/>
              <w:ind w:right="1230"/>
              <w:spacing w:after="0" w:line="209" w:lineRule="exact"/>
              <w:rPr>
                <w:sz w:val="20"/>
                <w:szCs w:val="20"/>
                <w:color w:val="auto"/>
              </w:rPr>
            </w:pPr>
            <w:r>
              <w:rPr>
                <w:rFonts w:ascii="Calibri" w:cs="Calibri" w:eastAsia="Calibri" w:hAnsi="Calibri"/>
                <w:sz w:val="18"/>
                <w:szCs w:val="18"/>
                <w:b w:val="1"/>
                <w:bCs w:val="1"/>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110,516</w:t>
            </w:r>
          </w:p>
        </w:tc>
        <w:tc>
          <w:tcPr>
            <w:tcW w:w="1360" w:type="dxa"/>
            <w:vAlign w:val="bottom"/>
            <w:gridSpan w:val="2"/>
          </w:tcPr>
          <w:p>
            <w:pPr>
              <w:jc w:val="right"/>
              <w:ind w:right="880"/>
              <w:spacing w:after="0" w:line="209" w:lineRule="exact"/>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21,993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Calibri" w:cs="Calibri" w:eastAsia="Calibri" w:hAnsi="Calibri"/>
                <w:sz w:val="18"/>
                <w:szCs w:val="18"/>
                <w:color w:val="auto"/>
                <w:w w:val="98"/>
              </w:rPr>
              <w:t>Marketplace revenues consisted of the following event categories (in thousands):</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9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80" w:type="dxa"/>
            <w:vAlign w:val="bottom"/>
            <w:gridSpan w:val="3"/>
          </w:tcPr>
          <w:p>
            <w:pPr>
              <w:jc w:val="right"/>
              <w:ind w:right="40"/>
              <w:spacing w:after="0"/>
              <w:rPr>
                <w:sz w:val="20"/>
                <w:szCs w:val="20"/>
                <w:color w:val="auto"/>
              </w:rPr>
            </w:pPr>
            <w:r>
              <w:rPr>
                <w:rFonts w:ascii="Calibri" w:cs="Calibri" w:eastAsia="Calibri" w:hAnsi="Calibri"/>
                <w:sz w:val="18"/>
                <w:szCs w:val="18"/>
                <w:b w:val="1"/>
                <w:bCs w:val="1"/>
                <w:color w:val="auto"/>
                <w:w w:val="98"/>
              </w:rPr>
              <w:t>Three Months Ended March 31,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10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3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1440" w:type="dxa"/>
            <w:vAlign w:val="bottom"/>
          </w:tcPr>
          <w:p>
            <w:pPr>
              <w:jc w:val="right"/>
              <w:ind w:right="1230"/>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58,673</w:t>
            </w:r>
          </w:p>
        </w:tc>
        <w:tc>
          <w:tcPr>
            <w:tcW w:w="1360" w:type="dxa"/>
            <w:vAlign w:val="bottom"/>
            <w:gridSpan w:val="2"/>
          </w:tcPr>
          <w:p>
            <w:pPr>
              <w:jc w:val="right"/>
              <w:ind w:right="88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Sports</w:t>
            </w:r>
          </w:p>
        </w:tc>
        <w:tc>
          <w:tcPr>
            <w:tcW w:w="1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38,915</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144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12,615</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1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313</w:t>
            </w:r>
          </w:p>
        </w:tc>
        <w:tc>
          <w:tcPr>
            <w:tcW w:w="3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1440" w:type="dxa"/>
            <w:vAlign w:val="bottom"/>
          </w:tcPr>
          <w:p>
            <w:pPr>
              <w:jc w:val="right"/>
              <w:ind w:right="1230"/>
              <w:spacing w:after="0" w:line="209" w:lineRule="exact"/>
              <w:rPr>
                <w:sz w:val="20"/>
                <w:szCs w:val="20"/>
                <w:color w:val="auto"/>
              </w:rPr>
            </w:pPr>
            <w:r>
              <w:rPr>
                <w:rFonts w:ascii="Calibri" w:cs="Calibri" w:eastAsia="Calibri" w:hAnsi="Calibri"/>
                <w:sz w:val="18"/>
                <w:szCs w:val="18"/>
                <w:b w:val="1"/>
                <w:bCs w:val="1"/>
                <w:color w:val="auto"/>
              </w:rPr>
              <w:t>$</w:t>
            </w: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110,516</w:t>
            </w:r>
          </w:p>
        </w:tc>
        <w:tc>
          <w:tcPr>
            <w:tcW w:w="1360" w:type="dxa"/>
            <w:vAlign w:val="bottom"/>
            <w:gridSpan w:val="2"/>
          </w:tcPr>
          <w:p>
            <w:pPr>
              <w:jc w:val="right"/>
              <w:ind w:right="880"/>
              <w:spacing w:after="0" w:line="209" w:lineRule="exact"/>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21,993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-1628140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-1628140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Within the Resale segment, we sell tckets we hold in inventory on resale tcket marketplaces. Resale revenues were $20.3 million during the three months ended March 31, 2022, and $2.1 million during the three months ended March 31, 2021, respectvely.</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At March 31, 2022, Deferred revenue in the Condensed Consolidated Balance Sheets was $28.2 million, which primarily relates to Vivid Seats Rewards, our loyalty program.</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At December 31, 2021, $25.1 million was recorded as deferred revenue, of which $4.0 million was recognized as revenue during the quarter ended March 31, 2022. At December 31, 2020, $6.0 million was recorded as deferred revenue, of which $0.6 million was recognized as revenue during the quarter ended March 31, 2021.</w:t>
      </w:r>
    </w:p>
    <w:p>
      <w:pPr>
        <w:spacing w:after="0" w:line="1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Segment Reporting</w:t>
      </w:r>
    </w:p>
    <w:p>
      <w:pPr>
        <w:spacing w:after="0" w:line="136"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are then sold through secondary tcket marketplaces. Revenues and contributon margin are used by our Chief Operatng Decision Maker (“CODM”) to assess performance of the business. We defne contributon margin as revenues less cost of revenues and marketng and selling expenses.</w:t>
      </w:r>
    </w:p>
    <w:p>
      <w:pPr>
        <w:spacing w:after="0" w:line="146"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do not report our assets, capital expenditures, or related depreciaton and amortzaton expenses by segment, because our CODM does not use this informaton to evaluate the performance of our operatng segments.</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represent our segment informaton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20" w:type="dxa"/>
            <w:vAlign w:val="bottom"/>
            <w:gridSpan w:val="9"/>
          </w:tcPr>
          <w:p>
            <w:pPr>
              <w:jc w:val="right"/>
              <w:ind w:right="90"/>
              <w:spacing w:after="0"/>
              <w:rPr>
                <w:sz w:val="20"/>
                <w:szCs w:val="20"/>
                <w:color w:val="auto"/>
              </w:rPr>
            </w:pPr>
            <w:r>
              <w:rPr>
                <w:rFonts w:ascii="Calibri" w:cs="Calibri" w:eastAsia="Calibri" w:hAnsi="Calibri"/>
                <w:sz w:val="18"/>
                <w:szCs w:val="18"/>
                <w:b w:val="1"/>
                <w:bCs w:val="1"/>
                <w:color w:val="auto"/>
              </w:rPr>
              <w:t>Three Months Ended March 31, 2022</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620"/>
              <w:spacing w:after="0" w:line="208" w:lineRule="exact"/>
              <w:rPr>
                <w:sz w:val="20"/>
                <w:szCs w:val="20"/>
                <w:color w:val="auto"/>
              </w:rPr>
            </w:pPr>
            <w:r>
              <w:rPr>
                <w:rFonts w:ascii="Calibri" w:cs="Calibri" w:eastAsia="Calibri" w:hAnsi="Calibri"/>
                <w:sz w:val="18"/>
                <w:szCs w:val="18"/>
                <w:b w:val="1"/>
                <w:bCs w:val="1"/>
                <w:color w:val="auto"/>
              </w:rPr>
              <w:t>Marketplace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Resale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200"/>
              <w:spacing w:after="0" w:line="208" w:lineRule="exact"/>
              <w:rPr>
                <w:sz w:val="20"/>
                <w:szCs w:val="20"/>
                <w:color w:val="auto"/>
              </w:rPr>
            </w:pPr>
            <w:r>
              <w:rPr>
                <w:rFonts w:ascii="Calibri" w:cs="Calibri" w:eastAsia="Calibri" w:hAnsi="Calibri"/>
                <w:sz w:val="18"/>
                <w:szCs w:val="18"/>
                <w:b w:val="1"/>
                <w:bCs w:val="1"/>
                <w:color w:val="auto"/>
              </w:rPr>
              <w:t>Consolidated</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rPr>
              <w:t>$</w:t>
            </w:r>
          </w:p>
        </w:tc>
        <w:tc>
          <w:tcPr>
            <w:tcW w:w="182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110,516</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20,256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70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130,772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 depreciaton and amortzaton</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vMerge w:val="restart"/>
          </w:tcPr>
          <w:p>
            <w:pPr>
              <w:jc w:val="right"/>
              <w:ind w:right="20"/>
              <w:spacing w:after="0"/>
              <w:rPr>
                <w:sz w:val="20"/>
                <w:szCs w:val="20"/>
                <w:color w:val="auto"/>
              </w:rPr>
            </w:pPr>
            <w:r>
              <w:rPr>
                <w:rFonts w:ascii="Calibri" w:cs="Calibri" w:eastAsia="Calibri" w:hAnsi="Calibri"/>
                <w:sz w:val="18"/>
                <w:szCs w:val="18"/>
                <w:color w:val="auto"/>
              </w:rPr>
              <w:t>16,409</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Calibri" w:cs="Calibri" w:eastAsia="Calibri" w:hAnsi="Calibri"/>
                <w:sz w:val="18"/>
                <w:szCs w:val="18"/>
                <w:color w:val="auto"/>
              </w:rPr>
              <w:t>15,755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32,164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660" w:type="dxa"/>
            <w:vAlign w:val="bottom"/>
            <w:vMerge w:val="restart"/>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54,228</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54,228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380" w:type="dxa"/>
            <w:vAlign w:val="bottom"/>
            <w:gridSpan w:val="2"/>
          </w:tcPr>
          <w:p>
            <w:pPr>
              <w:jc w:val="right"/>
              <w:ind w:right="130"/>
              <w:spacing w:after="0" w:line="209" w:lineRule="exact"/>
              <w:rPr>
                <w:sz w:val="20"/>
                <w:szCs w:val="20"/>
                <w:color w:val="auto"/>
              </w:rPr>
            </w:pPr>
            <w:r>
              <w:rPr>
                <w:rFonts w:ascii="Calibri" w:cs="Calibri" w:eastAsia="Calibri" w:hAnsi="Calibri"/>
                <w:sz w:val="18"/>
                <w:szCs w:val="18"/>
                <w:b w:val="1"/>
                <w:bCs w:val="1"/>
                <w:color w:val="auto"/>
              </w:rPr>
              <w:t>$</w:t>
            </w:r>
          </w:p>
        </w:tc>
        <w:tc>
          <w:tcPr>
            <w:tcW w:w="182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b w:val="1"/>
                <w:bCs w:val="1"/>
                <w:color w:val="auto"/>
              </w:rPr>
              <w:t>39,879</w:t>
            </w:r>
          </w:p>
        </w:tc>
        <w:tc>
          <w:tcPr>
            <w:tcW w:w="620" w:type="dxa"/>
            <w:vAlign w:val="bottom"/>
            <w:gridSpan w:val="3"/>
          </w:tcPr>
          <w:p>
            <w:pPr>
              <w:jc w:val="right"/>
              <w:ind w:right="190"/>
              <w:spacing w:after="0" w:line="209" w:lineRule="exact"/>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4,501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44,380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29,275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1,385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from operatons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13,720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Loss on extnguishment of debt</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Other expenses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color w:val="auto"/>
              </w:rPr>
              <w:t>2,279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before income taxes</w:t>
            </w: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line="210" w:lineRule="exact"/>
              <w:rPr>
                <w:sz w:val="20"/>
                <w:szCs w:val="20"/>
                <w:color w:val="auto"/>
              </w:rPr>
            </w:pPr>
            <w:r>
              <w:rPr>
                <w:rFonts w:ascii="Calibri" w:cs="Calibri" w:eastAsia="Calibri" w:hAnsi="Calibri"/>
                <w:sz w:val="18"/>
                <w:szCs w:val="18"/>
                <w:b w:val="1"/>
                <w:bCs w:val="1"/>
                <w:color w:val="auto"/>
                <w:w w:val="87"/>
              </w:rPr>
              <w:t>$</w:t>
            </w:r>
          </w:p>
        </w:tc>
        <w:tc>
          <w:tcPr>
            <w:tcW w:w="1700" w:type="dxa"/>
            <w:vAlign w:val="bottom"/>
            <w:tcBorders>
              <w:bottom w:val="single" w:sz="8" w:color="auto"/>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3,214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gridSpan w:val="9"/>
          </w:tcPr>
          <w:p>
            <w:pPr>
              <w:jc w:val="right"/>
              <w:ind w:right="130"/>
              <w:spacing w:after="0"/>
              <w:rPr>
                <w:sz w:val="20"/>
                <w:szCs w:val="20"/>
                <w:color w:val="auto"/>
              </w:rPr>
            </w:pPr>
            <w:r>
              <w:rPr>
                <w:rFonts w:ascii="Calibri" w:cs="Calibri" w:eastAsia="Calibri" w:hAnsi="Calibri"/>
                <w:sz w:val="18"/>
                <w:szCs w:val="18"/>
                <w:b w:val="1"/>
                <w:bCs w:val="1"/>
                <w:color w:val="auto"/>
              </w:rPr>
              <w:t>Three Months Ended March 31, 2021</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jc w:val="right"/>
              <w:ind w:right="660"/>
              <w:spacing w:after="0" w:line="208" w:lineRule="exact"/>
              <w:rPr>
                <w:sz w:val="20"/>
                <w:szCs w:val="20"/>
                <w:color w:val="auto"/>
              </w:rPr>
            </w:pPr>
            <w:r>
              <w:rPr>
                <w:rFonts w:ascii="Calibri" w:cs="Calibri" w:eastAsia="Calibri" w:hAnsi="Calibri"/>
                <w:sz w:val="18"/>
                <w:szCs w:val="18"/>
                <w:b w:val="1"/>
                <w:bCs w:val="1"/>
                <w:color w:val="auto"/>
              </w:rPr>
              <w:t>Marketplace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90"/>
              <w:spacing w:after="0" w:line="208" w:lineRule="exact"/>
              <w:rPr>
                <w:sz w:val="20"/>
                <w:szCs w:val="20"/>
                <w:color w:val="auto"/>
              </w:rPr>
            </w:pPr>
            <w:r>
              <w:rPr>
                <w:rFonts w:ascii="Calibri" w:cs="Calibri" w:eastAsia="Calibri" w:hAnsi="Calibri"/>
                <w:sz w:val="18"/>
                <w:szCs w:val="18"/>
                <w:b w:val="1"/>
                <w:bCs w:val="1"/>
                <w:color w:val="auto"/>
              </w:rPr>
              <w:t>Resale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Consolidated</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380" w:type="dxa"/>
            <w:vAlign w:val="bottom"/>
            <w:tcBorders>
              <w:top w:val="single" w:sz="8" w:color="auto"/>
            </w:tcBorders>
            <w:gridSpan w:val="2"/>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rPr>
              <w:t>$</w:t>
            </w:r>
          </w:p>
        </w:tc>
        <w:tc>
          <w:tcPr>
            <w:tcW w:w="17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21,993</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tcBorders>
              <w:top w:val="single" w:sz="8" w:color="auto"/>
            </w:tcBorders>
            <w:gridSpan w:val="2"/>
            <w:shd w:val="clear" w:color="auto" w:fill="CFF0FC"/>
          </w:tcPr>
          <w:p>
            <w:pPr>
              <w:jc w:val="right"/>
              <w:ind w:right="210"/>
              <w:spacing w:after="0" w:line="210" w:lineRule="exact"/>
              <w:rPr>
                <w:sz w:val="20"/>
                <w:szCs w:val="20"/>
                <w:color w:val="auto"/>
              </w:rPr>
            </w:pPr>
            <w:r>
              <w:rPr>
                <w:rFonts w:ascii="Calibri" w:cs="Calibri" w:eastAsia="Calibri" w:hAnsi="Calibri"/>
                <w:sz w:val="18"/>
                <w:szCs w:val="18"/>
                <w:color w:val="auto"/>
              </w:rPr>
              <w:t>$</w:t>
            </w: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2,121</w:t>
            </w: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gridSpan w:val="2"/>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6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24,114</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66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 depreciaton and amortzaton</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spacing w:after="0" w:line="215" w:lineRule="exact"/>
              <w:rPr>
                <w:sz w:val="20"/>
                <w:szCs w:val="20"/>
                <w:color w:val="auto"/>
              </w:rPr>
            </w:pPr>
            <w:r>
              <w:rPr>
                <w:rFonts w:ascii="Calibri" w:cs="Calibri" w:eastAsia="Calibri" w:hAnsi="Calibri"/>
                <w:sz w:val="18"/>
                <w:szCs w:val="18"/>
                <w:color w:val="auto"/>
              </w:rPr>
              <w:t>2,700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1,225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line="215" w:lineRule="exact"/>
              <w:rPr>
                <w:sz w:val="20"/>
                <w:szCs w:val="20"/>
                <w:color w:val="auto"/>
              </w:rPr>
            </w:pPr>
            <w:r>
              <w:rPr>
                <w:rFonts w:ascii="Calibri" w:cs="Calibri" w:eastAsia="Calibri" w:hAnsi="Calibri"/>
                <w:sz w:val="18"/>
                <w:szCs w:val="18"/>
                <w:color w:val="auto"/>
              </w:rPr>
              <w:t>3,925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7,955</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7,955</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380" w:type="dxa"/>
            <w:vAlign w:val="bottom"/>
            <w:gridSpan w:val="2"/>
          </w:tcPr>
          <w:p>
            <w:pPr>
              <w:jc w:val="right"/>
              <w:ind w:right="170"/>
              <w:spacing w:after="0" w:line="209" w:lineRule="exact"/>
              <w:rPr>
                <w:sz w:val="20"/>
                <w:szCs w:val="20"/>
                <w:color w:val="auto"/>
              </w:rPr>
            </w:pPr>
            <w:r>
              <w:rPr>
                <w:rFonts w:ascii="Calibri" w:cs="Calibri" w:eastAsia="Calibri" w:hAnsi="Calibri"/>
                <w:sz w:val="18"/>
                <w:szCs w:val="18"/>
                <w:b w:val="1"/>
                <w:bCs w:val="1"/>
                <w:color w:val="auto"/>
              </w:rPr>
              <w:t>$</w:t>
            </w:r>
          </w:p>
        </w:tc>
        <w:tc>
          <w:tcPr>
            <w:tcW w:w="17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11,338</w:t>
            </w:r>
          </w:p>
        </w:tc>
        <w:tc>
          <w:tcPr>
            <w:tcW w:w="40" w:type="dxa"/>
            <w:vAlign w:val="bottom"/>
          </w:tcPr>
          <w:p>
            <w:pPr>
              <w:spacing w:after="0"/>
              <w:rPr>
                <w:sz w:val="18"/>
                <w:szCs w:val="18"/>
                <w:color w:val="auto"/>
              </w:rPr>
            </w:pPr>
          </w:p>
        </w:tc>
        <w:tc>
          <w:tcPr>
            <w:tcW w:w="620" w:type="dxa"/>
            <w:vAlign w:val="bottom"/>
            <w:gridSpan w:val="3"/>
          </w:tcPr>
          <w:p>
            <w:pPr>
              <w:jc w:val="right"/>
              <w:ind w:right="210"/>
              <w:spacing w:after="0" w:line="209" w:lineRule="exact"/>
              <w:rPr>
                <w:sz w:val="20"/>
                <w:szCs w:val="20"/>
                <w:color w:val="auto"/>
              </w:rPr>
            </w:pPr>
            <w:r>
              <w:rPr>
                <w:rFonts w:ascii="Calibri" w:cs="Calibri" w:eastAsia="Calibri" w:hAnsi="Calibri"/>
                <w:sz w:val="18"/>
                <w:szCs w:val="18"/>
                <w:b w:val="1"/>
                <w:bCs w:val="1"/>
                <w:color w:val="auto"/>
              </w:rPr>
              <w:t>$</w:t>
            </w: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896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15,871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Loss from operatons</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(3,932</w:t>
            </w:r>
          </w:p>
        </w:tc>
        <w:tc>
          <w:tcPr>
            <w:tcW w:w="100" w:type="dxa"/>
            <w:vAlign w:val="bottom"/>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Loss before income taxes</w:t>
            </w:r>
          </w:p>
        </w:tc>
        <w:tc>
          <w:tcPr>
            <w:tcW w:w="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gridSpan w:val="2"/>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w w:val="87"/>
              </w:rPr>
              <w:t>$</w:t>
            </w:r>
          </w:p>
        </w:tc>
        <w:tc>
          <w:tcPr>
            <w:tcW w:w="16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(20,251</w:t>
            </w:r>
          </w:p>
        </w:tc>
        <w:tc>
          <w:tcPr>
            <w:tcW w:w="100" w:type="dxa"/>
            <w:vAlign w:val="bottom"/>
            <w:tcBorders>
              <w:bottom w:val="single" w:sz="8" w:color="CFF0FC"/>
            </w:tcBorders>
            <w:gridSpan w:val="2"/>
            <w:shd w:val="clear" w:color="auto" w:fill="CFF0FC"/>
          </w:tcPr>
          <w:p>
            <w:pPr>
              <w:jc w:val="right"/>
              <w:ind w:right="40"/>
              <w:spacing w:after="0" w:line="210" w:lineRule="exact"/>
              <w:rPr>
                <w:sz w:val="20"/>
                <w:szCs w:val="20"/>
                <w:color w:val="auto"/>
              </w:rPr>
            </w:pPr>
            <w:r>
              <w:rPr>
                <w:rFonts w:ascii="Calibri" w:cs="Calibri" w:eastAsia="Calibri" w:hAnsi="Calibri"/>
                <w:sz w:val="18"/>
                <w:szCs w:val="18"/>
                <w:b w:val="1"/>
                <w:bCs w:val="1"/>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-3076575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-3076575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-3076575</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-1953895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-873760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-873760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Leases</w:t>
      </w:r>
    </w:p>
    <w:p>
      <w:pPr>
        <w:spacing w:after="0" w:line="13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On January 1, 2022, we adopted ASC 842 using a modifed retrospectve transiton approach that allows for a cumulatve-efect adjustment in the period of adopton without revising prior period presentaton. Therefore, for reportng periods beginning afer December 31, 2021, the fnancial statements are prepared in accordance with the current lease standard (ASC 842) and we elected to present the fnancial statements for all periods prior to January 1, 2022 under the previous lease standard (ASC 840). We elected the practcal expedient package, which permits us to not reassess whether any expired or existng contracts are or contain leases, the lease classifcaton for any expired or existng leases, and any inital direct costs for any existng leases as of the efectve date.</w:t>
      </w:r>
    </w:p>
    <w:p>
      <w:pPr>
        <w:spacing w:after="0" w:line="150"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We determine if an arrangement is a lease at incepton of a contract. Right-of-use (“ROU”) assets represent our right to use an underlying asset for the lease term and lease liabilites represent our obligaton to make lease payments arising from the lease. ROU assets and lease liabilites are recognized at the lease commencement date based on the present value of lease payments over the lease term. As most of our leases do not provide an implicit interest rate, we use the incremental borrowing rate based on the informaton available at commencement date in determining the present value of lease payments. As of March 31, 2022, the weighted average discount rate applied to the lease liabilites is approximately 7%. Leases with an inital term of 12 months or less are not recorded on the Condensed Consolidated Balance Sheets and rent expense for these short-term leases is recognized in General and administratve expenses in the Condensed Consolidated Statements of Operatons on a straight-line basis over the lease term. Short-term lease costs are not material to our Condensed Consolidated Statements of Operatons for the three months ended March 31, 2022.</w:t>
      </w:r>
    </w:p>
    <w:p>
      <w:pPr>
        <w:spacing w:after="0" w:line="151"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We entered into all of our lease contracts as a lessee. We are not actng as a lessor under any of our leasing arrangements. The vast majority of our lease contracts are real estate leases for ofce space. All our leases are classifed as operatng. At March 31, 2022, we had $9.5 million of ROU assets in Right-of-use assets — net, and the corresponding operatng lease liabilites of $2.6 million recorded in Accrued expenses and other current liabilites and $8.4 million recorded in Long-term lease liabilites in the Condensed Consolidated Balance Sheets.</w:t>
      </w:r>
    </w:p>
    <w:p>
      <w:pPr>
        <w:spacing w:after="0" w:line="146"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Most leases have one or more optons to renew, with renewal terms that can initally extend the lease term for various periods up to fve years. The exercise of renewal optons is at our discreton and are included if they are reasonably certain to be exercised. As of March 31, 2022, the weighted average remaining minimum lease term is approximately eight years. Lease expense for operatng leases is recognized on a straight-line basis over the lease term and is recorded under General and administratve expenses in the Condensed Consolidated Statements of Operatons. We elected not to separate lease and non-lease components. Our leases do not contain any material residual value guarantees or restrictve covenants.</w:t>
      </w:r>
    </w:p>
    <w:p>
      <w:pPr>
        <w:spacing w:after="0" w:line="152"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In December 2021, we entered into a lease agreement for our new corporate headquarters in Chicago, Illinois. The lease commenced in the frst quarter of 2022, when we obtained control of the premises, and runs through December 31, 2033 with a 5-year renewal opton. The aggregate lease payments for the inital term are approximately $16.2 million with no rent due untl March 2024.</w:t>
      </w:r>
    </w:p>
    <w:p>
      <w:pPr>
        <w:spacing w:after="0" w:line="151" w:lineRule="exact"/>
        <w:rPr>
          <w:sz w:val="20"/>
          <w:szCs w:val="20"/>
          <w:color w:val="auto"/>
        </w:rPr>
      </w:pPr>
    </w:p>
    <w:p>
      <w:pPr>
        <w:jc w:val="both"/>
        <w:spacing w:after="0" w:line="263" w:lineRule="auto"/>
        <w:rPr>
          <w:sz w:val="20"/>
          <w:szCs w:val="20"/>
          <w:color w:val="auto"/>
        </w:rPr>
      </w:pPr>
      <w:r>
        <w:rPr>
          <w:rFonts w:ascii="Calibri" w:cs="Calibri" w:eastAsia="Calibri" w:hAnsi="Calibri"/>
          <w:sz w:val="17"/>
          <w:szCs w:val="17"/>
          <w:color w:val="auto"/>
        </w:rPr>
        <w:t>The lease agreement provides for a tenant improvement allowance from the landlord in an amount equal to $6.5 million towards the design and constructon of certain tenant improvements on the leased premises. As of March 31, 2022, the Company has not incurred any leasehold improvement costs but expects to incur and receive the full tenant improvement allowance in 2022. On the commencement date, we recognized the ROU asset and corresponding lease liability of $3.4 million in Right-of-use assets — net and Long-term lease liabilites, respectvely, in the Condensed Consolidated Balance Sheets.</w:t>
      </w:r>
    </w:p>
    <w:p>
      <w:pPr>
        <w:spacing w:after="0" w:line="125" w:lineRule="exact"/>
        <w:rPr>
          <w:sz w:val="20"/>
          <w:szCs w:val="20"/>
          <w:color w:val="auto"/>
        </w:rPr>
      </w:pPr>
    </w:p>
    <w:p>
      <w:pPr>
        <w:spacing w:after="0"/>
        <w:rPr>
          <w:sz w:val="20"/>
          <w:szCs w:val="20"/>
          <w:color w:val="auto"/>
        </w:rPr>
      </w:pPr>
      <w:r>
        <w:rPr>
          <w:rFonts w:ascii="Calibri" w:cs="Calibri" w:eastAsia="Calibri" w:hAnsi="Calibri"/>
          <w:sz w:val="18"/>
          <w:szCs w:val="18"/>
          <w:color w:val="auto"/>
        </w:rPr>
        <w:t>Operatng and variable lease expenses for the three months ended March 31, 2022 were not material.</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Cash payments for operatng lease liabilites during the three months ended March 31, 2022, which are included within the operatng actvites secton in the Condensed Consolidated Statements of Cash Flows, were not material.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20" w:type="dxa"/>
            <w:vAlign w:val="bottom"/>
          </w:tcPr>
          <w:p>
            <w:pPr>
              <w:spacing w:after="0"/>
              <w:rPr>
                <w:sz w:val="20"/>
                <w:szCs w:val="20"/>
                <w:color w:val="auto"/>
              </w:rPr>
            </w:pPr>
            <w:r>
              <w:rPr>
                <w:rFonts w:ascii="Calibri" w:cs="Calibri" w:eastAsia="Calibri" w:hAnsi="Calibri"/>
                <w:sz w:val="18"/>
                <w:szCs w:val="18"/>
                <w:color w:val="auto"/>
              </w:rPr>
              <w:t>Future lease payments at March 31, 2022 are as follows (in thousands):</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7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jc w:val="right"/>
              <w:ind w:right="101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r>
      <w:tr>
        <w:trPr>
          <w:trHeight w:val="23"/>
        </w:trPr>
        <w:tc>
          <w:tcPr>
            <w:tcW w:w="7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Remainder of 2022</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2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2,772</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905</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2,436</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Thereafer</w:t>
            </w:r>
          </w:p>
        </w:tc>
        <w:tc>
          <w:tcPr>
            <w:tcW w:w="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0"/>
              <w:spacing w:after="0" w:line="209" w:lineRule="exact"/>
              <w:rPr>
                <w:sz w:val="20"/>
                <w:szCs w:val="20"/>
                <w:color w:val="auto"/>
              </w:rPr>
            </w:pPr>
            <w:r>
              <w:rPr>
                <w:rFonts w:ascii="Calibri" w:cs="Calibri" w:eastAsia="Calibri" w:hAnsi="Calibri"/>
                <w:sz w:val="18"/>
                <w:szCs w:val="18"/>
                <w:color w:val="auto"/>
              </w:rPr>
              <w:t>Total remaining lease payments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09" w:lineRule="exact"/>
              <w:rPr>
                <w:sz w:val="20"/>
                <w:szCs w:val="20"/>
                <w:color w:val="auto"/>
              </w:rPr>
            </w:pPr>
            <w:r>
              <w:rPr>
                <w:rFonts w:ascii="Calibri" w:cs="Calibri" w:eastAsia="Calibri" w:hAnsi="Calibri"/>
                <w:sz w:val="18"/>
                <w:szCs w:val="18"/>
                <w:color w:val="auto"/>
              </w:rPr>
              <w:t>25,386</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Imputed interest</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7,925</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Less: expected tenant improvement allowance</w:t>
            </w:r>
          </w:p>
        </w:tc>
        <w:tc>
          <w:tcPr>
            <w:tcW w:w="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6,472</w:t>
            </w:r>
          </w:p>
        </w:tc>
        <w:tc>
          <w:tcPr>
            <w:tcW w:w="100" w:type="dxa"/>
            <w:vAlign w:val="bottom"/>
          </w:tcPr>
          <w:p>
            <w:pPr>
              <w:spacing w:after="0"/>
              <w:rPr>
                <w:sz w:val="18"/>
                <w:szCs w:val="18"/>
                <w:color w:val="auto"/>
              </w:rPr>
            </w:pPr>
          </w:p>
        </w:tc>
      </w:tr>
      <w:tr>
        <w:trPr>
          <w:trHeight w:val="251"/>
        </w:trPr>
        <w:tc>
          <w:tcPr>
            <w:tcW w:w="76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Present value of lease liabilites</w:t>
            </w:r>
          </w:p>
        </w:tc>
        <w:tc>
          <w:tcPr>
            <w:tcW w:w="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line="210" w:lineRule="exact"/>
              <w:rPr>
                <w:sz w:val="20"/>
                <w:szCs w:val="20"/>
                <w:color w:val="auto"/>
              </w:rPr>
            </w:pPr>
            <w:r>
              <w:rPr>
                <w:rFonts w:ascii="Calibri" w:cs="Calibri" w:eastAsia="Calibri" w:hAnsi="Calibri"/>
                <w:sz w:val="18"/>
                <w:szCs w:val="18"/>
                <w:b w:val="1"/>
                <w:bCs w:val="1"/>
                <w:color w:val="auto"/>
                <w:w w:val="87"/>
              </w:rPr>
              <w:t>$</w:t>
            </w:r>
          </w:p>
        </w:tc>
        <w:tc>
          <w:tcPr>
            <w:tcW w:w="28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10,989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08"/>
        </w:trPr>
        <w:tc>
          <w:tcPr>
            <w:tcW w:w="7620" w:type="dxa"/>
            <w:vAlign w:val="bottom"/>
          </w:tcPr>
          <w:p>
            <w:pPr>
              <w:spacing w:after="0"/>
              <w:rPr>
                <w:sz w:val="20"/>
                <w:szCs w:val="20"/>
                <w:color w:val="auto"/>
              </w:rPr>
            </w:pPr>
            <w:r>
              <w:rPr>
                <w:rFonts w:ascii="Calibri" w:cs="Calibri" w:eastAsia="Calibri" w:hAnsi="Calibri"/>
                <w:sz w:val="18"/>
                <w:szCs w:val="18"/>
                <w:color w:val="auto"/>
              </w:rPr>
              <w:t>Future lease payments at December 31, 2021 under ASC 840 were as follows (in thousands):</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jc w:val="right"/>
              <w:ind w:right="105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r>
      <w:tr>
        <w:trPr>
          <w:trHeight w:val="23"/>
        </w:trPr>
        <w:tc>
          <w:tcPr>
            <w:tcW w:w="76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2022</w:t>
            </w:r>
          </w:p>
        </w:tc>
        <w:tc>
          <w:tcPr>
            <w:tcW w:w="640" w:type="dxa"/>
            <w:vAlign w:val="bottom"/>
            <w:gridSpan w:val="2"/>
            <w:shd w:val="clear" w:color="auto" w:fill="CFF0FC"/>
          </w:tcPr>
          <w:p>
            <w:pPr>
              <w:jc w:val="right"/>
              <w:ind w:right="450"/>
              <w:spacing w:after="0" w:line="209" w:lineRule="exact"/>
              <w:rPr>
                <w:sz w:val="20"/>
                <w:szCs w:val="20"/>
                <w:color w:val="auto"/>
              </w:rPr>
            </w:pPr>
            <w:r>
              <w:rPr>
                <w:rFonts w:ascii="Calibri" w:cs="Calibri" w:eastAsia="Calibri" w:hAnsi="Calibri"/>
                <w:sz w:val="18"/>
                <w:szCs w:val="18"/>
                <w:color w:val="auto"/>
                <w:w w:val="87"/>
              </w:rPr>
              <w:t>$</w:t>
            </w:r>
          </w:p>
        </w:tc>
        <w:tc>
          <w:tcPr>
            <w:tcW w:w="2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3,437</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905</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r>
      <w:tr>
        <w:trPr>
          <w:trHeight w:val="217"/>
        </w:trPr>
        <w:tc>
          <w:tcPr>
            <w:tcW w:w="7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shd w:val="clear" w:color="auto" w:fill="CFF0FC"/>
          </w:tcPr>
          <w:p>
            <w:pPr>
              <w:spacing w:after="0"/>
              <w:rPr>
                <w:sz w:val="18"/>
                <w:szCs w:val="18"/>
                <w:color w:val="auto"/>
              </w:rPr>
            </w:pPr>
          </w:p>
        </w:tc>
      </w:tr>
      <w:tr>
        <w:trPr>
          <w:trHeight w:val="215"/>
        </w:trPr>
        <w:tc>
          <w:tcPr>
            <w:tcW w:w="762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14,736</w:t>
            </w:r>
          </w:p>
        </w:tc>
        <w:tc>
          <w:tcPr>
            <w:tcW w:w="100" w:type="dxa"/>
            <w:vAlign w:val="bottom"/>
          </w:tcPr>
          <w:p>
            <w:pPr>
              <w:spacing w:after="0"/>
              <w:rPr>
                <w:sz w:val="18"/>
                <w:szCs w:val="18"/>
                <w:color w:val="auto"/>
              </w:rPr>
            </w:pPr>
          </w:p>
        </w:tc>
      </w:tr>
      <w:tr>
        <w:trPr>
          <w:trHeight w:val="249"/>
        </w:trPr>
        <w:tc>
          <w:tcPr>
            <w:tcW w:w="76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Total remaining lease payments</w:t>
            </w:r>
          </w:p>
        </w:tc>
        <w:tc>
          <w:tcPr>
            <w:tcW w:w="640" w:type="dxa"/>
            <w:vAlign w:val="bottom"/>
            <w:tcBorders>
              <w:bottom w:val="single" w:sz="8" w:color="auto"/>
            </w:tcBorders>
            <w:gridSpan w:val="2"/>
            <w:shd w:val="clear" w:color="auto" w:fill="CFF0FC"/>
          </w:tcPr>
          <w:p>
            <w:pPr>
              <w:jc w:val="right"/>
              <w:ind w:right="450"/>
              <w:spacing w:after="0" w:line="209" w:lineRule="exact"/>
              <w:rPr>
                <w:sz w:val="20"/>
                <w:szCs w:val="20"/>
                <w:color w:val="auto"/>
              </w:rPr>
            </w:pPr>
            <w:r>
              <w:rPr>
                <w:rFonts w:ascii="Calibri" w:cs="Calibri" w:eastAsia="Calibri" w:hAnsi="Calibri"/>
                <w:sz w:val="18"/>
                <w:szCs w:val="18"/>
                <w:b w:val="1"/>
                <w:bCs w:val="1"/>
                <w:color w:val="auto"/>
                <w:w w:val="87"/>
              </w:rPr>
              <w:t>$</w:t>
            </w:r>
          </w:p>
        </w:tc>
        <w:tc>
          <w:tcPr>
            <w:tcW w:w="2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26,051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-2047875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-1482090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-1464945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Goodwill and Intangible Assets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Defnite-lived intangible assets includes developed technology and customer relatonships, which had a net carrying amount of $15.3 million and $13.8 million at March 31, 2022 and December 31, 2021, respectvely. At March 31, 2022 and December 31, 2021, accumulated amortzaton related to our developed technology was $3.8 million and $2.5 million, respectvely.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Our goodwill is included in our Marketplace segment.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changes in the carrying amounts of our intangible assets and goodwill were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180" w:type="dxa"/>
            <w:vAlign w:val="bottom"/>
            <w:gridSpan w:val="3"/>
          </w:tcPr>
          <w:p>
            <w:pPr>
              <w:jc w:val="right"/>
              <w:ind w:right="360"/>
              <w:spacing w:after="0"/>
              <w:rPr>
                <w:sz w:val="20"/>
                <w:szCs w:val="20"/>
                <w:color w:val="auto"/>
              </w:rPr>
            </w:pPr>
            <w:r>
              <w:rPr>
                <w:rFonts w:ascii="Calibri" w:cs="Calibri" w:eastAsia="Calibri" w:hAnsi="Calibri"/>
                <w:sz w:val="18"/>
                <w:szCs w:val="18"/>
                <w:b w:val="1"/>
                <w:bCs w:val="1"/>
                <w:color w:val="auto"/>
              </w:rPr>
              <w:t>Defnite-lived Intangible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980"/>
              <w:spacing w:after="0" w:line="215" w:lineRule="exact"/>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8"/>
                <w:szCs w:val="18"/>
                <w:color w:val="auto"/>
              </w:rPr>
            </w:pPr>
          </w:p>
        </w:tc>
        <w:tc>
          <w:tcPr>
            <w:tcW w:w="1240" w:type="dxa"/>
            <w:vAlign w:val="bottom"/>
          </w:tcPr>
          <w:p>
            <w:pPr>
              <w:jc w:val="right"/>
              <w:ind w:right="250"/>
              <w:spacing w:after="0" w:line="215" w:lineRule="exact"/>
              <w:rPr>
                <w:sz w:val="20"/>
                <w:szCs w:val="20"/>
                <w:color w:val="auto"/>
              </w:rPr>
            </w:pPr>
            <w:r>
              <w:rPr>
                <w:rFonts w:ascii="Calibri" w:cs="Calibri" w:eastAsia="Calibri" w:hAnsi="Calibri"/>
                <w:sz w:val="18"/>
                <w:szCs w:val="18"/>
                <w:b w:val="1"/>
                <w:bCs w:val="1"/>
                <w:color w:val="auto"/>
              </w:rPr>
              <w:t>Trademark</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Goodwill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Balance at January 1, 2022</w:t>
            </w:r>
          </w:p>
        </w:tc>
        <w:tc>
          <w:tcPr>
            <w:tcW w:w="19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13,845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64,666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718,204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1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2,748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1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(1,315 )</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March 31, 2022</w:t>
            </w:r>
          </w:p>
        </w:tc>
        <w:tc>
          <w:tcPr>
            <w:tcW w:w="19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line="210"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15,278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64,666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718,204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80" w:type="dxa"/>
            <w:vAlign w:val="bottom"/>
            <w:vMerge w:val="restart"/>
          </w:tcPr>
          <w:p>
            <w:pPr>
              <w:jc w:val="right"/>
              <w:ind w:right="30"/>
              <w:spacing w:after="0"/>
              <w:rPr>
                <w:sz w:val="20"/>
                <w:szCs w:val="20"/>
                <w:color w:val="auto"/>
              </w:rPr>
            </w:pPr>
            <w:r>
              <w:rPr>
                <w:rFonts w:ascii="Calibri" w:cs="Calibri" w:eastAsia="Calibri" w:hAnsi="Calibri"/>
                <w:sz w:val="18"/>
                <w:szCs w:val="18"/>
                <w:color w:val="auto"/>
              </w:rPr>
              <w:t>13</w:t>
            </w: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-668020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-668020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40" w:type="dxa"/>
            <w:vAlign w:val="bottom"/>
          </w:tcPr>
          <w:p>
            <w:pPr>
              <w:spacing w:after="0"/>
              <w:rPr>
                <w:sz w:val="19"/>
                <w:szCs w:val="19"/>
                <w:color w:val="auto"/>
              </w:rPr>
            </w:pPr>
          </w:p>
        </w:tc>
        <w:tc>
          <w:tcPr>
            <w:tcW w:w="2180" w:type="dxa"/>
            <w:vAlign w:val="bottom"/>
            <w:gridSpan w:val="3"/>
          </w:tcPr>
          <w:p>
            <w:pPr>
              <w:jc w:val="right"/>
              <w:ind w:right="360"/>
              <w:spacing w:after="0"/>
              <w:rPr>
                <w:sz w:val="20"/>
                <w:szCs w:val="20"/>
                <w:color w:val="auto"/>
              </w:rPr>
            </w:pPr>
            <w:r>
              <w:rPr>
                <w:rFonts w:ascii="Calibri" w:cs="Calibri" w:eastAsia="Calibri" w:hAnsi="Calibri"/>
                <w:sz w:val="18"/>
                <w:szCs w:val="18"/>
                <w:b w:val="1"/>
                <w:bCs w:val="1"/>
                <w:color w:val="auto"/>
              </w:rPr>
              <w:t>Defnite-lived Intangible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980"/>
              <w:spacing w:after="0" w:line="215" w:lineRule="exact"/>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8"/>
                <w:szCs w:val="18"/>
                <w:color w:val="auto"/>
              </w:rPr>
            </w:pPr>
          </w:p>
        </w:tc>
        <w:tc>
          <w:tcPr>
            <w:tcW w:w="1240" w:type="dxa"/>
            <w:vAlign w:val="bottom"/>
          </w:tcPr>
          <w:p>
            <w:pPr>
              <w:jc w:val="right"/>
              <w:ind w:right="250"/>
              <w:spacing w:after="0" w:line="215" w:lineRule="exact"/>
              <w:rPr>
                <w:sz w:val="20"/>
                <w:szCs w:val="20"/>
                <w:color w:val="auto"/>
              </w:rPr>
            </w:pPr>
            <w:r>
              <w:rPr>
                <w:rFonts w:ascii="Calibri" w:cs="Calibri" w:eastAsia="Calibri" w:hAnsi="Calibri"/>
                <w:sz w:val="18"/>
                <w:szCs w:val="18"/>
                <w:b w:val="1"/>
                <w:bCs w:val="1"/>
                <w:color w:val="auto"/>
              </w:rPr>
              <w:t>Trademark</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Goodwill</w:t>
            </w:r>
          </w:p>
        </w:tc>
        <w:tc>
          <w:tcPr>
            <w:tcW w:w="100" w:type="dxa"/>
            <w:vAlign w:val="bottom"/>
          </w:tcPr>
          <w:p>
            <w:pPr>
              <w:spacing w:after="0"/>
              <w:rPr>
                <w:sz w:val="18"/>
                <w:szCs w:val="18"/>
                <w:color w:val="auto"/>
              </w:rPr>
            </w:pPr>
          </w:p>
        </w:tc>
      </w:tr>
      <w:tr>
        <w:trPr>
          <w:trHeight w:val="23"/>
        </w:trPr>
        <w:tc>
          <w:tcPr>
            <w:tcW w:w="5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58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Balance at January 1, 2021</w:t>
            </w:r>
          </w:p>
        </w:tc>
        <w:tc>
          <w:tcPr>
            <w:tcW w:w="420" w:type="dxa"/>
            <w:vAlign w:val="bottom"/>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1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2,358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64,666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683,327</w:t>
            </w:r>
          </w:p>
        </w:tc>
        <w:tc>
          <w:tcPr>
            <w:tcW w:w="100" w:type="dxa"/>
            <w:vAlign w:val="bottom"/>
            <w:shd w:val="clear" w:color="auto" w:fill="CFF0FC"/>
          </w:tcPr>
          <w:p>
            <w:pPr>
              <w:spacing w:after="0"/>
              <w:rPr>
                <w:sz w:val="18"/>
                <w:szCs w:val="18"/>
                <w:color w:val="auto"/>
              </w:rPr>
            </w:pPr>
          </w:p>
        </w:tc>
      </w:tr>
      <w:tr>
        <w:trPr>
          <w:trHeight w:val="215"/>
        </w:trPr>
        <w:tc>
          <w:tcPr>
            <w:tcW w:w="584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4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1,726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4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(295 )</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84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March 31, 2021</w:t>
            </w:r>
          </w:p>
        </w:tc>
        <w:tc>
          <w:tcPr>
            <w:tcW w:w="420" w:type="dxa"/>
            <w:vAlign w:val="bottom"/>
            <w:tcBorders>
              <w:top w:val="single" w:sz="8" w:color="auto"/>
              <w:bottom w:val="single" w:sz="8" w:color="auto"/>
            </w:tcBorders>
          </w:tcPr>
          <w:p>
            <w:pPr>
              <w:jc w:val="right"/>
              <w:ind w:right="230"/>
              <w:spacing w:after="0" w:line="210" w:lineRule="exact"/>
              <w:rPr>
                <w:sz w:val="20"/>
                <w:szCs w:val="20"/>
                <w:color w:val="auto"/>
              </w:rPr>
            </w:pPr>
            <w:r>
              <w:rPr>
                <w:rFonts w:ascii="Calibri" w:cs="Calibri" w:eastAsia="Calibri" w:hAnsi="Calibri"/>
                <w:sz w:val="18"/>
                <w:szCs w:val="18"/>
                <w:b w:val="1"/>
                <w:bCs w:val="1"/>
                <w:color w:val="auto"/>
                <w:w w:val="87"/>
              </w:rPr>
              <w:t>$</w:t>
            </w:r>
          </w:p>
        </w:tc>
        <w:tc>
          <w:tcPr>
            <w:tcW w:w="15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3,789</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64,666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683,327</w:t>
            </w:r>
          </w:p>
        </w:tc>
        <w:tc>
          <w:tcPr>
            <w:tcW w:w="100" w:type="dxa"/>
            <w:vAlign w:val="bottom"/>
            <w:tcBorders>
              <w:top w:val="single" w:sz="8" w:color="CFF0FC"/>
            </w:tcBorders>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3"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had recorded $563.2 million of cumulatve impairment charges related to our intangible assets and goodwill as of March 31, 2022 and December 31, 2021.</w:t>
      </w:r>
    </w:p>
    <w:p>
      <w:pPr>
        <w:spacing w:after="0" w:line="1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on our defnite-lived intangible assets was $1.3 million and $0.3 million for the three months ended March 31, 2022 and 2021, respectvely, and is presented in Depreciaton and amortzaton in the Condensed Consolidated Statements of Operatons.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Calibri" w:cs="Calibri" w:eastAsia="Calibri" w:hAnsi="Calibri"/>
                <w:sz w:val="18"/>
                <w:szCs w:val="18"/>
                <w:b w:val="1"/>
                <w:bCs w:val="1"/>
                <w:color w:val="auto"/>
              </w:rPr>
              <w:t>7. Prepaid expenses and other current assets</w:t>
            </w: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644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 of the following (in thousands):</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4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March 31,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24"/>
                <w:szCs w:val="24"/>
                <w:color w:val="auto"/>
              </w:rPr>
            </w:pPr>
          </w:p>
        </w:tc>
      </w:tr>
      <w:tr>
        <w:trPr>
          <w:trHeight w:val="216"/>
        </w:trPr>
        <w:tc>
          <w:tcPr>
            <w:tcW w:w="6440" w:type="dxa"/>
            <w:vAlign w:val="bottom"/>
          </w:tcPr>
          <w:p>
            <w:pPr>
              <w:spacing w:after="0"/>
              <w:rPr>
                <w:sz w:val="18"/>
                <w:szCs w:val="18"/>
                <w:color w:val="auto"/>
              </w:rPr>
            </w:pPr>
          </w:p>
        </w:tc>
        <w:tc>
          <w:tcPr>
            <w:tcW w:w="158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81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64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Recovery of future customer compensaton</w:t>
            </w:r>
          </w:p>
        </w:tc>
        <w:tc>
          <w:tcPr>
            <w:tcW w:w="1580" w:type="dxa"/>
            <w:vAlign w:val="bottom"/>
            <w:shd w:val="clear" w:color="auto" w:fill="CFF0FC"/>
          </w:tcPr>
          <w:p>
            <w:pPr>
              <w:jc w:val="right"/>
              <w:ind w:right="1390"/>
              <w:spacing w:after="0" w:line="209"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61,306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58,319</w:t>
            </w:r>
          </w:p>
        </w:tc>
        <w:tc>
          <w:tcPr>
            <w:tcW w:w="100" w:type="dxa"/>
            <w:vAlign w:val="bottom"/>
            <w:shd w:val="clear" w:color="auto" w:fill="CFF0FC"/>
          </w:tcPr>
          <w:p>
            <w:pPr>
              <w:spacing w:after="0"/>
              <w:rPr>
                <w:sz w:val="18"/>
                <w:szCs w:val="18"/>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Insurance recovery asset</w:t>
            </w:r>
          </w:p>
        </w:tc>
        <w:tc>
          <w:tcPr>
            <w:tcW w:w="158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480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480</w:t>
            </w:r>
          </w:p>
        </w:tc>
        <w:tc>
          <w:tcPr>
            <w:tcW w:w="100" w:type="dxa"/>
            <w:vAlign w:val="bottom"/>
          </w:tcPr>
          <w:p>
            <w:pPr>
              <w:spacing w:after="0"/>
              <w:rPr>
                <w:sz w:val="18"/>
                <w:szCs w:val="18"/>
                <w:color w:val="auto"/>
              </w:rPr>
            </w:pPr>
          </w:p>
        </w:tc>
      </w:tr>
      <w:tr>
        <w:trPr>
          <w:trHeight w:val="217"/>
        </w:trPr>
        <w:tc>
          <w:tcPr>
            <w:tcW w:w="64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Prepaid expenses</w:t>
            </w:r>
          </w:p>
        </w:tc>
        <w:tc>
          <w:tcPr>
            <w:tcW w:w="15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8,391</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9,573</w:t>
            </w:r>
          </w:p>
        </w:tc>
        <w:tc>
          <w:tcPr>
            <w:tcW w:w="100" w:type="dxa"/>
            <w:vAlign w:val="bottom"/>
            <w:shd w:val="clear" w:color="auto" w:fill="CFF0FC"/>
          </w:tcPr>
          <w:p>
            <w:pPr>
              <w:spacing w:after="0"/>
              <w:rPr>
                <w:sz w:val="18"/>
                <w:szCs w:val="18"/>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assets</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5,510</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4,132</w:t>
            </w:r>
          </w:p>
        </w:tc>
        <w:tc>
          <w:tcPr>
            <w:tcW w:w="100" w:type="dxa"/>
            <w:vAlign w:val="bottom"/>
          </w:tcPr>
          <w:p>
            <w:pPr>
              <w:spacing w:after="0"/>
              <w:rPr>
                <w:sz w:val="18"/>
                <w:szCs w:val="18"/>
                <w:color w:val="auto"/>
              </w:rPr>
            </w:pPr>
          </w:p>
        </w:tc>
      </w:tr>
      <w:tr>
        <w:trPr>
          <w:trHeight w:val="251"/>
        </w:trPr>
        <w:tc>
          <w:tcPr>
            <w:tcW w:w="64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prepaid expenses and other current assets</w:t>
            </w:r>
          </w:p>
        </w:tc>
        <w:tc>
          <w:tcPr>
            <w:tcW w:w="1580" w:type="dxa"/>
            <w:vAlign w:val="bottom"/>
            <w:tcBorders>
              <w:bottom w:val="single" w:sz="8" w:color="auto"/>
            </w:tcBorders>
            <w:shd w:val="clear" w:color="auto" w:fill="CFF0FC"/>
          </w:tcPr>
          <w:p>
            <w:pPr>
              <w:jc w:val="right"/>
              <w:ind w:right="139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75,687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w w:val="87"/>
              </w:rPr>
              <w:t>$</w:t>
            </w:r>
          </w:p>
        </w:tc>
        <w:tc>
          <w:tcPr>
            <w:tcW w:w="18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72,504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3"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Recovery of future customer compensaton represents expected recoveries of compensaton to be paid to customers for event cancellatons or other service issues related to previously recorded sales transactons. The increase in the recovery of future customer compensaton costs increased by $3.0 million due to an increase in order volume, which was partally ofset by a reducton in the estmated rate of future cancellatons as of March 31, 2022. The provision related to these expected recoveries is included in Accrued expenses and other current liabilites in the Condensed Consolidated Balance Sheets.</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Accrued Expenses and Other Current Liabilities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consist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49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3340" w:type="dxa"/>
            <w:vAlign w:val="bottom"/>
            <w:gridSpan w:val="2"/>
          </w:tcPr>
          <w:p>
            <w:pPr>
              <w:jc w:val="right"/>
              <w:ind w:right="170"/>
              <w:spacing w:after="0" w:line="216" w:lineRule="exact"/>
              <w:rPr>
                <w:sz w:val="20"/>
                <w:szCs w:val="20"/>
                <w:color w:val="auto"/>
              </w:rPr>
            </w:pPr>
            <w:r>
              <w:rPr>
                <w:rFonts w:ascii="Calibri" w:cs="Calibri" w:eastAsia="Calibri" w:hAnsi="Calibri"/>
                <w:sz w:val="18"/>
                <w:szCs w:val="18"/>
                <w:b w:val="1"/>
                <w:bCs w:val="1"/>
                <w:color w:val="auto"/>
              </w:rPr>
              <w:t>2022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ind w:right="8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Accrued marketng expense</w:t>
            </w:r>
          </w:p>
        </w:tc>
        <w:tc>
          <w:tcPr>
            <w:tcW w:w="17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50"/>
              <w:spacing w:after="0" w:line="209" w:lineRule="exact"/>
              <w:rPr>
                <w:sz w:val="20"/>
                <w:szCs w:val="20"/>
                <w:color w:val="auto"/>
              </w:rPr>
            </w:pPr>
            <w:r>
              <w:rPr>
                <w:rFonts w:ascii="Calibri" w:cs="Calibri" w:eastAsia="Calibri" w:hAnsi="Calibri"/>
                <w:sz w:val="18"/>
                <w:szCs w:val="18"/>
                <w:color w:val="auto"/>
              </w:rPr>
              <w:t>$</w:t>
            </w:r>
          </w:p>
        </w:tc>
        <w:tc>
          <w:tcPr>
            <w:tcW w:w="6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28,213</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8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27,304</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taxes</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5,588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9,332</w:t>
            </w:r>
          </w:p>
        </w:tc>
        <w:tc>
          <w:tcPr>
            <w:tcW w:w="100" w:type="dxa"/>
            <w:vAlign w:val="bottom"/>
          </w:tcPr>
          <w:p>
            <w:pPr>
              <w:spacing w:after="0"/>
              <w:rPr>
                <w:sz w:val="18"/>
                <w:szCs w:val="18"/>
                <w:color w:val="auto"/>
              </w:rPr>
            </w:pPr>
          </w:p>
        </w:tc>
      </w:tr>
      <w:tr>
        <w:trPr>
          <w:trHeight w:val="217"/>
        </w:trPr>
        <w:tc>
          <w:tcPr>
            <w:tcW w:w="4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customer credits</w:t>
            </w:r>
          </w:p>
        </w:tc>
        <w:tc>
          <w:tcPr>
            <w:tcW w:w="17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119,070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119,355</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78,306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right"/>
              <w:spacing w:after="0" w:line="215" w:lineRule="exact"/>
              <w:rPr>
                <w:sz w:val="20"/>
                <w:szCs w:val="20"/>
                <w:color w:val="auto"/>
              </w:rPr>
            </w:pPr>
            <w:r>
              <w:rPr>
                <w:rFonts w:ascii="Calibri" w:cs="Calibri" w:eastAsia="Calibri" w:hAnsi="Calibri"/>
                <w:sz w:val="18"/>
                <w:szCs w:val="18"/>
                <w:color w:val="auto"/>
              </w:rPr>
              <w:t>73,959</w:t>
            </w:r>
          </w:p>
        </w:tc>
        <w:tc>
          <w:tcPr>
            <w:tcW w:w="100" w:type="dxa"/>
            <w:vAlign w:val="bottom"/>
          </w:tcPr>
          <w:p>
            <w:pPr>
              <w:spacing w:after="0"/>
              <w:rPr>
                <w:sz w:val="18"/>
                <w:szCs w:val="18"/>
                <w:color w:val="auto"/>
              </w:rPr>
            </w:pPr>
          </w:p>
        </w:tc>
      </w:tr>
      <w:tr>
        <w:trPr>
          <w:trHeight w:val="217"/>
        </w:trPr>
        <w:tc>
          <w:tcPr>
            <w:tcW w:w="4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contngencies</w:t>
            </w:r>
          </w:p>
        </w:tc>
        <w:tc>
          <w:tcPr>
            <w:tcW w:w="17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12,686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12,686</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178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28,842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38,520</w:t>
            </w:r>
          </w:p>
        </w:tc>
        <w:tc>
          <w:tcPr>
            <w:tcW w:w="100" w:type="dxa"/>
            <w:vAlign w:val="bottom"/>
          </w:tcPr>
          <w:p>
            <w:pPr>
              <w:spacing w:after="0"/>
              <w:rPr>
                <w:sz w:val="18"/>
                <w:szCs w:val="18"/>
                <w:color w:val="auto"/>
              </w:rPr>
            </w:pPr>
          </w:p>
        </w:tc>
      </w:tr>
      <w:tr>
        <w:trPr>
          <w:trHeight w:val="251"/>
        </w:trPr>
        <w:tc>
          <w:tcPr>
            <w:tcW w:w="46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accrued expenses and other current liabilites</w:t>
            </w:r>
          </w:p>
        </w:tc>
        <w:tc>
          <w:tcPr>
            <w:tcW w:w="178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1350"/>
              <w:spacing w:after="0" w:line="210"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272,705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8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281,156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6"/>
        </w:trPr>
        <w:tc>
          <w:tcPr>
            <w:tcW w:w="4620" w:type="dxa"/>
            <w:vAlign w:val="bottom"/>
          </w:tcPr>
          <w:p>
            <w:pPr>
              <w:spacing w:after="0"/>
              <w:rPr>
                <w:sz w:val="24"/>
                <w:szCs w:val="24"/>
                <w:color w:val="auto"/>
              </w:rPr>
            </w:pPr>
          </w:p>
        </w:tc>
        <w:tc>
          <w:tcPr>
            <w:tcW w:w="1780" w:type="dxa"/>
            <w:vAlign w:val="bottom"/>
          </w:tcPr>
          <w:p>
            <w:pPr>
              <w:jc w:val="right"/>
              <w:ind w:right="590"/>
              <w:spacing w:after="0"/>
              <w:rPr>
                <w:sz w:val="20"/>
                <w:szCs w:val="20"/>
                <w:color w:val="auto"/>
              </w:rPr>
            </w:pPr>
            <w:r>
              <w:rPr>
                <w:rFonts w:ascii="Calibri" w:cs="Calibri" w:eastAsia="Calibri" w:hAnsi="Calibri"/>
                <w:sz w:val="18"/>
                <w:szCs w:val="18"/>
                <w:color w:val="auto"/>
              </w:rPr>
              <w:t>14</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6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-368300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-351155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-368300</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-351155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Accrued taxes decreased due to a change in our process for collectng and remitng sales tax. Historically, we did not collect sales tax from tcket buyers, and instead accrued the expense in jurisdictons where we expected to remit sales tax payments. Startng in the second half of 2021, we began collectng sales tax directly from tcket buyers for remitance to the relevant jurisdictons. The majority of accrued taxes as of March 31, 2022, represents our exposure to sales taxes for transactons preceding the new tax remitance process, reduced by abatements received. Refer to Note 11, Commitments and Contngencies, for further discussion of the accrued tax expense.</w:t>
      </w:r>
    </w:p>
    <w:p>
      <w:pPr>
        <w:spacing w:after="0" w:line="166"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Accrued customer credits represent credits issued and outstanding for event cancellatons or other service issues related to recorded sales transactons. The accrued amount is reduced by the amount of credits estmated to go unused, which is recognized in proporton to the patern of redempton for the customer credits. During the three months ended March 31, 2022, $9.8 million of accrued customer credits were redeemed and we recognized $0.6 million of revenue from breakage. During the three months ended March 31, 2021, $5.2 million of accrued customer credits were redeemed and we recognized $0.7 million of revenue from breakage.</w:t>
      </w:r>
    </w:p>
    <w:p>
      <w:pPr>
        <w:spacing w:after="0" w:line="152"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months ended March 31, 2022 and 2021, we recognized a net increase in revenue of $1.1 million and $1.2 million, respectvely, from the reversals of previously recorded revenue and changes to accrued future customer compensaton related to event cancellatons where the performance obligatons were satsfed in prior periods.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Other current liabilites decreased $9.7 million primarily due to a $5.9 million decrease in accrued personnel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Calibri" w:cs="Calibri" w:eastAsia="Calibri" w:hAnsi="Calibri"/>
                <w:sz w:val="18"/>
                <w:szCs w:val="18"/>
                <w:b w:val="1"/>
                <w:bCs w:val="1"/>
                <w:color w:val="auto"/>
              </w:rPr>
              <w:t>9. Debt</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514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5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jc w:val="right"/>
              <w:ind w:right="960"/>
              <w:spacing w:after="0"/>
              <w:rPr>
                <w:sz w:val="20"/>
                <w:szCs w:val="20"/>
                <w:color w:val="auto"/>
              </w:rPr>
            </w:pPr>
            <w:r>
              <w:rPr>
                <w:rFonts w:ascii="Calibri" w:cs="Calibri" w:eastAsia="Calibri" w:hAnsi="Calibri"/>
                <w:sz w:val="18"/>
                <w:szCs w:val="18"/>
                <w:b w:val="1"/>
                <w:bCs w:val="1"/>
                <w:color w:val="auto"/>
              </w:rPr>
              <w:t>March 31,</w:t>
            </w:r>
          </w:p>
        </w:tc>
        <w:tc>
          <w:tcPr>
            <w:tcW w:w="380" w:type="dxa"/>
            <w:vAlign w:val="bottom"/>
          </w:tcPr>
          <w:p>
            <w:pPr>
              <w:spacing w:after="0"/>
              <w:rPr>
                <w:sz w:val="24"/>
                <w:szCs w:val="24"/>
                <w:color w:val="auto"/>
              </w:rPr>
            </w:pPr>
          </w:p>
        </w:tc>
        <w:tc>
          <w:tcPr>
            <w:tcW w:w="2100" w:type="dxa"/>
            <w:vAlign w:val="bottom"/>
            <w:gridSpan w:val="2"/>
          </w:tcPr>
          <w:p>
            <w:pPr>
              <w:jc w:val="right"/>
              <w:ind w:right="78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5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ind w:right="650"/>
              <w:spacing w:after="0" w:line="216" w:lineRule="exact"/>
              <w:rPr>
                <w:sz w:val="20"/>
                <w:szCs w:val="20"/>
                <w:color w:val="auto"/>
              </w:rPr>
            </w:pPr>
            <w:r>
              <w:rPr>
                <w:rFonts w:ascii="Calibri" w:cs="Calibri" w:eastAsia="Calibri" w:hAnsi="Calibri"/>
                <w:sz w:val="18"/>
                <w:szCs w:val="18"/>
                <w:b w:val="1"/>
                <w:bCs w:val="1"/>
                <w:color w:val="auto"/>
              </w:rPr>
              <w:t>2022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ind w:right="9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5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June 2017 First Lien Loan</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w w:val="87"/>
              </w:rPr>
              <w:t>$</w:t>
            </w:r>
          </w:p>
        </w:tc>
        <w:tc>
          <w:tcPr>
            <w:tcW w:w="2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465,712</w:t>
            </w:r>
          </w:p>
        </w:tc>
        <w:tc>
          <w:tcPr>
            <w:tcW w:w="100" w:type="dxa"/>
            <w:vAlign w:val="bottom"/>
            <w:shd w:val="clear" w:color="auto" w:fill="CFF0FC"/>
          </w:tcPr>
          <w:p>
            <w:pPr>
              <w:spacing w:after="0"/>
              <w:rPr>
                <w:sz w:val="19"/>
                <w:szCs w:val="19"/>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February 2022 First Lien Loan</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275,000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51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gross</w:t>
            </w:r>
          </w:p>
        </w:tc>
        <w:tc>
          <w:tcPr>
            <w:tcW w:w="13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275,000</w:t>
            </w:r>
          </w:p>
        </w:tc>
        <w:tc>
          <w:tcPr>
            <w:tcW w:w="4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465,712</w:t>
            </w:r>
          </w:p>
        </w:tc>
        <w:tc>
          <w:tcPr>
            <w:tcW w:w="100" w:type="dxa"/>
            <w:vAlign w:val="bottom"/>
            <w:shd w:val="clear" w:color="auto" w:fill="CFF0FC"/>
          </w:tcPr>
          <w:p>
            <w:pPr>
              <w:spacing w:after="0"/>
              <w:rPr>
                <w:sz w:val="18"/>
                <w:szCs w:val="18"/>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Less: unamortzed debt issuance costs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(5,854 )</w:t>
            </w:r>
          </w:p>
        </w:tc>
        <w:tc>
          <w:tcPr>
            <w:tcW w:w="380" w:type="dxa"/>
            <w:vAlign w:val="bottom"/>
          </w:tcPr>
          <w:p>
            <w:pPr>
              <w:spacing w:after="0"/>
              <w:rPr>
                <w:sz w:val="18"/>
                <w:szCs w:val="18"/>
                <w:color w:val="auto"/>
              </w:rPr>
            </w:pPr>
          </w:p>
        </w:tc>
        <w:tc>
          <w:tcPr>
            <w:tcW w:w="21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(5,580 )</w:t>
            </w:r>
          </w:p>
        </w:tc>
      </w:tr>
      <w:tr>
        <w:trPr>
          <w:trHeight w:val="211"/>
        </w:trPr>
        <w:tc>
          <w:tcPr>
            <w:tcW w:w="51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13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269,146</w:t>
            </w:r>
          </w:p>
        </w:tc>
        <w:tc>
          <w:tcPr>
            <w:tcW w:w="4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shd w:val="clear" w:color="auto" w:fill="CFF0FC"/>
          </w:tcPr>
          <w:p>
            <w:pPr>
              <w:spacing w:after="0"/>
              <w:rPr>
                <w:sz w:val="18"/>
                <w:szCs w:val="18"/>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Less: current porton</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(2,750 )</w:t>
            </w:r>
          </w:p>
        </w:tc>
        <w:tc>
          <w:tcPr>
            <w:tcW w:w="380" w:type="dxa"/>
            <w:vAlign w:val="bottom"/>
          </w:tcPr>
          <w:p>
            <w:pPr>
              <w:spacing w:after="0"/>
              <w:rPr>
                <w:sz w:val="18"/>
                <w:szCs w:val="18"/>
                <w:color w:val="auto"/>
              </w:rPr>
            </w:pPr>
          </w:p>
        </w:tc>
        <w:tc>
          <w:tcPr>
            <w:tcW w:w="21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51"/>
        </w:trPr>
        <w:tc>
          <w:tcPr>
            <w:tcW w:w="51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w:t>
            </w:r>
          </w:p>
        </w:tc>
        <w:tc>
          <w:tcPr>
            <w:tcW w:w="1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w w:val="87"/>
              </w:rPr>
              <w:t>$</w:t>
            </w:r>
          </w:p>
        </w:tc>
        <w:tc>
          <w:tcPr>
            <w:tcW w:w="15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266,396</w:t>
            </w:r>
          </w:p>
        </w:tc>
        <w:tc>
          <w:tcPr>
            <w:tcW w:w="4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w w:val="87"/>
              </w:rPr>
              <w:t>$</w:t>
            </w:r>
          </w:p>
        </w:tc>
        <w:tc>
          <w:tcPr>
            <w:tcW w:w="20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5"/>
        </w:trPr>
        <w:tc>
          <w:tcPr>
            <w:tcW w:w="5140" w:type="dxa"/>
            <w:vAlign w:val="bottom"/>
          </w:tcPr>
          <w:p>
            <w:pPr>
              <w:spacing w:after="0"/>
              <w:rPr>
                <w:sz w:val="24"/>
                <w:szCs w:val="24"/>
                <w:color w:val="auto"/>
              </w:rPr>
            </w:pPr>
          </w:p>
        </w:tc>
        <w:tc>
          <w:tcPr>
            <w:tcW w:w="1360" w:type="dxa"/>
            <w:vAlign w:val="bottom"/>
          </w:tcPr>
          <w:p>
            <w:pPr>
              <w:jc w:val="right"/>
              <w:ind w:right="690"/>
              <w:spacing w:after="0"/>
              <w:rPr>
                <w:sz w:val="20"/>
                <w:szCs w:val="20"/>
                <w:color w:val="auto"/>
              </w:rPr>
            </w:pPr>
            <w:r>
              <w:rPr>
                <w:rFonts w:ascii="Calibri" w:cs="Calibri" w:eastAsia="Calibri" w:hAnsi="Calibri"/>
                <w:sz w:val="18"/>
                <w:szCs w:val="18"/>
                <w:color w:val="auto"/>
              </w:rPr>
              <w:t>15</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5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-367665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-351155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On June 30, 2017, we entered into a $575.0 million frst lien debt facility, comprised of a $50.0 million revolving facility and a $525.0 million term loan (the “June 2017 First Lien Loan”), and a second lien credit facility, comprised of a $185.0 million second lien term loan (the “June 2017 Second Lien Loan”). The First Lien Loan was amended to upsize the commited amount by $115.0 million on July 2, 2018. On October 28, 2019, we paid of the June 2017 Second Lien Loan balance. The underlying credit facility was subsequently retred on May 22, 2020. On October 18, 2021, we made an early principal payment of $148.2 million in connecton with, and using the proceeds from, the merger transacton with Horizon Acquisiton Corporaton ("the Merger Transacton") and private investment in public equity fnancing (“PIPE Subscripton”). On February 3, 2022, we repaid $190.7 million of the outstanding balance of the June 2017 First Lien Loan and refnanced the remaining balance with a new $275.0 million term loan.</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June 2017 First Lien Loan was held by third-party fnancial insttutons and was carried at the outstanding principal balance, less debt issuance costs and any unamortzed discount or premium. The fair value was estmated using quoted prices that are directly observable in the marketplace, therefore, the fair value is estmated on a Level 2 basis. At December 31, 2021, the June 2017 First Lien Loan had a fair value of $465.1 million as compared to the carrying amount of $460.1 million.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February 3, 2022, we entered into an amendment which refnanced the remaining June 2017 First Lien Loan with a new $275.0 million term loan (the "February 2022 First Lien Loan") with a maturity date of February 3, 2029. In connecton with the February 2022 First Lien Loan, we also entered into a new revolving credit facility (the “Revolving Facility”), which allows for an aggregate principal amount of $100.0 million and has a maturity date of February 3, 2027. At March 31, 2022, we had no outstanding borrowings under our Revolving Facility.</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The terms of the February 2022 First Lien Loan specifed a secured overnight fnancing rate (“SOFR”) based foatng interest rate and revised the springing fnancial covenant under the June 2017 Term Loans to require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It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plus 3.25%. The SOFR rate for the February 2022 First Lien Loan is subject to a 0.5% foor. The efectve interest rate on the February 2022 First Lien Loan was 3.75% per annum at March 31, 2022.</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March 31, 2022, the February 2022 First Lien Loan had a fair value of $270.2 million as compared to the carrying amount of $269.1 million.</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create restrictons on the ability to enter into transactons with afliates; create liens; merge or consolidate; and make certain payments. Non-compliance with these covenants and failure to remedy could result in the acceleraton of the loans or foreclosure on the collateral. As of March 31, 2022, we were in compliance with all of our debt covenants related to the February 2022 First Lien Loan.</w:t>
      </w:r>
    </w:p>
    <w:p>
      <w:pPr>
        <w:spacing w:after="0" w:line="113"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Due to the refnancing of the June 2017 First Lien Loan with the February 2022 First Lien Loan, we incurred a loss of $4.3 million, which is presented in Loss on extnguishment of debt in the Condensed Consolidated Statements of Operatons.</w:t>
      </w:r>
    </w:p>
    <w:p>
      <w:pPr>
        <w:jc w:val="center"/>
        <w:spacing w:after="0" w:line="223" w:lineRule="auto"/>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May 2020 First Lien Loan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May 22, 2020, we entered into a $260.0 million frst lien term loan (the “May 2020 First Lien Loan”) that is pari passu with the June 2017 First Lien Loan. The proceeds from the May 2020 First Lien Loan were used for general corporate purposes and to extnguish and retre the revolving facility related to the June 2017 First Lien Loan in full. On October 18, 2021, in connecton with and using the proceeds from the Merger Transacton, we paid of in full the May 2020 First Lien Loan balance.</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Financial Instruments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In Connecton with the Merger Transacton, we issued warrants to purchase 3,000,000 Hoya Intermediate common units at an exercise price of $10.00 per unit and warrants to purchase 3,000,000 Hoya Intermediate common units at an exercise price of $15.00 per unit (collectvely, "Hoya Intermediate Warrants") to Hoya Topco, LLC ("Hoya Topco"). The Hoya Intermediate Warrants are classifed as Other Liabilites in the Condensed Consolidated Balance Sheets. A porton of the Hoya Intermediate Warrants consists of warrants to purchase 1,000,000 Hoya Intermediate common units at exercise prices of $10.00 and $15.00 per unit, respectvely, were issued in tandem with stock optons issued by Vivid Seats Inc. to members of our management team (“Opton Contngent Warrants”). The Opton Contngent Warrants only become available to exercise by Hoya Topco in the event that a corresponding management opton is forfeited. As of March 31, 2022, none of the Opton Contngent Warrants are available to exercise by Hoya Topco.</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Hoya Intermediate Warrants are exercisable for Hoya Intermediate common units, which allow for a potental cash redempton at the discreton of the unit holder. Hence, the Hoya Intermediate Warrants are classifed as a liability in Other liabilites on our Consolidated Balance Sheets. Upon consummaton of the Merger Transacton, we recorded a warrant liability of $20.4 million, refectng the fair value of the Hoya Intermediate Warrants determined using the Black Scholes model. The fair value of the Hoya Intermediate Warrants included Opton Contngent Warrants of $1.6 million. The estmated fair value of the Opton Contngent Warrants is adjusted to refect the probability of forfeiture of the corresponding stock optons based on historical forfeiture rates for Hoya Topco profts interests.</w:t>
      </w:r>
    </w:p>
    <w:p>
      <w:pPr>
        <w:spacing w:after="0" w:line="9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Hoya Intermediate Warrants and Opton Contngent Warrants: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19"/>
                <w:szCs w:val="19"/>
                <w:color w:val="auto"/>
              </w:rPr>
            </w:pPr>
          </w:p>
        </w:tc>
        <w:tc>
          <w:tcPr>
            <w:tcW w:w="1760" w:type="dxa"/>
            <w:vAlign w:val="bottom"/>
          </w:tcPr>
          <w:p>
            <w:pPr>
              <w:ind w:left="800"/>
              <w:spacing w:after="0"/>
              <w:rPr>
                <w:sz w:val="20"/>
                <w:szCs w:val="20"/>
                <w:color w:val="auto"/>
              </w:rPr>
            </w:pPr>
            <w:r>
              <w:rPr>
                <w:rFonts w:ascii="Calibri" w:cs="Calibri" w:eastAsia="Calibri" w:hAnsi="Calibri"/>
                <w:sz w:val="18"/>
                <w:szCs w:val="18"/>
                <w:b w:val="1"/>
                <w:bCs w:val="1"/>
                <w:color w:val="auto"/>
              </w:rPr>
              <w:t>March 31,</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60" w:type="dxa"/>
            <w:vAlign w:val="bottom"/>
            <w:gridSpan w:val="2"/>
          </w:tcPr>
          <w:p>
            <w:pPr>
              <w:jc w:val="right"/>
              <w:ind w:right="73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820" w:type="dxa"/>
            <w:vAlign w:val="bottom"/>
            <w:gridSpan w:val="2"/>
          </w:tcPr>
          <w:p>
            <w:pPr>
              <w:ind w:left="7040"/>
              <w:spacing w:after="0" w:line="216" w:lineRule="exact"/>
              <w:rPr>
                <w:sz w:val="20"/>
                <w:szCs w:val="20"/>
                <w:color w:val="auto"/>
              </w:rPr>
            </w:pPr>
            <w:r>
              <w:rPr>
                <w:rFonts w:ascii="Calibri" w:cs="Calibri" w:eastAsia="Calibri" w:hAnsi="Calibri"/>
                <w:sz w:val="18"/>
                <w:szCs w:val="18"/>
                <w:b w:val="1"/>
                <w:bCs w:val="1"/>
                <w:color w:val="auto"/>
              </w:rPr>
              <w:t>2022</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jc w:val="right"/>
              <w:ind w:right="770"/>
              <w:spacing w:after="0" w:line="216" w:lineRule="exact"/>
              <w:rPr>
                <w:sz w:val="20"/>
                <w:szCs w:val="20"/>
                <w:color w:val="auto"/>
              </w:rPr>
            </w:pPr>
            <w:r>
              <w:rPr>
                <w:rFonts w:ascii="Calibri" w:cs="Calibri" w:eastAsia="Calibri" w:hAnsi="Calibri"/>
                <w:sz w:val="18"/>
                <w:szCs w:val="18"/>
                <w:b w:val="1"/>
                <w:bCs w:val="1"/>
                <w:color w:val="auto"/>
              </w:rPr>
              <w:t>2021</w:t>
            </w:r>
          </w:p>
        </w:tc>
        <w:tc>
          <w:tcPr>
            <w:tcW w:w="280" w:type="dxa"/>
            <w:vAlign w:val="bottom"/>
          </w:tcPr>
          <w:p>
            <w:pPr>
              <w:spacing w:after="0"/>
              <w:rPr>
                <w:sz w:val="18"/>
                <w:szCs w:val="18"/>
                <w:color w:val="auto"/>
              </w:rPr>
            </w:pPr>
          </w:p>
        </w:tc>
      </w:tr>
      <w:tr>
        <w:trPr>
          <w:trHeight w:val="23"/>
        </w:trPr>
        <w:tc>
          <w:tcPr>
            <w:tcW w:w="60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10"/>
        </w:trPr>
        <w:tc>
          <w:tcPr>
            <w:tcW w:w="60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Estmated volatlity</w:t>
            </w:r>
          </w:p>
        </w:tc>
        <w:tc>
          <w:tcPr>
            <w:tcW w:w="17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38.0</w:t>
            </w:r>
          </w:p>
        </w:tc>
        <w:tc>
          <w:tcPr>
            <w:tcW w:w="500" w:type="dxa"/>
            <w:vAlign w:val="bottom"/>
            <w:shd w:val="clear" w:color="auto" w:fill="CFF0FC"/>
          </w:tcPr>
          <w:p>
            <w:pPr>
              <w:jc w:val="right"/>
              <w:ind w:right="270"/>
              <w:spacing w:after="0" w:line="209" w:lineRule="exact"/>
              <w:rPr>
                <w:sz w:val="20"/>
                <w:szCs w:val="20"/>
                <w:color w:val="auto"/>
              </w:rPr>
            </w:pPr>
            <w:r>
              <w:rPr>
                <w:rFonts w:ascii="Calibri" w:cs="Calibri" w:eastAsia="Calibri" w:hAnsi="Calibri"/>
                <w:sz w:val="18"/>
                <w:szCs w:val="18"/>
                <w:color w:val="auto"/>
                <w:w w:val="92"/>
              </w:rPr>
              <w:t>%</w:t>
            </w:r>
          </w:p>
        </w:tc>
        <w:tc>
          <w:tcPr>
            <w:tcW w:w="20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36.0</w:t>
            </w:r>
          </w:p>
        </w:tc>
        <w:tc>
          <w:tcPr>
            <w:tcW w:w="28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92"/>
              </w:rPr>
              <w:t>%</w:t>
            </w:r>
          </w:p>
        </w:tc>
      </w:tr>
      <w:tr>
        <w:trPr>
          <w:trHeight w:val="215"/>
        </w:trPr>
        <w:tc>
          <w:tcPr>
            <w:tcW w:w="78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9.6</w:t>
            </w:r>
          </w:p>
        </w:tc>
        <w:tc>
          <w:tcPr>
            <w:tcW w:w="500" w:type="dxa"/>
            <w:vAlign w:val="bottom"/>
          </w:tcPr>
          <w:p>
            <w:pPr>
              <w:spacing w:after="0"/>
              <w:rPr>
                <w:sz w:val="18"/>
                <w:szCs w:val="18"/>
                <w:color w:val="auto"/>
              </w:rPr>
            </w:pPr>
          </w:p>
        </w:tc>
        <w:tc>
          <w:tcPr>
            <w:tcW w:w="2080" w:type="dxa"/>
            <w:vAlign w:val="bottom"/>
          </w:tcPr>
          <w:p>
            <w:pPr>
              <w:jc w:val="right"/>
              <w:spacing w:after="0" w:line="215" w:lineRule="exact"/>
              <w:rPr>
                <w:sz w:val="20"/>
                <w:szCs w:val="20"/>
                <w:color w:val="auto"/>
              </w:rPr>
            </w:pPr>
            <w:r>
              <w:rPr>
                <w:rFonts w:ascii="Calibri" w:cs="Calibri" w:eastAsia="Calibri" w:hAnsi="Calibri"/>
                <w:sz w:val="18"/>
                <w:szCs w:val="18"/>
                <w:color w:val="auto"/>
              </w:rPr>
              <w:t>9.8</w:t>
            </w:r>
          </w:p>
        </w:tc>
        <w:tc>
          <w:tcPr>
            <w:tcW w:w="280" w:type="dxa"/>
            <w:vAlign w:val="bottom"/>
          </w:tcPr>
          <w:p>
            <w:pPr>
              <w:spacing w:after="0"/>
              <w:rPr>
                <w:sz w:val="18"/>
                <w:szCs w:val="18"/>
                <w:color w:val="auto"/>
              </w:rPr>
            </w:pPr>
          </w:p>
        </w:tc>
      </w:tr>
      <w:tr>
        <w:trPr>
          <w:trHeight w:val="217"/>
        </w:trPr>
        <w:tc>
          <w:tcPr>
            <w:tcW w:w="7820" w:type="dxa"/>
            <w:vAlign w:val="bottom"/>
            <w:gridSpan w:val="2"/>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Risk-free rate</w:t>
            </w:r>
          </w:p>
        </w:tc>
        <w:tc>
          <w:tcPr>
            <w:tcW w:w="1060" w:type="dxa"/>
            <w:vAlign w:val="bottom"/>
            <w:gridSpan w:val="2"/>
            <w:shd w:val="clear" w:color="auto" w:fill="CFF0FC"/>
          </w:tcPr>
          <w:p>
            <w:pPr>
              <w:jc w:val="right"/>
              <w:ind w:right="270"/>
              <w:spacing w:after="0" w:line="216" w:lineRule="exact"/>
              <w:rPr>
                <w:sz w:val="20"/>
                <w:szCs w:val="20"/>
                <w:color w:val="auto"/>
              </w:rPr>
            </w:pPr>
            <w:r>
              <w:rPr>
                <w:rFonts w:ascii="Calibri" w:cs="Calibri" w:eastAsia="Calibri" w:hAnsi="Calibri"/>
                <w:sz w:val="18"/>
                <w:szCs w:val="18"/>
                <w:color w:val="auto"/>
              </w:rPr>
              <w:t>2.3 %</w:t>
            </w:r>
          </w:p>
        </w:tc>
        <w:tc>
          <w:tcPr>
            <w:tcW w:w="236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1.5 %</w:t>
            </w:r>
          </w:p>
        </w:tc>
      </w:tr>
      <w:tr>
        <w:trPr>
          <w:trHeight w:val="215"/>
        </w:trPr>
        <w:tc>
          <w:tcPr>
            <w:tcW w:w="78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1060" w:type="dxa"/>
            <w:vAlign w:val="bottom"/>
            <w:gridSpan w:val="2"/>
          </w:tcPr>
          <w:p>
            <w:pPr>
              <w:jc w:val="right"/>
              <w:ind w:right="270"/>
              <w:spacing w:after="0" w:line="215" w:lineRule="exact"/>
              <w:rPr>
                <w:sz w:val="20"/>
                <w:szCs w:val="20"/>
                <w:color w:val="auto"/>
              </w:rPr>
            </w:pPr>
            <w:r>
              <w:rPr>
                <w:rFonts w:ascii="Calibri" w:cs="Calibri" w:eastAsia="Calibri" w:hAnsi="Calibri"/>
                <w:sz w:val="18"/>
                <w:szCs w:val="18"/>
                <w:color w:val="auto"/>
              </w:rPr>
              <w:t>0.0 %</w:t>
            </w:r>
          </w:p>
        </w:tc>
        <w:tc>
          <w:tcPr>
            <w:tcW w:w="236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0.0 %</w:t>
            </w:r>
          </w:p>
        </w:tc>
      </w:tr>
    </w:tbl>
    <w:p>
      <w:pPr>
        <w:spacing w:after="0" w:line="12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For the three months ended March 31, 2022, we recognized a $2.3 million charge to Other expenses on the Consolidated Statements of Operatons resultng from an increase in the fair value of the warrants.</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 short-term nature of these instruments.</w:t>
      </w:r>
    </w:p>
    <w:p>
      <w:pPr>
        <w:spacing w:after="0" w:line="138" w:lineRule="exact"/>
        <w:rPr>
          <w:sz w:val="20"/>
          <w:szCs w:val="20"/>
          <w:color w:val="auto"/>
        </w:rPr>
      </w:pPr>
    </w:p>
    <w:p>
      <w:pPr>
        <w:ind w:right="8440" w:firstLine="8"/>
        <w:spacing w:after="0" w:line="378" w:lineRule="auto"/>
        <w:tabs>
          <w:tab w:leader="none" w:pos="264" w:val="left"/>
        </w:tabs>
        <w:numPr>
          <w:ilvl w:val="0"/>
          <w:numId w:val="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Commitments and Contingencies Litgaton</w:t>
      </w:r>
    </w:p>
    <w:p>
      <w:pPr>
        <w:spacing w:after="0" w:line="3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We are a co-defendant in a class acton lawsuit in Canada alleging a failure to disclose service fees prior to checkout, which we have setled. On January 5, 2022, we issued coupons to certain members of the class. Other members will be notfed in 2022 that they are eligible to submit a claim for a coupon. As of March 31, 2022 and December 31, 2021, a liability of $0.9 million was recorded in Accrued expenses and other current liabilites in the Condensed Consolidated Balance Sheets related to expected claim submissions and credit redemptons as of the measurement date.</w:t>
      </w:r>
    </w:p>
    <w:p>
      <w:pPr>
        <w:spacing w:after="0" w:line="146"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and is included in Prepaid expenses and other current assets in the Condensed Consolidated Balance Sheets. As of March 31, 2022 and December 31, 2021, we had accrued a liability of $1.7 million within Accrued expenses and other current liabilites in the Condensed Consolidated Balance Sheets related to these maters. We expect to recover some of these costs under our insurance policies and have separately recognized an insurance recovery asset of $0.5 million within Prepaid expenses and other current assets in the Condensed Consolidated Balance Sheets at March 31, 2022 and December 31, 2021.</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w:t>
      </w:r>
    </w:p>
    <w:p>
      <w:pPr>
        <w:spacing w:after="0" w:line="163"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adopted laws that atempt to impose tax collecton obligatons on out-of-state companies. We have registered, or are in the process of registering, where required by statute. There remains a degree of uncertainty as to our obligatons in jurisdictons where our registraton is stll in progress due to the complex laws that govern secondary tcket sales. Pending discussions, it is more likely than not that some jurisdictons could assess taxes and that assessed amounts may difer materially from amounts currently accrued. It is also possible that some jurisdictons may provide for a later start date for sales tax collecton, which could provide a material reducton in amounts currently accrued. In either case, we will adjust the recorded liability to refect the new informaton, with a porton of the adjustment impactng orders placed in prior periods.</w:t>
      </w:r>
    </w:p>
    <w:p>
      <w:pPr>
        <w:spacing w:after="0" w:line="165"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We have recognized a liability for this potental tax of $5.0 million and $8.8 million at March 31, 2022 and December 31, 2021, respectvely. This liability is recorded in Accrued expenses and other current liabilites in the Condensed Consolidated Balance Sheets. The related sales tax expense was $0.9 million and $2.3 million for the three months ended March 31, 2022 and 2021, respectvely, which refects the change in uncollected amounts owed to jurisdictons during the period, reduced by any abatements received.</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Related-Party Transactions</w:t>
      </w:r>
    </w:p>
    <w:p>
      <w:pPr>
        <w:spacing w:after="0" w:line="13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Vivid Cheers Inc. (“Vivid Cheers”) was incorporated as a non-proft organizaton within the meaning of Secton 501(c)(3) of the Internal Revenue Code. Vivid Cheers’ mission is to support causes and organizatons dedicated to healthcare, educaton, and support of workers in the live events industry during tmes of need. We have the right to elect the board of directors of Vivid Cheers, which is currently formed by the Company’s executves. We do not have a controlling fnancial interest in Vivid Cheers, and accordingly, do not consolidate Vivid Cheers’ statement of actvites with our fnancial results. We made charitable contributons of $0.6 million and $0.5 million for the three months ended March 31, 2022 and 2021, respectvely, to Vivid Cheers. We had accrued charitable contributons payable of $0.3 million and $1.3 million as of March 31, 2022 and December 31, 2021, respectvely.</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Income Taxes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We evaluate the need for deferred tax asset valuaton allowances based on a more-likely-than-not standard. The ability to realize deferred tax assets depends on the ability to generate sufcient taxable income within the carryforward periods provided for in the tax law for each applicable tax jurisdicton. We have evaluated all evidence, both positve and negatve, and determined that our deferred tax assets are not more-likely-than-not to be realized. In making this determinaton, numerous factors were considered including our cumulatve losses in recent years.</w:t>
      </w:r>
    </w:p>
    <w:p>
      <w:pPr>
        <w:spacing w:after="0" w:line="137"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For the three months ended March 31, 2022, we recorded a $0.1 million income tax expense in contnuing operatons. The March 31, 2022 income tax provision was primarily a result of state taxes and the federal 80% net operatng loss limitaton available to ofset current year income.</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Prior to the Merger Transacton in the fourth quarter of 2021, we were structured as a partnership for U.S. federal and most applicable state and local income tax purposes. As a partnership, the taxable income and losses were passed through to and included in the taxable income of its members. Accordingly, amounts related to income taxes were zero prior to the Merger Transacton, and we did not incur material amounts of income tax expense or have material income tax liability or deferred tax balances in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Equity Based Compensation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2021 Incentve Award Plan ("2021 Plan") was approved and adopted in order to facilitate the grant of equity incentve awards to our employees and directors. The 2021 Plan became efectve on October 18, 2021 upon closing of the Merger Transacton.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 ("RSUs")</w:t>
      </w:r>
    </w:p>
    <w:p>
      <w:pPr>
        <w:spacing w:after="0" w:line="15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11, 2022, we granted 1.4 million RSUs to certain employees at a weighted average grant date fair value of $10.26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account for forfeitures of outstanding, but unvested grants, in the period they occur. At March 31, 2022, there were approximately 2.7 million total RSUs outstanding, of which 1.4 million RSUs were outstanding at December 31, 2021. Our forfeitures during the three months ended March 31, 2022 and December 31, 2021 were not material. Our vested RSUs at March 31, 2022 were not material and no RSUs were vested at December 31, 2021.</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three months ended March 31, 2022 and 2021, equity-based compensaton expense related to RSUs was $1.3 million and zero, respectvely.</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Unrecognized compensaton expense relatng to unvested RSUs as of March 31, 2022, was approximately $31 million.</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March 11, 2022, we granted 2.6 million stock optons at an exercise price of $10.26 to certain employees. The grant date fair value is $3.99 per opton. Stock optons provide for the purchase of shares of Vivid Seats Class A common stock in the future at an exercise price set on the grant date. These stock optons vest over three years, with one-third vestng upon the one-year anniversary of the grant date and the remaining porton vestng on a quarterly basis thereafer. The stock optons have a contractual term of ten years from the date of the grant, subject to the employee’s contnued employment through the applicable vestng date. The fair value of stock optons granted is estmated on the grant date using the Black-Scholes model. The following assumptons were used to calculate the fair value of our stock awards on March 11,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00" w:type="dxa"/>
            <w:vAlign w:val="bottom"/>
          </w:tcPr>
          <w:p>
            <w:pPr>
              <w:ind w:left="20"/>
              <w:spacing w:after="0"/>
              <w:rPr>
                <w:sz w:val="20"/>
                <w:szCs w:val="20"/>
                <w:color w:val="auto"/>
              </w:rPr>
            </w:pPr>
            <w:r>
              <w:rPr>
                <w:rFonts w:ascii="Calibri" w:cs="Calibri" w:eastAsia="Calibri" w:hAnsi="Calibri"/>
                <w:sz w:val="18"/>
                <w:szCs w:val="18"/>
                <w:color w:val="auto"/>
              </w:rPr>
              <w:t>Volatlity</w:t>
            </w:r>
          </w:p>
        </w:tc>
        <w:tc>
          <w:tcPr>
            <w:tcW w:w="5140" w:type="dxa"/>
            <w:vAlign w:val="bottom"/>
          </w:tcPr>
          <w:p>
            <w:pPr>
              <w:jc w:val="right"/>
              <w:ind w:right="50"/>
              <w:spacing w:after="0"/>
              <w:rPr>
                <w:sz w:val="20"/>
                <w:szCs w:val="20"/>
                <w:color w:val="auto"/>
              </w:rPr>
            </w:pPr>
            <w:r>
              <w:rPr>
                <w:rFonts w:ascii="Calibri" w:cs="Calibri" w:eastAsia="Calibri" w:hAnsi="Calibri"/>
                <w:sz w:val="18"/>
                <w:szCs w:val="18"/>
                <w:color w:val="auto"/>
              </w:rPr>
              <w:t>37.5 %</w:t>
            </w:r>
          </w:p>
        </w:tc>
      </w:tr>
      <w:tr>
        <w:trPr>
          <w:trHeight w:val="23"/>
        </w:trPr>
        <w:tc>
          <w:tcPr>
            <w:tcW w:w="6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16"/>
        </w:trPr>
        <w:tc>
          <w:tcPr>
            <w:tcW w:w="61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5140" w:type="dxa"/>
            <w:vAlign w:val="bottom"/>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rPr>
              <w:t>5.9</w:t>
            </w:r>
          </w:p>
        </w:tc>
      </w:tr>
      <w:tr>
        <w:trPr>
          <w:trHeight w:val="215"/>
        </w:trPr>
        <w:tc>
          <w:tcPr>
            <w:tcW w:w="61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rate</w:t>
            </w:r>
          </w:p>
        </w:tc>
        <w:tc>
          <w:tcPr>
            <w:tcW w:w="5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2.0 %</w:t>
            </w:r>
          </w:p>
        </w:tc>
      </w:tr>
      <w:tr>
        <w:trPr>
          <w:trHeight w:val="217"/>
        </w:trPr>
        <w:tc>
          <w:tcPr>
            <w:tcW w:w="61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Dividend yield</w:t>
            </w:r>
          </w:p>
        </w:tc>
        <w:tc>
          <w:tcPr>
            <w:tcW w:w="51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0.0 %</w:t>
            </w:r>
          </w:p>
        </w:tc>
      </w:tr>
    </w:tbl>
    <w:p>
      <w:pPr>
        <w:spacing w:after="0" w:line="180"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At March 31, 2022, there were approximately 6.7 million total stock optons outstanding, of which 4.1 million stock optons were granted as of December 31, 2021. No stock optons were exercised or forfeited during the three months ended March 31, 2022 and at December 31, 2021.</w:t>
      </w:r>
    </w:p>
    <w:p>
      <w:pPr>
        <w:spacing w:after="0" w:line="138" w:lineRule="exact"/>
        <w:rPr>
          <w:sz w:val="20"/>
          <w:szCs w:val="20"/>
          <w:color w:val="auto"/>
        </w:rPr>
      </w:pPr>
    </w:p>
    <w:p>
      <w:pPr>
        <w:spacing w:after="0"/>
        <w:rPr>
          <w:sz w:val="20"/>
          <w:szCs w:val="20"/>
          <w:color w:val="auto"/>
        </w:rPr>
      </w:pPr>
      <w:r>
        <w:rPr>
          <w:rFonts w:ascii="Calibri" w:cs="Calibri" w:eastAsia="Calibri" w:hAnsi="Calibri"/>
          <w:sz w:val="17"/>
          <w:szCs w:val="17"/>
          <w:color w:val="auto"/>
        </w:rPr>
        <w:t>For the three months ended March 31, 2022 and 2021, equity-based compensaton expense related to stock optons was $1.1 million and zero, respectvely.</w:t>
      </w:r>
    </w:p>
    <w:p>
      <w:pPr>
        <w:spacing w:after="0" w:line="17" w:lineRule="exact"/>
        <w:rPr>
          <w:sz w:val="20"/>
          <w:szCs w:val="20"/>
          <w:color w:val="auto"/>
        </w:rPr>
      </w:pPr>
    </w:p>
    <w:p>
      <w:pPr>
        <w:spacing w:after="0"/>
        <w:rPr>
          <w:sz w:val="20"/>
          <w:szCs w:val="20"/>
          <w:color w:val="auto"/>
        </w:rPr>
      </w:pPr>
      <w:r>
        <w:rPr>
          <w:rFonts w:ascii="Calibri" w:cs="Calibri" w:eastAsia="Calibri" w:hAnsi="Calibri"/>
          <w:sz w:val="18"/>
          <w:szCs w:val="18"/>
          <w:color w:val="auto"/>
        </w:rPr>
        <w:t>Unrecognized compensaton expense relatng to unvested stock optons as of March 31, 2022, was approximately $24 million.</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Earnings Per Share</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Class B common stock does not have economic rights in the Company and as a result, is not considered a partcipatng security for basic and diluted income (loss) per share. As such, basic and diluted income (loss) per share of Class B common stock has not been presented. The following table sets forth the computaton of basic and diluted net income per share of Class A common stock for the three months ended March 31, 2022, the period where the Company had Class A and Class B common stock outstanding (in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0" w:type="dxa"/>
            <w:vAlign w:val="bottom"/>
          </w:tcPr>
          <w:p>
            <w:pPr>
              <w:ind w:left="20"/>
              <w:spacing w:after="0"/>
              <w:rPr>
                <w:sz w:val="20"/>
                <w:szCs w:val="20"/>
                <w:color w:val="auto"/>
              </w:rPr>
            </w:pPr>
            <w:r>
              <w:rPr>
                <w:rFonts w:ascii="Calibri" w:cs="Calibri" w:eastAsia="Calibri" w:hAnsi="Calibri"/>
                <w:sz w:val="18"/>
                <w:szCs w:val="18"/>
                <w:b w:val="1"/>
                <w:bCs w:val="1"/>
                <w:color w:val="auto"/>
              </w:rPr>
              <w:t>Numerator—basic:</w:t>
            </w:r>
          </w:p>
        </w:tc>
        <w:tc>
          <w:tcPr>
            <w:tcW w:w="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8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0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780" w:type="dxa"/>
            <w:vAlign w:val="bottom"/>
            <w:shd w:val="clear" w:color="auto" w:fill="CFF0FC"/>
          </w:tcPr>
          <w:p>
            <w:pPr>
              <w:jc w:val="right"/>
              <w:ind w:right="590"/>
              <w:spacing w:after="0" w:line="215" w:lineRule="exact"/>
              <w:rPr>
                <w:sz w:val="20"/>
                <w:szCs w:val="20"/>
                <w:color w:val="auto"/>
              </w:rPr>
            </w:pPr>
            <w:r>
              <w:rPr>
                <w:rFonts w:ascii="Calibri" w:cs="Calibri" w:eastAsia="Calibri" w:hAnsi="Calibri"/>
                <w:sz w:val="18"/>
                <w:szCs w:val="18"/>
                <w:color w:val="auto"/>
                <w:w w:val="87"/>
              </w:rPr>
              <w:t>$</w:t>
            </w:r>
          </w:p>
        </w:tc>
        <w:tc>
          <w:tcPr>
            <w:tcW w:w="15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3,138</w:t>
            </w: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Less: Income atributable to redeemable noncontrolling interests</w:t>
            </w: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1,879</w:t>
            </w:r>
          </w:p>
        </w:tc>
        <w:tc>
          <w:tcPr>
            <w:tcW w:w="100" w:type="dxa"/>
            <w:vAlign w:val="bottom"/>
          </w:tcPr>
          <w:p>
            <w:pPr>
              <w:spacing w:after="0"/>
              <w:rPr>
                <w:sz w:val="18"/>
                <w:szCs w:val="18"/>
                <w:color w:val="auto"/>
              </w:rPr>
            </w:pPr>
          </w:p>
        </w:tc>
      </w:tr>
      <w:tr>
        <w:trPr>
          <w:trHeight w:val="210"/>
        </w:trPr>
        <w:tc>
          <w:tcPr>
            <w:tcW w:w="880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Net income atributable to Class A Common Stockholders—basic</w:t>
            </w:r>
          </w:p>
        </w:tc>
        <w:tc>
          <w:tcPr>
            <w:tcW w:w="7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8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Denominator—basic:</w:t>
            </w: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Class A common stock outstanding—basic</w:t>
            </w:r>
          </w:p>
        </w:tc>
        <w:tc>
          <w:tcPr>
            <w:tcW w:w="7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79,151,929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8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per Class A common stock—basic</w:t>
            </w:r>
          </w:p>
        </w:tc>
        <w:tc>
          <w:tcPr>
            <w:tcW w:w="780" w:type="dxa"/>
            <w:vAlign w:val="bottom"/>
            <w:tcBorders>
              <w:bottom w:val="single" w:sz="8" w:color="auto"/>
            </w:tcBorders>
          </w:tcPr>
          <w:p>
            <w:pPr>
              <w:jc w:val="right"/>
              <w:ind w:right="590"/>
              <w:spacing w:after="0" w:line="209"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0.02</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8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88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8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Net income atributable to Class A Common Stockholders—basic</w:t>
            </w:r>
          </w:p>
        </w:tc>
        <w:tc>
          <w:tcPr>
            <w:tcW w:w="780" w:type="dxa"/>
            <w:vAlign w:val="bottom"/>
            <w:shd w:val="clear" w:color="auto" w:fill="CFF0FC"/>
          </w:tcPr>
          <w:p>
            <w:pPr>
              <w:jc w:val="right"/>
              <w:ind w:right="590"/>
              <w:spacing w:after="0" w:line="216" w:lineRule="exact"/>
              <w:rPr>
                <w:sz w:val="20"/>
                <w:szCs w:val="20"/>
                <w:color w:val="auto"/>
              </w:rPr>
            </w:pPr>
            <w:r>
              <w:rPr>
                <w:rFonts w:ascii="Calibri" w:cs="Calibri" w:eastAsia="Calibri" w:hAnsi="Calibri"/>
                <w:sz w:val="18"/>
                <w:szCs w:val="18"/>
                <w:color w:val="auto"/>
                <w:w w:val="87"/>
              </w:rPr>
              <w:t>$</w:t>
            </w:r>
          </w:p>
        </w:tc>
        <w:tc>
          <w:tcPr>
            <w:tcW w:w="1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1,259</w:t>
            </w: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efect of dilutve securites:</w:t>
            </w: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8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Noncontrolling interests</w:t>
            </w: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1,720</w:t>
            </w: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Exercise Warrants</w:t>
            </w:r>
          </w:p>
        </w:tc>
        <w:tc>
          <w:tcPr>
            <w:tcW w:w="78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r>
      <w:tr>
        <w:trPr>
          <w:trHeight w:val="216"/>
        </w:trPr>
        <w:tc>
          <w:tcPr>
            <w:tcW w:w="88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RSUs</w:t>
            </w:r>
          </w:p>
        </w:tc>
        <w:tc>
          <w:tcPr>
            <w:tcW w:w="7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09"/>
        </w:trPr>
        <w:tc>
          <w:tcPr>
            <w:tcW w:w="8800" w:type="dxa"/>
            <w:vAlign w:val="bottom"/>
            <w:tcBorders>
              <w:top w:val="single" w:sz="8" w:color="CFF0FC"/>
            </w:tcBorders>
          </w:tcPr>
          <w:p>
            <w:pPr>
              <w:ind w:left="120"/>
              <w:spacing w:after="0" w:line="209" w:lineRule="exact"/>
              <w:rPr>
                <w:sz w:val="20"/>
                <w:szCs w:val="20"/>
                <w:color w:val="auto"/>
              </w:rPr>
            </w:pPr>
            <w:r>
              <w:rPr>
                <w:rFonts w:ascii="Calibri" w:cs="Calibri" w:eastAsia="Calibri" w:hAnsi="Calibri"/>
                <w:sz w:val="18"/>
                <w:szCs w:val="18"/>
                <w:color w:val="auto"/>
              </w:rPr>
              <w:t>Net income atributable to Class A Common Stockholders—diluted</w:t>
            </w:r>
          </w:p>
        </w:tc>
        <w:tc>
          <w:tcPr>
            <w:tcW w:w="7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2,988</w:t>
            </w:r>
          </w:p>
        </w:tc>
        <w:tc>
          <w:tcPr>
            <w:tcW w:w="100" w:type="dxa"/>
            <w:vAlign w:val="bottom"/>
            <w:tcBorders>
              <w:top w:val="single" w:sz="8" w:color="CFF0FC"/>
            </w:tcBorders>
          </w:tcPr>
          <w:p>
            <w:pPr>
              <w:spacing w:after="0"/>
              <w:rPr>
                <w:sz w:val="18"/>
                <w:szCs w:val="18"/>
                <w:color w:val="auto"/>
              </w:rPr>
            </w:pPr>
          </w:p>
        </w:tc>
      </w:tr>
      <w:tr>
        <w:trPr>
          <w:trHeight w:val="211"/>
        </w:trPr>
        <w:tc>
          <w:tcPr>
            <w:tcW w:w="88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Denominator—diluted:</w:t>
            </w: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Class A common stock outstanding—basic</w:t>
            </w:r>
          </w:p>
        </w:tc>
        <w:tc>
          <w:tcPr>
            <w:tcW w:w="78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79,151,929</w:t>
            </w:r>
          </w:p>
        </w:tc>
        <w:tc>
          <w:tcPr>
            <w:tcW w:w="100" w:type="dxa"/>
            <w:vAlign w:val="bottom"/>
          </w:tcPr>
          <w:p>
            <w:pPr>
              <w:spacing w:after="0"/>
              <w:rPr>
                <w:sz w:val="18"/>
                <w:szCs w:val="18"/>
                <w:color w:val="auto"/>
              </w:rPr>
            </w:pPr>
          </w:p>
        </w:tc>
      </w:tr>
      <w:tr>
        <w:trPr>
          <w:trHeight w:val="217"/>
        </w:trPr>
        <w:tc>
          <w:tcPr>
            <w:tcW w:w="88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efect of dilutve securites:</w:t>
            </w: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w:t>
            </w:r>
          </w:p>
        </w:tc>
        <w:tc>
          <w:tcPr>
            <w:tcW w:w="78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100" w:type="dxa"/>
            <w:vAlign w:val="bottom"/>
          </w:tcPr>
          <w:p>
            <w:pPr>
              <w:spacing w:after="0"/>
              <w:rPr>
                <w:sz w:val="18"/>
                <w:szCs w:val="18"/>
                <w:color w:val="auto"/>
              </w:rPr>
            </w:pPr>
          </w:p>
        </w:tc>
      </w:tr>
      <w:tr>
        <w:trPr>
          <w:trHeight w:val="217"/>
        </w:trPr>
        <w:tc>
          <w:tcPr>
            <w:tcW w:w="88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Exercise Warrants</w:t>
            </w: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1,035,625</w:t>
            </w:r>
          </w:p>
        </w:tc>
        <w:tc>
          <w:tcPr>
            <w:tcW w:w="100" w:type="dxa"/>
            <w:vAlign w:val="bottom"/>
            <w:shd w:val="clear" w:color="auto" w:fill="CFF0FC"/>
          </w:tcPr>
          <w:p>
            <w:pPr>
              <w:spacing w:after="0"/>
              <w:rPr>
                <w:sz w:val="18"/>
                <w:szCs w:val="18"/>
                <w:color w:val="auto"/>
              </w:rPr>
            </w:pPr>
          </w:p>
        </w:tc>
      </w:tr>
      <w:tr>
        <w:trPr>
          <w:trHeight w:val="215"/>
        </w:trPr>
        <w:tc>
          <w:tcPr>
            <w:tcW w:w="880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26,593</w:t>
            </w:r>
          </w:p>
        </w:tc>
        <w:tc>
          <w:tcPr>
            <w:tcW w:w="100" w:type="dxa"/>
            <w:vAlign w:val="bottom"/>
          </w:tcPr>
          <w:p>
            <w:pPr>
              <w:spacing w:after="0"/>
              <w:rPr>
                <w:sz w:val="18"/>
                <w:szCs w:val="18"/>
                <w:color w:val="auto"/>
              </w:rPr>
            </w:pPr>
          </w:p>
        </w:tc>
      </w:tr>
      <w:tr>
        <w:trPr>
          <w:trHeight w:val="209"/>
        </w:trPr>
        <w:tc>
          <w:tcPr>
            <w:tcW w:w="8800" w:type="dxa"/>
            <w:vAlign w:val="bottom"/>
            <w:tcBorders>
              <w:bottom w:val="single" w:sz="8" w:color="CFF0FC"/>
            </w:tcBorders>
            <w:shd w:val="clear" w:color="auto" w:fill="CFF0FC"/>
          </w:tcPr>
          <w:p>
            <w:pPr>
              <w:ind w:left="120"/>
              <w:spacing w:after="0" w:line="209" w:lineRule="exact"/>
              <w:rPr>
                <w:sz w:val="20"/>
                <w:szCs w:val="20"/>
                <w:color w:val="auto"/>
              </w:rPr>
            </w:pPr>
            <w:r>
              <w:rPr>
                <w:rFonts w:ascii="Calibri" w:cs="Calibri" w:eastAsia="Calibri" w:hAnsi="Calibri"/>
                <w:sz w:val="18"/>
                <w:szCs w:val="18"/>
                <w:color w:val="auto"/>
              </w:rPr>
              <w:t>Weighted average Class A common stock outstanding—diluted</w:t>
            </w:r>
          </w:p>
        </w:tc>
        <w:tc>
          <w:tcPr>
            <w:tcW w:w="7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198,414,147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800" w:type="dxa"/>
            <w:vAlign w:val="bottom"/>
          </w:tcPr>
          <w:p>
            <w:pPr>
              <w:ind w:left="120"/>
              <w:spacing w:after="0" w:line="210" w:lineRule="exact"/>
              <w:rPr>
                <w:sz w:val="20"/>
                <w:szCs w:val="20"/>
                <w:color w:val="auto"/>
              </w:rPr>
            </w:pPr>
            <w:r>
              <w:rPr>
                <w:rFonts w:ascii="Calibri" w:cs="Calibri" w:eastAsia="Calibri" w:hAnsi="Calibri"/>
                <w:sz w:val="18"/>
                <w:szCs w:val="18"/>
                <w:b w:val="1"/>
                <w:bCs w:val="1"/>
                <w:color w:val="auto"/>
              </w:rPr>
              <w:t>Net income per Class A common stock—diluted</w:t>
            </w:r>
          </w:p>
        </w:tc>
        <w:tc>
          <w:tcPr>
            <w:tcW w:w="780" w:type="dxa"/>
            <w:vAlign w:val="bottom"/>
            <w:tcBorders>
              <w:bottom w:val="single" w:sz="8" w:color="auto"/>
            </w:tcBorders>
          </w:tcPr>
          <w:p>
            <w:pPr>
              <w:jc w:val="right"/>
              <w:ind w:right="590"/>
              <w:spacing w:after="0" w:line="210"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0.02</w:t>
            </w:r>
          </w:p>
        </w:tc>
        <w:tc>
          <w:tcPr>
            <w:tcW w:w="100" w:type="dxa"/>
            <w:vAlign w:val="bottom"/>
          </w:tcPr>
          <w:p>
            <w:pPr>
              <w:spacing w:after="0"/>
              <w:rPr>
                <w:sz w:val="18"/>
                <w:szCs w:val="18"/>
                <w:color w:val="auto"/>
              </w:rPr>
            </w:pP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-2708275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-2425065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-1294130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3"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Potental shares of common stock are excluded from the computaton of diluted net income per share if their efect would have been ant-dilutve for the period presented or if the issuance of shares is contngent upon events that did not occur by the end of the period.</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potentally dilutve securites excluded from the computaton of diluted net income per share for the three months ended March 31,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shd w:val="clear" w:color="auto" w:fill="CFF0FC"/>
          </w:tcPr>
          <w:p>
            <w:pPr>
              <w:ind w:left="20"/>
              <w:spacing w:after="0"/>
              <w:rPr>
                <w:sz w:val="20"/>
                <w:szCs w:val="20"/>
                <w:color w:val="auto"/>
              </w:rPr>
            </w:pPr>
            <w:r>
              <w:rPr>
                <w:rFonts w:ascii="Calibri" w:cs="Calibri" w:eastAsia="Calibri" w:hAnsi="Calibri"/>
                <w:sz w:val="18"/>
                <w:szCs w:val="18"/>
                <w:color w:val="auto"/>
              </w:rPr>
              <w:t>RSUs</w:t>
            </w:r>
          </w:p>
        </w:tc>
        <w:tc>
          <w:tcPr>
            <w:tcW w:w="7440" w:type="dxa"/>
            <w:vAlign w:val="bottom"/>
            <w:shd w:val="clear" w:color="auto" w:fill="CFF0FC"/>
          </w:tcPr>
          <w:p>
            <w:pPr>
              <w:jc w:val="right"/>
              <w:ind w:right="10"/>
              <w:spacing w:after="0"/>
              <w:rPr>
                <w:sz w:val="20"/>
                <w:szCs w:val="20"/>
                <w:color w:val="auto"/>
              </w:rPr>
            </w:pPr>
            <w:r>
              <w:rPr>
                <w:rFonts w:ascii="Calibri" w:cs="Calibri" w:eastAsia="Calibri" w:hAnsi="Calibri"/>
                <w:sz w:val="18"/>
                <w:szCs w:val="18"/>
                <w:color w:val="auto"/>
              </w:rPr>
              <w:t>1,292,011</w:t>
            </w: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7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6,660,995</w:t>
            </w:r>
          </w:p>
        </w:tc>
      </w:tr>
      <w:tr>
        <w:trPr>
          <w:trHeight w:val="217"/>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Class A Warrants</w:t>
            </w:r>
          </w:p>
        </w:tc>
        <w:tc>
          <w:tcPr>
            <w:tcW w:w="744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24,652,569</w:t>
            </w:r>
          </w:p>
        </w:tc>
      </w:tr>
      <w:tr>
        <w:trPr>
          <w:trHeight w:val="215"/>
        </w:trPr>
        <w:tc>
          <w:tcPr>
            <w:tcW w:w="380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74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17,000,000</w:t>
            </w:r>
          </w:p>
        </w:tc>
      </w:tr>
      <w:tr>
        <w:trPr>
          <w:trHeight w:val="217"/>
        </w:trPr>
        <w:tc>
          <w:tcPr>
            <w:tcW w:w="38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Hoya Intermediate Warrants</w:t>
            </w:r>
          </w:p>
        </w:tc>
        <w:tc>
          <w:tcPr>
            <w:tcW w:w="744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6,000,000</w:t>
            </w:r>
          </w:p>
        </w:tc>
      </w:tr>
      <w:tr>
        <w:trPr>
          <w:trHeight w:val="395"/>
        </w:trPr>
        <w:tc>
          <w:tcPr>
            <w:tcW w:w="3800" w:type="dxa"/>
            <w:vAlign w:val="bottom"/>
          </w:tcPr>
          <w:p>
            <w:pPr>
              <w:spacing w:after="0"/>
              <w:rPr>
                <w:sz w:val="24"/>
                <w:szCs w:val="24"/>
                <w:color w:val="auto"/>
              </w:rPr>
            </w:pPr>
          </w:p>
        </w:tc>
        <w:tc>
          <w:tcPr>
            <w:tcW w:w="7440" w:type="dxa"/>
            <w:vAlign w:val="bottom"/>
          </w:tcPr>
          <w:p>
            <w:pPr>
              <w:jc w:val="right"/>
              <w:ind w:right="5430"/>
              <w:spacing w:after="0"/>
              <w:rPr>
                <w:sz w:val="20"/>
                <w:szCs w:val="20"/>
                <w:color w:val="auto"/>
              </w:rPr>
            </w:pPr>
            <w:r>
              <w:rPr>
                <w:rFonts w:ascii="Calibri" w:cs="Calibri" w:eastAsia="Calibri" w:hAnsi="Calibri"/>
                <w:sz w:val="18"/>
                <w:szCs w:val="18"/>
                <w:color w:val="auto"/>
              </w:rPr>
              <w:t>21</w:t>
            </w:r>
          </w:p>
        </w:tc>
      </w:tr>
      <w:tr>
        <w:trPr>
          <w:trHeight w:val="125"/>
        </w:trPr>
        <w:tc>
          <w:tcPr>
            <w:tcW w:w="3800" w:type="dxa"/>
            <w:vAlign w:val="bottom"/>
            <w:tcBorders>
              <w:bottom w:val="single" w:sz="8" w:color="9A9A9A"/>
            </w:tcBorders>
          </w:tcPr>
          <w:p>
            <w:pPr>
              <w:spacing w:after="0"/>
              <w:rPr>
                <w:sz w:val="10"/>
                <w:szCs w:val="10"/>
                <w:color w:val="auto"/>
              </w:rPr>
            </w:pPr>
          </w:p>
        </w:tc>
        <w:tc>
          <w:tcPr>
            <w:tcW w:w="7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 w:name="page24"/>
    <w:bookmarkEnd w:id="23"/>
    <w:p>
      <w:pPr>
        <w:jc w:val="center"/>
        <w:ind w:right="-19"/>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19"/>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analyzed the calculaton of income (loss) per share for periods prior to the Merger Transacton and determined that it resulted in values that would not be meaningful to the users of the condensed consolidated fnancial statements. Therefore, income (loss) per share informaton has not been presented for periods prior to the Merger Transacton.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Subsequent events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We evaluated subsequent events and transactons that occurred afer the balance sheet date through May 10, 2022, the date that the fnancial statements were issued. We did not identfy any subsequent events that would have required adjustment or disclosure in the fnancial statements.</w:t>
      </w:r>
    </w:p>
    <w:p>
      <w:pPr>
        <w:spacing w:after="0" w:line="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i w:val="1"/>
          <w:iCs w:val="1"/>
          <w:color w:val="auto"/>
        </w:rPr>
        <w:t>Our discussion and analysis is intended to help the reader understand our results of operatons and fnancial conditon and is provided as an additon to, and should be read in connecton with, our condensed consolidated fnancial statements and related notes included elsewhere in this Quarterly Report on Form 10-Q, as well as our consolidated fnancial statements and the accompanying notes contained in our Annual Report on Form 10-K for the year ended December 31, 2021 (the “2021 Form 10-K”). This discussion contains forward-looking statements based upon current plans, expectatons and beliefs involving risks and uncertaintes. Our actual results may difer materially from those antcipated in these forward-looking statements as a result of various factors, including those set forth in the “Risk Factors” secton of our 2021 Form 10-K and other factors set forth in other parts of this Quarterly Report on Form 10-Q and our flings with the SEC.</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We are an online tcket marketplace that utlizes our technology platorm to connect fans of live events seamlessly with tcket sellers. Our mission is to empower and enable fans to Experience It Live. We believe live events deliver some of life’s most excitng moments. Our platorm provides tcket buyers and sellers with an easy-to-use and trusted marketplace experience that enables fans to purchase tckets to live events and create new memories. We believe we diferentate from compettors by ofering extensive breadth and depth of tcket listngs at a compettve value. During the three months ended March 31, 2022 and 2021, our revenues were $130.8 million and $24.1 million, respectvely, and Marketplace Gross Order Value ("Marketplace GOV") was $742.1 million and $116.5 million, respectvely. Our net income was $3.1 million and net loss was $20.3 million for the three months ended March 31, 2022 and 2021, respectvely.</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23"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Through our Marketplace segment, we act as an intermediary between tcket buyers and tcket sellers. We earn revenue processing tcket sales from our Owned Propertes, consistng of the Vivid Seats website and mobile applicatons, and from our Private Label ofering, which comprises numerous distributon partners. Using our online platorm, we process customer payments, coordinate tcket deliveries, and provide customer service to tcket buyers.</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A key component of our platorm is Skybox, a proprietary enterprise resource planning tool used by many of our tcket sellers. Skybox is a free-to-use system that helps tcket sellers manage tcket inventories, adjust pricing, and fulfll orders across multple secondary tcket marketplaces.</w:t>
      </w:r>
    </w:p>
    <w:p>
      <w:pPr>
        <w:spacing w:after="0" w:line="138"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We do not hold tcket inventory in the Marketplace segment. We incur costs for developing and maintaining our platorm, providing back-ofce and customer support to tcket buyers and tcket sellers, processing payments, and shipping tckets. We also incur substantal marketng costs, primarily related to online advertsing.</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Resale segment, we acquire tckets to resell on secondary tcketng marketplaces, including our own. Our Resale segment also provides internal research and development support for Skybox and our ongoing eforts to deliver best-in-class seller sofware and tools.</w:t>
      </w:r>
    </w:p>
    <w:p>
      <w:pPr>
        <w:spacing w:after="0" w:line="9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b w:val="1"/>
          <w:bCs w:val="1"/>
          <w:color w:val="auto"/>
        </w:rPr>
        <w:t>Key Business Metrics and Non-GAAP Financial Measures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that these metrics provide useful informaton to investors and others in understanding and evaluatng our results of operatons in the same manner as our management team.</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spacing w:after="0"/>
              <w:rPr>
                <w:sz w:val="19"/>
                <w:szCs w:val="19"/>
                <w:color w:val="auto"/>
              </w:rPr>
            </w:pPr>
          </w:p>
        </w:tc>
        <w:tc>
          <w:tcPr>
            <w:tcW w:w="4120" w:type="dxa"/>
            <w:vAlign w:val="bottom"/>
            <w:gridSpan w:val="4"/>
          </w:tcPr>
          <w:p>
            <w:pPr>
              <w:jc w:val="right"/>
              <w:ind w:right="450"/>
              <w:spacing w:after="0"/>
              <w:rPr>
                <w:sz w:val="20"/>
                <w:szCs w:val="20"/>
                <w:color w:val="auto"/>
              </w:rPr>
            </w:pPr>
            <w:r>
              <w:rPr>
                <w:rFonts w:ascii="Calibri" w:cs="Calibri" w:eastAsia="Calibri" w:hAnsi="Calibri"/>
                <w:sz w:val="18"/>
                <w:szCs w:val="18"/>
                <w:b w:val="1"/>
                <w:bCs w:val="1"/>
                <w:color w:val="auto"/>
              </w:rPr>
              <w:t>Three Months Ended March 31,</w:t>
            </w:r>
          </w:p>
        </w:tc>
        <w:tc>
          <w:tcPr>
            <w:tcW w:w="860" w:type="dxa"/>
            <w:vAlign w:val="bottom"/>
          </w:tcPr>
          <w:p>
            <w:pPr>
              <w:spacing w:after="0"/>
              <w:rPr>
                <w:sz w:val="19"/>
                <w:szCs w:val="19"/>
                <w:color w:val="auto"/>
              </w:rPr>
            </w:pPr>
          </w:p>
        </w:tc>
      </w:tr>
      <w:tr>
        <w:trPr>
          <w:trHeight w:val="23"/>
        </w:trPr>
        <w:tc>
          <w:tcPr>
            <w:tcW w:w="6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260" w:type="dxa"/>
            <w:vAlign w:val="bottom"/>
          </w:tcPr>
          <w:p>
            <w:pPr>
              <w:spacing w:after="0"/>
              <w:rPr>
                <w:sz w:val="18"/>
                <w:szCs w:val="18"/>
                <w:color w:val="auto"/>
              </w:rPr>
            </w:pPr>
          </w:p>
        </w:tc>
        <w:tc>
          <w:tcPr>
            <w:tcW w:w="150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rPr>
              <w:t>2022</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Borders>
              <w:bottom w:val="single" w:sz="8" w:color="auto"/>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rPr>
              <w:t>2021</w:t>
            </w:r>
          </w:p>
        </w:tc>
        <w:tc>
          <w:tcPr>
            <w:tcW w:w="860" w:type="dxa"/>
            <w:vAlign w:val="bottom"/>
            <w:tcBorders>
              <w:bottom w:val="single" w:sz="8" w:color="auto"/>
            </w:tcBorders>
          </w:tcPr>
          <w:p>
            <w:pPr>
              <w:spacing w:after="0"/>
              <w:rPr>
                <w:sz w:val="18"/>
                <w:szCs w:val="18"/>
                <w:color w:val="auto"/>
              </w:rPr>
            </w:pPr>
          </w:p>
        </w:tc>
      </w:tr>
      <w:tr>
        <w:trPr>
          <w:trHeight w:val="399"/>
        </w:trPr>
        <w:tc>
          <w:tcPr>
            <w:tcW w:w="6260" w:type="dxa"/>
            <w:vAlign w:val="bottom"/>
          </w:tcPr>
          <w:p>
            <w:pPr>
              <w:ind w:left="20"/>
              <w:spacing w:after="0"/>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1500" w:type="dxa"/>
            <w:vAlign w:val="bottom"/>
          </w:tcPr>
          <w:p>
            <w:pPr>
              <w:jc w:val="right"/>
              <w:ind w:right="1310"/>
              <w:spacing w:after="0"/>
              <w:rPr>
                <w:sz w:val="20"/>
                <w:szCs w:val="20"/>
                <w:color w:val="auto"/>
              </w:rPr>
            </w:pPr>
            <w:r>
              <w:rPr>
                <w:rFonts w:ascii="Calibri" w:cs="Calibri" w:eastAsia="Calibri" w:hAnsi="Calibri"/>
                <w:sz w:val="18"/>
                <w:szCs w:val="18"/>
                <w:color w:val="auto"/>
                <w:w w:val="87"/>
              </w:rPr>
              <w:t>$</w:t>
            </w:r>
          </w:p>
        </w:tc>
        <w:tc>
          <w:tcPr>
            <w:tcW w:w="880" w:type="dxa"/>
            <w:vAlign w:val="bottom"/>
          </w:tcPr>
          <w:p>
            <w:pPr>
              <w:jc w:val="right"/>
              <w:ind w:right="30"/>
              <w:spacing w:after="0"/>
              <w:rPr>
                <w:sz w:val="20"/>
                <w:szCs w:val="20"/>
                <w:color w:val="auto"/>
              </w:rPr>
            </w:pPr>
            <w:r>
              <w:rPr>
                <w:rFonts w:ascii="Calibri" w:cs="Calibri" w:eastAsia="Calibri" w:hAnsi="Calibri"/>
                <w:sz w:val="18"/>
                <w:szCs w:val="18"/>
                <w:color w:val="auto"/>
              </w:rPr>
              <w:t>742,138</w:t>
            </w:r>
          </w:p>
        </w:tc>
        <w:tc>
          <w:tcPr>
            <w:tcW w:w="1740" w:type="dxa"/>
            <w:vAlign w:val="bottom"/>
            <w:gridSpan w:val="2"/>
          </w:tcPr>
          <w:p>
            <w:pPr>
              <w:jc w:val="right"/>
              <w:ind w:right="129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ind w:right="10"/>
              <w:spacing w:after="0"/>
              <w:rPr>
                <w:sz w:val="20"/>
                <w:szCs w:val="20"/>
                <w:color w:val="auto"/>
              </w:rPr>
            </w:pPr>
            <w:r>
              <w:rPr>
                <w:rFonts w:ascii="Calibri" w:cs="Calibri" w:eastAsia="Calibri" w:hAnsi="Calibri"/>
                <w:sz w:val="18"/>
                <w:szCs w:val="18"/>
                <w:color w:val="auto"/>
              </w:rPr>
              <w:t>116,473</w:t>
            </w:r>
          </w:p>
        </w:tc>
      </w:tr>
      <w:tr>
        <w:trPr>
          <w:trHeight w:val="216"/>
        </w:trPr>
        <w:tc>
          <w:tcPr>
            <w:tcW w:w="6260" w:type="dxa"/>
            <w:vAlign w:val="bottom"/>
          </w:tcPr>
          <w:p>
            <w:pPr>
              <w:ind w:left="20"/>
              <w:spacing w:after="0" w:line="216" w:lineRule="exact"/>
              <w:rPr>
                <w:sz w:val="20"/>
                <w:szCs w:val="20"/>
                <w:color w:val="auto"/>
              </w:rPr>
            </w:pPr>
            <w:r>
              <w:rPr>
                <w:rFonts w:ascii="Calibri" w:cs="Calibri" w:eastAsia="Calibri" w:hAnsi="Calibri"/>
                <w:sz w:val="17"/>
                <w:szCs w:val="17"/>
                <w:color w:val="auto"/>
              </w:rPr>
              <w:t>Total Marketplace orders</w:t>
            </w:r>
            <w:r>
              <w:rPr>
                <w:rFonts w:ascii="Calibri" w:cs="Calibri" w:eastAsia="Calibri" w:hAnsi="Calibri"/>
                <w:sz w:val="23"/>
                <w:szCs w:val="23"/>
                <w:color w:val="auto"/>
                <w:vertAlign w:val="superscript"/>
              </w:rPr>
              <w:t>(2)</w:t>
            </w:r>
          </w:p>
        </w:tc>
        <w:tc>
          <w:tcPr>
            <w:tcW w:w="1500" w:type="dxa"/>
            <w:vAlign w:val="bottom"/>
          </w:tcPr>
          <w:p>
            <w:pPr>
              <w:spacing w:after="0"/>
              <w:rPr>
                <w:sz w:val="18"/>
                <w:szCs w:val="18"/>
                <w:color w:val="auto"/>
              </w:rPr>
            </w:pPr>
          </w:p>
        </w:tc>
        <w:tc>
          <w:tcPr>
            <w:tcW w:w="8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2,019</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293</w:t>
            </w:r>
          </w:p>
        </w:tc>
      </w:tr>
      <w:tr>
        <w:trPr>
          <w:trHeight w:val="216"/>
        </w:trPr>
        <w:tc>
          <w:tcPr>
            <w:tcW w:w="6260" w:type="dxa"/>
            <w:vAlign w:val="bottom"/>
          </w:tcPr>
          <w:p>
            <w:pPr>
              <w:ind w:left="20"/>
              <w:spacing w:after="0" w:line="216" w:lineRule="exact"/>
              <w:rPr>
                <w:sz w:val="20"/>
                <w:szCs w:val="20"/>
                <w:color w:val="auto"/>
              </w:rPr>
            </w:pPr>
            <w:r>
              <w:rPr>
                <w:rFonts w:ascii="Calibri" w:cs="Calibri" w:eastAsia="Calibri" w:hAnsi="Calibri"/>
                <w:sz w:val="17"/>
                <w:szCs w:val="17"/>
                <w:color w:val="auto"/>
              </w:rPr>
              <w:t>Total Resale orders</w:t>
            </w:r>
            <w:r>
              <w:rPr>
                <w:rFonts w:ascii="Calibri" w:cs="Calibri" w:eastAsia="Calibri" w:hAnsi="Calibri"/>
                <w:sz w:val="23"/>
                <w:szCs w:val="23"/>
                <w:color w:val="auto"/>
                <w:vertAlign w:val="superscript"/>
              </w:rPr>
              <w:t>(3)</w:t>
            </w:r>
          </w:p>
        </w:tc>
        <w:tc>
          <w:tcPr>
            <w:tcW w:w="1500" w:type="dxa"/>
            <w:vAlign w:val="bottom"/>
          </w:tcPr>
          <w:p>
            <w:pPr>
              <w:spacing w:after="0"/>
              <w:rPr>
                <w:sz w:val="18"/>
                <w:szCs w:val="18"/>
                <w:color w:val="auto"/>
              </w:rPr>
            </w:pPr>
          </w:p>
        </w:tc>
        <w:tc>
          <w:tcPr>
            <w:tcW w:w="8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68</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jc w:val="right"/>
              <w:ind w:right="10"/>
              <w:spacing w:after="0" w:line="216" w:lineRule="exact"/>
              <w:rPr>
                <w:sz w:val="20"/>
                <w:szCs w:val="20"/>
                <w:color w:val="auto"/>
              </w:rPr>
            </w:pPr>
            <w:r>
              <w:rPr>
                <w:rFonts w:ascii="Calibri" w:cs="Calibri" w:eastAsia="Calibri" w:hAnsi="Calibri"/>
                <w:sz w:val="18"/>
                <w:szCs w:val="18"/>
                <w:color w:val="auto"/>
              </w:rPr>
              <w:t>13</w:t>
            </w:r>
          </w:p>
        </w:tc>
      </w:tr>
      <w:tr>
        <w:trPr>
          <w:trHeight w:val="280"/>
        </w:trPr>
        <w:tc>
          <w:tcPr>
            <w:tcW w:w="626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1500" w:type="dxa"/>
            <w:vAlign w:val="bottom"/>
          </w:tcPr>
          <w:p>
            <w:pPr>
              <w:jc w:val="right"/>
              <w:ind w:right="1310"/>
              <w:spacing w:after="0"/>
              <w:rPr>
                <w:sz w:val="20"/>
                <w:szCs w:val="20"/>
                <w:color w:val="auto"/>
              </w:rPr>
            </w:pPr>
            <w:r>
              <w:rPr>
                <w:rFonts w:ascii="Calibri" w:cs="Calibri" w:eastAsia="Calibri" w:hAnsi="Calibri"/>
                <w:sz w:val="18"/>
                <w:szCs w:val="18"/>
                <w:color w:val="auto"/>
                <w:w w:val="87"/>
              </w:rPr>
              <w:t>$</w:t>
            </w:r>
          </w:p>
        </w:tc>
        <w:tc>
          <w:tcPr>
            <w:tcW w:w="880" w:type="dxa"/>
            <w:vAlign w:val="bottom"/>
          </w:tcPr>
          <w:p>
            <w:pPr>
              <w:jc w:val="right"/>
              <w:ind w:right="30"/>
              <w:spacing w:after="0"/>
              <w:rPr>
                <w:sz w:val="20"/>
                <w:szCs w:val="20"/>
                <w:color w:val="auto"/>
              </w:rPr>
            </w:pPr>
            <w:r>
              <w:rPr>
                <w:rFonts w:ascii="Calibri" w:cs="Calibri" w:eastAsia="Calibri" w:hAnsi="Calibri"/>
                <w:sz w:val="18"/>
                <w:szCs w:val="18"/>
                <w:color w:val="auto"/>
              </w:rPr>
              <w:t>21,012</w:t>
            </w:r>
          </w:p>
        </w:tc>
        <w:tc>
          <w:tcPr>
            <w:tcW w:w="1740" w:type="dxa"/>
            <w:vAlign w:val="bottom"/>
            <w:gridSpan w:val="2"/>
          </w:tcPr>
          <w:p>
            <w:pPr>
              <w:jc w:val="right"/>
              <w:ind w:right="1290"/>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ind w:right="10"/>
              <w:spacing w:after="0"/>
              <w:rPr>
                <w:sz w:val="20"/>
                <w:szCs w:val="20"/>
                <w:color w:val="auto"/>
              </w:rPr>
            </w:pPr>
            <w:r>
              <w:rPr>
                <w:rFonts w:ascii="Calibri" w:cs="Calibri" w:eastAsia="Calibri" w:hAnsi="Calibri"/>
                <w:sz w:val="18"/>
                <w:szCs w:val="18"/>
                <w:color w:val="auto"/>
              </w:rPr>
              <w:t>4,187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jc w:val="both"/>
        <w:ind w:left="1020" w:hanging="503"/>
        <w:spacing w:after="0" w:line="226" w:lineRule="auto"/>
        <w:tabs>
          <w:tab w:leader="none" w:pos="102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event cancellatons that occurred during that period. Marketplace GOV was negatvely impacted by event cancellatons in the amount of $34.8 million during the three months ended March 31, 2022 and $18.5 million during the three months ended March 31, 2021, though as a percentage of total Marketplace GOV the impact of event cancellatons decreased signifcantly in the three months ended March 31, 2022 compared to the three months ended March 31, 2021.</w:t>
      </w:r>
    </w:p>
    <w:p>
      <w:pPr>
        <w:spacing w:after="0" w:line="139" w:lineRule="exact"/>
        <w:rPr>
          <w:rFonts w:ascii="Calibri" w:cs="Calibri" w:eastAsia="Calibri" w:hAnsi="Calibri"/>
          <w:sz w:val="18"/>
          <w:szCs w:val="18"/>
          <w:color w:val="auto"/>
        </w:rPr>
      </w:pPr>
    </w:p>
    <w:p>
      <w:pPr>
        <w:jc w:val="both"/>
        <w:ind w:left="1020" w:hanging="503"/>
        <w:spacing w:after="0" w:line="226" w:lineRule="auto"/>
        <w:tabs>
          <w:tab w:leader="none" w:pos="102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 the volume of Marketplace segment orders placed on our platorm during a period, net of event cancellatons that occurred during that period. During the three months ended March 31, 2022, our Marketplace segment experienced 91,400 event cancellatons, compared to 51,775 event cancellatons during the three months ended March 31, 2021, though as a percentage of Total Marketplace orders the impact of event cancellatons decreased signifcantly in the three months ended March 31, 2022 compared to the three months ended March 31, 2021.</w:t>
      </w:r>
    </w:p>
    <w:p>
      <w:pPr>
        <w:spacing w:after="0" w:line="139" w:lineRule="exact"/>
        <w:rPr>
          <w:rFonts w:ascii="Calibri" w:cs="Calibri" w:eastAsia="Calibri" w:hAnsi="Calibri"/>
          <w:sz w:val="18"/>
          <w:szCs w:val="18"/>
          <w:color w:val="auto"/>
        </w:rPr>
      </w:pPr>
    </w:p>
    <w:p>
      <w:pPr>
        <w:jc w:val="both"/>
        <w:ind w:left="1020" w:hanging="503"/>
        <w:spacing w:after="0" w:line="242" w:lineRule="auto"/>
        <w:tabs>
          <w:tab w:leader="none" w:pos="102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Total Resale orders represent the volume of Resale segment orders sold by our Resale team in a period, net of event cancellatons that occurred during that period. During the three months ended March 31, 2022, our Resale segment experienced 2,559 event cancellatons, compared to 1,141 event cancellatons during the three months ended March 31, 2021, though as a percentage of Total Resale orders the impact of event cancellatons decreased signifcantly in the three months ended March 31, 2022 compared to the three months ended March 31, 2021.</w:t>
      </w:r>
    </w:p>
    <w:p>
      <w:pPr>
        <w:spacing w:after="0" w:line="135" w:lineRule="exact"/>
        <w:rPr>
          <w:rFonts w:ascii="Calibri" w:cs="Calibri" w:eastAsia="Calibri" w:hAnsi="Calibri"/>
          <w:sz w:val="17"/>
          <w:szCs w:val="17"/>
          <w:color w:val="auto"/>
        </w:rPr>
      </w:pPr>
    </w:p>
    <w:p>
      <w:pPr>
        <w:jc w:val="both"/>
        <w:ind w:left="1020" w:hanging="503"/>
        <w:spacing w:after="0" w:line="225" w:lineRule="auto"/>
        <w:tabs>
          <w:tab w:leader="none" w:pos="102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 xml:space="preserve">Adjusted EBITDA is not a measure defned under GAAP. We believe Adjusted EBITDA provides useful informaton to investors and others in understanding and evaluatng our results of operatons, as well as provides a useful measure for period-to-period comparisons of our business performance. Refer to the </w:t>
      </w:r>
      <w:r>
        <w:rPr>
          <w:rFonts w:ascii="Calibri" w:cs="Calibri" w:eastAsia="Calibri" w:hAnsi="Calibri"/>
          <w:sz w:val="18"/>
          <w:szCs w:val="18"/>
          <w:i w:val="1"/>
          <w:iCs w:val="1"/>
          <w:color w:val="auto"/>
        </w:rPr>
        <w:t>Adjusted EBITDA</w:t>
      </w:r>
      <w:r>
        <w:rPr>
          <w:rFonts w:ascii="Calibri" w:cs="Calibri" w:eastAsia="Calibri" w:hAnsi="Calibri"/>
          <w:sz w:val="18"/>
          <w:szCs w:val="18"/>
          <w:color w:val="auto"/>
        </w:rPr>
        <w:t xml:space="preserve"> secton below for a reconciliaton to its most directly comparable GAAP measure.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Marketplace GOV is a key driver of our Marketplace segment’s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Marketplace GOV is impacted by seasonality, and typically sees increased actvity in the fourth quarter when all major sports leagues are in season and we experience increases in order volume for theater and concert events during the holiday season. Quarterly fuctuatons in our Marketplace GOV result from the number of cancellatons, the popularity and demand of performers, tours, teams, and events, and the length and team compositon of sports playof series and championship games.</w:t>
      </w:r>
    </w:p>
    <w:p>
      <w:pPr>
        <w:spacing w:after="0" w:line="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color w:val="auto"/>
        </w:rPr>
        <w:t>Our Marketplace GOV increased during the three months ended March 31, 2022 as a result of higher orders processed.</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Total Marketplace orders represent the volume of Marketplace segment orders placed on our platorm in a period, net of event cancellatons. An order can include one or more tckets and/or parking passes. Total Marketplace orders allow us to monitor order volume and beter identfy trends within our Marketplace segment. Total Marketplace orders increased during the three months ended March 31, 2022 as a result of higher orders processed.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2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Resale orders represent the volume of Resale segment orders sold in a period, net of event cancellatons. An order can include one or more tckets and/or parking passes. Total Resale orders allow us to monitor order volume and beter identfy trends within our Resale segment.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3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We present Adjusted EBITDA, which is a non-GAAP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 segments.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Adjusted EBITDA is a key measurement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period-to-period comparisons of our business performance and highlightng trends in our operatng results.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Adjusted EBITDA to its most directly comparable GAAP measure, net income (loss)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6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62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71"/>
              <w:spacing w:after="0" w:line="209"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1"/>
              <w:spacing w:after="0" w:line="209" w:lineRule="exact"/>
              <w:rPr>
                <w:sz w:val="20"/>
                <w:szCs w:val="20"/>
                <w:color w:val="auto"/>
              </w:rPr>
            </w:pPr>
            <w:r>
              <w:rPr>
                <w:rFonts w:ascii="Calibri" w:cs="Calibri" w:eastAsia="Calibri" w:hAnsi="Calibri"/>
                <w:sz w:val="18"/>
                <w:szCs w:val="18"/>
                <w:b w:val="1"/>
                <w:bCs w:val="1"/>
                <w:color w:val="auto"/>
                <w:w w:val="93"/>
              </w:rPr>
              <w:t>2021</w:t>
            </w:r>
          </w:p>
        </w:tc>
        <w:tc>
          <w:tcPr>
            <w:tcW w:w="100" w:type="dxa"/>
            <w:vAlign w:val="bottom"/>
          </w:tcPr>
          <w:p>
            <w:pPr>
              <w:spacing w:after="0"/>
              <w:rPr>
                <w:sz w:val="18"/>
                <w:szCs w:val="18"/>
                <w:color w:val="auto"/>
              </w:rPr>
            </w:pPr>
          </w:p>
        </w:tc>
      </w:tr>
      <w:tr>
        <w:trPr>
          <w:trHeight w:val="224"/>
        </w:trPr>
        <w:tc>
          <w:tcPr>
            <w:tcW w:w="6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2"/>
          </w:tcPr>
          <w:p>
            <w:pPr>
              <w:spacing w:after="0"/>
              <w:rPr>
                <w:sz w:val="19"/>
                <w:szCs w:val="19"/>
                <w:color w:val="auto"/>
              </w:rPr>
            </w:pPr>
          </w:p>
        </w:tc>
      </w:tr>
      <w:tr>
        <w:trPr>
          <w:trHeight w:val="216"/>
        </w:trPr>
        <w:tc>
          <w:tcPr>
            <w:tcW w:w="62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540" w:type="dxa"/>
            <w:vAlign w:val="bottom"/>
            <w:shd w:val="clear" w:color="auto" w:fill="CFF0FC"/>
          </w:tcPr>
          <w:p>
            <w:pPr>
              <w:jc w:val="right"/>
              <w:ind w:right="350"/>
              <w:spacing w:after="0" w:line="215" w:lineRule="exact"/>
              <w:rPr>
                <w:sz w:val="20"/>
                <w:szCs w:val="20"/>
                <w:color w:val="auto"/>
              </w:rPr>
            </w:pPr>
            <w:r>
              <w:rPr>
                <w:rFonts w:ascii="Calibri" w:cs="Calibri" w:eastAsia="Calibri" w:hAnsi="Calibri"/>
                <w:sz w:val="18"/>
                <w:szCs w:val="18"/>
                <w:color w:val="auto"/>
                <w:w w:val="87"/>
              </w:rPr>
              <w:t>$</w:t>
            </w:r>
          </w:p>
        </w:tc>
        <w:tc>
          <w:tcPr>
            <w:tcW w:w="17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3,138</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line="215" w:lineRule="exact"/>
              <w:rPr>
                <w:sz w:val="20"/>
                <w:szCs w:val="20"/>
                <w:color w:val="auto"/>
              </w:rPr>
            </w:pPr>
            <w:r>
              <w:rPr>
                <w:rFonts w:ascii="Calibri" w:cs="Calibri" w:eastAsia="Calibri" w:hAnsi="Calibri"/>
                <w:sz w:val="18"/>
                <w:szCs w:val="18"/>
                <w:color w:val="auto"/>
                <w:w w:val="87"/>
              </w:rPr>
              <w:t>$</w:t>
            </w:r>
          </w:p>
        </w:tc>
        <w:tc>
          <w:tcPr>
            <w:tcW w:w="14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(20,251 )</w:t>
            </w:r>
          </w:p>
        </w:tc>
      </w:tr>
      <w:tr>
        <w:trPr>
          <w:trHeight w:val="215"/>
        </w:trPr>
        <w:tc>
          <w:tcPr>
            <w:tcW w:w="624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540" w:type="dxa"/>
            <w:vAlign w:val="bottom"/>
          </w:tcPr>
          <w:p>
            <w:pPr>
              <w:spacing w:after="0"/>
              <w:rPr>
                <w:sz w:val="18"/>
                <w:szCs w:val="18"/>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color w:val="auto"/>
              </w:rPr>
              <w:t>76</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62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expense</w:t>
            </w:r>
          </w:p>
        </w:tc>
        <w:tc>
          <w:tcPr>
            <w:tcW w:w="5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3,942</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16,319</w:t>
            </w:r>
          </w:p>
        </w:tc>
        <w:tc>
          <w:tcPr>
            <w:tcW w:w="100" w:type="dxa"/>
            <w:vAlign w:val="bottom"/>
            <w:shd w:val="clear" w:color="auto" w:fill="CFF0FC"/>
          </w:tcPr>
          <w:p>
            <w:pPr>
              <w:spacing w:after="0"/>
              <w:rPr>
                <w:sz w:val="18"/>
                <w:szCs w:val="18"/>
                <w:color w:val="auto"/>
              </w:rPr>
            </w:pPr>
          </w:p>
        </w:tc>
      </w:tr>
      <w:tr>
        <w:trPr>
          <w:trHeight w:val="156"/>
        </w:trPr>
        <w:tc>
          <w:tcPr>
            <w:tcW w:w="6240" w:type="dxa"/>
            <w:vAlign w:val="bottom"/>
          </w:tcPr>
          <w:p>
            <w:pPr>
              <w:ind w:left="20"/>
              <w:spacing w:after="0" w:line="156" w:lineRule="exact"/>
              <w:rPr>
                <w:sz w:val="20"/>
                <w:szCs w:val="20"/>
                <w:color w:val="auto"/>
              </w:rPr>
            </w:pPr>
            <w:r>
              <w:rPr>
                <w:rFonts w:ascii="Calibri" w:cs="Calibri" w:eastAsia="Calibri" w:hAnsi="Calibri"/>
                <w:sz w:val="16"/>
                <w:szCs w:val="16"/>
                <w:color w:val="auto"/>
              </w:rPr>
              <w:t>Depreciaton and amortzaton</w:t>
            </w:r>
          </w:p>
        </w:tc>
        <w:tc>
          <w:tcPr>
            <w:tcW w:w="540" w:type="dxa"/>
            <w:vAlign w:val="bottom"/>
          </w:tcPr>
          <w:p>
            <w:pPr>
              <w:spacing w:after="0"/>
              <w:rPr>
                <w:sz w:val="13"/>
                <w:szCs w:val="13"/>
                <w:color w:val="auto"/>
              </w:rPr>
            </w:pPr>
          </w:p>
        </w:tc>
        <w:tc>
          <w:tcPr>
            <w:tcW w:w="1740" w:type="dxa"/>
            <w:vAlign w:val="bottom"/>
          </w:tcPr>
          <w:p>
            <w:pPr>
              <w:jc w:val="right"/>
              <w:spacing w:after="0" w:line="156" w:lineRule="exact"/>
              <w:rPr>
                <w:sz w:val="20"/>
                <w:szCs w:val="20"/>
                <w:color w:val="auto"/>
              </w:rPr>
            </w:pPr>
            <w:r>
              <w:rPr>
                <w:rFonts w:ascii="Calibri" w:cs="Calibri" w:eastAsia="Calibri" w:hAnsi="Calibri"/>
                <w:sz w:val="16"/>
                <w:szCs w:val="16"/>
                <w:color w:val="auto"/>
              </w:rPr>
              <w:t>1,385</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Calibri" w:cs="Calibri" w:eastAsia="Calibri" w:hAnsi="Calibri"/>
                <w:sz w:val="16"/>
                <w:szCs w:val="16"/>
                <w:color w:val="auto"/>
              </w:rPr>
              <w:t>295</w:t>
            </w:r>
          </w:p>
        </w:tc>
        <w:tc>
          <w:tcPr>
            <w:tcW w:w="100" w:type="dxa"/>
            <w:vAlign w:val="bottom"/>
          </w:tcPr>
          <w:p>
            <w:pPr>
              <w:spacing w:after="0"/>
              <w:rPr>
                <w:sz w:val="13"/>
                <w:szCs w:val="13"/>
                <w:color w:val="auto"/>
              </w:rPr>
            </w:pP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Sales tax liability</w:t>
            </w:r>
            <w:r>
              <w:rPr>
                <w:rFonts w:ascii="Calibri" w:cs="Calibri" w:eastAsia="Calibri" w:hAnsi="Calibri"/>
                <w:sz w:val="23"/>
                <w:szCs w:val="23"/>
                <w:color w:val="auto"/>
                <w:vertAlign w:val="superscript"/>
              </w:rPr>
              <w:t>(1)</w:t>
            </w:r>
          </w:p>
        </w:tc>
        <w:tc>
          <w:tcPr>
            <w:tcW w:w="540" w:type="dxa"/>
            <w:vAlign w:val="bottom"/>
          </w:tcPr>
          <w:p>
            <w:pPr>
              <w:spacing w:after="0"/>
              <w:rPr>
                <w:sz w:val="18"/>
                <w:szCs w:val="18"/>
                <w:color w:val="auto"/>
              </w:rPr>
            </w:pPr>
          </w:p>
        </w:tc>
        <w:tc>
          <w:tcPr>
            <w:tcW w:w="1740" w:type="dxa"/>
            <w:vAlign w:val="bottom"/>
          </w:tcPr>
          <w:p>
            <w:pPr>
              <w:jc w:val="right"/>
              <w:spacing w:after="0" w:line="216" w:lineRule="exact"/>
              <w:rPr>
                <w:sz w:val="20"/>
                <w:szCs w:val="20"/>
                <w:color w:val="auto"/>
              </w:rPr>
            </w:pPr>
            <w:r>
              <w:rPr>
                <w:rFonts w:ascii="Calibri" w:cs="Calibri" w:eastAsia="Calibri" w:hAnsi="Calibri"/>
                <w:sz w:val="18"/>
                <w:szCs w:val="18"/>
                <w:color w:val="auto"/>
              </w:rPr>
              <w:t>922</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color w:val="auto"/>
              </w:rPr>
              <w:t>2,261</w:t>
            </w:r>
          </w:p>
        </w:tc>
        <w:tc>
          <w:tcPr>
            <w:tcW w:w="100" w:type="dxa"/>
            <w:vAlign w:val="bottom"/>
          </w:tcPr>
          <w:p>
            <w:pPr>
              <w:spacing w:after="0"/>
              <w:rPr>
                <w:sz w:val="18"/>
                <w:szCs w:val="18"/>
                <w:color w:val="auto"/>
              </w:rPr>
            </w:pP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Transacton costs</w:t>
            </w:r>
            <w:r>
              <w:rPr>
                <w:rFonts w:ascii="Calibri" w:cs="Calibri" w:eastAsia="Calibri" w:hAnsi="Calibri"/>
                <w:sz w:val="23"/>
                <w:szCs w:val="23"/>
                <w:color w:val="auto"/>
                <w:vertAlign w:val="superscript"/>
              </w:rPr>
              <w:t>(2)</w:t>
            </w:r>
          </w:p>
        </w:tc>
        <w:tc>
          <w:tcPr>
            <w:tcW w:w="540" w:type="dxa"/>
            <w:vAlign w:val="bottom"/>
          </w:tcPr>
          <w:p>
            <w:pPr>
              <w:spacing w:after="0"/>
              <w:rPr>
                <w:sz w:val="18"/>
                <w:szCs w:val="18"/>
                <w:color w:val="auto"/>
              </w:rPr>
            </w:pPr>
          </w:p>
        </w:tc>
        <w:tc>
          <w:tcPr>
            <w:tcW w:w="1740" w:type="dxa"/>
            <w:vAlign w:val="bottom"/>
          </w:tcPr>
          <w:p>
            <w:pPr>
              <w:jc w:val="right"/>
              <w:spacing w:after="0" w:line="216" w:lineRule="exact"/>
              <w:rPr>
                <w:sz w:val="20"/>
                <w:szCs w:val="20"/>
                <w:color w:val="auto"/>
              </w:rPr>
            </w:pPr>
            <w:r>
              <w:rPr>
                <w:rFonts w:ascii="Calibri" w:cs="Calibri" w:eastAsia="Calibri" w:hAnsi="Calibri"/>
                <w:sz w:val="18"/>
                <w:szCs w:val="18"/>
                <w:color w:val="auto"/>
              </w:rPr>
              <w:t>1,402</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color w:val="auto"/>
              </w:rPr>
              <w:t>3,546</w:t>
            </w:r>
          </w:p>
        </w:tc>
        <w:tc>
          <w:tcPr>
            <w:tcW w:w="100" w:type="dxa"/>
            <w:vAlign w:val="bottom"/>
          </w:tcPr>
          <w:p>
            <w:pPr>
              <w:spacing w:after="0"/>
              <w:rPr>
                <w:sz w:val="18"/>
                <w:szCs w:val="18"/>
                <w:color w:val="auto"/>
              </w:rPr>
            </w:pP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Equity-based compensaton</w:t>
            </w:r>
            <w:r>
              <w:rPr>
                <w:rFonts w:ascii="Calibri" w:cs="Calibri" w:eastAsia="Calibri" w:hAnsi="Calibri"/>
                <w:sz w:val="23"/>
                <w:szCs w:val="23"/>
                <w:color w:val="auto"/>
                <w:vertAlign w:val="superscript"/>
              </w:rPr>
              <w:t>(3)</w:t>
            </w:r>
          </w:p>
        </w:tc>
        <w:tc>
          <w:tcPr>
            <w:tcW w:w="540" w:type="dxa"/>
            <w:vAlign w:val="bottom"/>
          </w:tcPr>
          <w:p>
            <w:pPr>
              <w:spacing w:after="0"/>
              <w:rPr>
                <w:sz w:val="18"/>
                <w:szCs w:val="18"/>
                <w:color w:val="auto"/>
              </w:rPr>
            </w:pPr>
          </w:p>
        </w:tc>
        <w:tc>
          <w:tcPr>
            <w:tcW w:w="1740" w:type="dxa"/>
            <w:vAlign w:val="bottom"/>
          </w:tcPr>
          <w:p>
            <w:pPr>
              <w:jc w:val="right"/>
              <w:spacing w:after="0" w:line="216" w:lineRule="exact"/>
              <w:rPr>
                <w:sz w:val="20"/>
                <w:szCs w:val="20"/>
                <w:color w:val="auto"/>
              </w:rPr>
            </w:pPr>
            <w:r>
              <w:rPr>
                <w:rFonts w:ascii="Calibri" w:cs="Calibri" w:eastAsia="Calibri" w:hAnsi="Calibri"/>
                <w:sz w:val="18"/>
                <w:szCs w:val="18"/>
                <w:color w:val="auto"/>
              </w:rPr>
              <w:t>3,597</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color w:val="auto"/>
              </w:rPr>
              <w:t>1,091</w:t>
            </w:r>
          </w:p>
        </w:tc>
        <w:tc>
          <w:tcPr>
            <w:tcW w:w="100" w:type="dxa"/>
            <w:vAlign w:val="bottom"/>
          </w:tcPr>
          <w:p>
            <w:pPr>
              <w:spacing w:after="0"/>
              <w:rPr>
                <w:sz w:val="18"/>
                <w:szCs w:val="18"/>
                <w:color w:val="auto"/>
              </w:rPr>
            </w:pP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Loss on extnguishment of debt</w:t>
            </w:r>
            <w:r>
              <w:rPr>
                <w:rFonts w:ascii="Calibri" w:cs="Calibri" w:eastAsia="Calibri" w:hAnsi="Calibri"/>
                <w:sz w:val="23"/>
                <w:szCs w:val="23"/>
                <w:color w:val="auto"/>
                <w:vertAlign w:val="superscript"/>
              </w:rPr>
              <w:t>(4)</w:t>
            </w:r>
          </w:p>
        </w:tc>
        <w:tc>
          <w:tcPr>
            <w:tcW w:w="540" w:type="dxa"/>
            <w:vAlign w:val="bottom"/>
          </w:tcPr>
          <w:p>
            <w:pPr>
              <w:spacing w:after="0"/>
              <w:rPr>
                <w:sz w:val="18"/>
                <w:szCs w:val="18"/>
                <w:color w:val="auto"/>
              </w:rPr>
            </w:pPr>
          </w:p>
        </w:tc>
        <w:tc>
          <w:tcPr>
            <w:tcW w:w="1740" w:type="dxa"/>
            <w:vAlign w:val="bottom"/>
          </w:tcPr>
          <w:p>
            <w:pPr>
              <w:jc w:val="right"/>
              <w:spacing w:after="0" w:line="216" w:lineRule="exact"/>
              <w:rPr>
                <w:sz w:val="20"/>
                <w:szCs w:val="20"/>
                <w:color w:val="auto"/>
              </w:rPr>
            </w:pPr>
            <w:r>
              <w:rPr>
                <w:rFonts w:ascii="Calibri" w:cs="Calibri" w:eastAsia="Calibri" w:hAnsi="Calibri"/>
                <w:sz w:val="18"/>
                <w:szCs w:val="18"/>
                <w:color w:val="auto"/>
              </w:rPr>
              <w:t>4,285</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Litgaton, setlements and related costs</w:t>
            </w:r>
            <w:r>
              <w:rPr>
                <w:rFonts w:ascii="Calibri" w:cs="Calibri" w:eastAsia="Calibri" w:hAnsi="Calibri"/>
                <w:sz w:val="23"/>
                <w:szCs w:val="23"/>
                <w:color w:val="auto"/>
                <w:vertAlign w:val="superscript"/>
              </w:rPr>
              <w:t>(5)</w:t>
            </w:r>
          </w:p>
        </w:tc>
        <w:tc>
          <w:tcPr>
            <w:tcW w:w="540" w:type="dxa"/>
            <w:vAlign w:val="bottom"/>
          </w:tcPr>
          <w:p>
            <w:pPr>
              <w:spacing w:after="0"/>
              <w:rPr>
                <w:sz w:val="18"/>
                <w:szCs w:val="18"/>
                <w:color w:val="auto"/>
              </w:rPr>
            </w:pPr>
          </w:p>
        </w:tc>
        <w:tc>
          <w:tcPr>
            <w:tcW w:w="212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color w:val="auto"/>
              </w:rPr>
              <w:t>(14 )</w:t>
            </w:r>
          </w:p>
        </w:tc>
        <w:tc>
          <w:tcPr>
            <w:tcW w:w="9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color w:val="auto"/>
              </w:rPr>
              <w:t>641</w:t>
            </w:r>
          </w:p>
        </w:tc>
        <w:tc>
          <w:tcPr>
            <w:tcW w:w="100" w:type="dxa"/>
            <w:vAlign w:val="bottom"/>
          </w:tcPr>
          <w:p>
            <w:pPr>
              <w:spacing w:after="0"/>
              <w:rPr>
                <w:sz w:val="18"/>
                <w:szCs w:val="18"/>
                <w:color w:val="auto"/>
              </w:rPr>
            </w:pPr>
          </w:p>
        </w:tc>
      </w:tr>
      <w:tr>
        <w:trPr>
          <w:trHeight w:val="216"/>
        </w:trPr>
        <w:tc>
          <w:tcPr>
            <w:tcW w:w="6240" w:type="dxa"/>
            <w:vAlign w:val="bottom"/>
          </w:tcPr>
          <w:p>
            <w:pPr>
              <w:ind w:left="20"/>
              <w:spacing w:after="0" w:line="216" w:lineRule="exact"/>
              <w:rPr>
                <w:sz w:val="20"/>
                <w:szCs w:val="20"/>
                <w:color w:val="auto"/>
              </w:rPr>
            </w:pPr>
            <w:r>
              <w:rPr>
                <w:rFonts w:ascii="Calibri" w:cs="Calibri" w:eastAsia="Calibri" w:hAnsi="Calibri"/>
                <w:sz w:val="17"/>
                <w:szCs w:val="17"/>
                <w:color w:val="auto"/>
              </w:rPr>
              <w:t>Severance related to COVID-19</w:t>
            </w:r>
            <w:r>
              <w:rPr>
                <w:rFonts w:ascii="Calibri" w:cs="Calibri" w:eastAsia="Calibri" w:hAnsi="Calibri"/>
                <w:sz w:val="23"/>
                <w:szCs w:val="23"/>
                <w:color w:val="auto"/>
                <w:vertAlign w:val="superscript"/>
              </w:rPr>
              <w:t>(6)</w:t>
            </w:r>
          </w:p>
        </w:tc>
        <w:tc>
          <w:tcPr>
            <w:tcW w:w="540" w:type="dxa"/>
            <w:vAlign w:val="bottom"/>
          </w:tcPr>
          <w:p>
            <w:pPr>
              <w:spacing w:after="0"/>
              <w:rPr>
                <w:sz w:val="18"/>
                <w:szCs w:val="18"/>
                <w:color w:val="auto"/>
              </w:rPr>
            </w:pPr>
          </w:p>
        </w:tc>
        <w:tc>
          <w:tcPr>
            <w:tcW w:w="2120" w:type="dxa"/>
            <w:vAlign w:val="bottom"/>
            <w:gridSpan w:val="2"/>
          </w:tcPr>
          <w:p>
            <w:pPr>
              <w:jc w:val="right"/>
              <w:ind w:right="400"/>
              <w:spacing w:after="0" w:line="216" w:lineRule="exact"/>
              <w:rPr>
                <w:sz w:val="20"/>
                <w:szCs w:val="20"/>
                <w:color w:val="auto"/>
              </w:rPr>
            </w:pPr>
            <w:r>
              <w:rPr>
                <w:rFonts w:ascii="Calibri" w:cs="Calibri" w:eastAsia="Calibri" w:hAnsi="Calibri"/>
                <w:sz w:val="18"/>
                <w:szCs w:val="18"/>
                <w:color w:val="auto"/>
              </w:rPr>
              <w:t>—</w:t>
            </w:r>
          </w:p>
        </w:tc>
        <w:tc>
          <w:tcPr>
            <w:tcW w:w="940" w:type="dxa"/>
            <w:vAlign w:val="bottom"/>
          </w:tcPr>
          <w:p>
            <w:pPr>
              <w:spacing w:after="0"/>
              <w:rPr>
                <w:sz w:val="18"/>
                <w:szCs w:val="18"/>
                <w:color w:val="auto"/>
              </w:rPr>
            </w:pPr>
          </w:p>
        </w:tc>
        <w:tc>
          <w:tcPr>
            <w:tcW w:w="1300" w:type="dxa"/>
            <w:vAlign w:val="bottom"/>
          </w:tcPr>
          <w:p>
            <w:pPr>
              <w:jc w:val="right"/>
              <w:spacing w:after="0" w:line="216" w:lineRule="exact"/>
              <w:rPr>
                <w:sz w:val="20"/>
                <w:szCs w:val="20"/>
                <w:color w:val="auto"/>
              </w:rPr>
            </w:pPr>
            <w:r>
              <w:rPr>
                <w:rFonts w:ascii="Calibri" w:cs="Calibri" w:eastAsia="Calibri" w:hAnsi="Calibri"/>
                <w:sz w:val="18"/>
                <w:szCs w:val="18"/>
                <w:color w:val="auto"/>
              </w:rPr>
              <w:t>285</w:t>
            </w:r>
          </w:p>
        </w:tc>
        <w:tc>
          <w:tcPr>
            <w:tcW w:w="100" w:type="dxa"/>
            <w:vAlign w:val="bottom"/>
          </w:tcPr>
          <w:p>
            <w:pPr>
              <w:spacing w:after="0"/>
              <w:rPr>
                <w:sz w:val="18"/>
                <w:szCs w:val="18"/>
                <w:color w:val="auto"/>
              </w:rPr>
            </w:pPr>
          </w:p>
        </w:tc>
      </w:tr>
      <w:tr>
        <w:trPr>
          <w:trHeight w:val="276"/>
        </w:trPr>
        <w:tc>
          <w:tcPr>
            <w:tcW w:w="6240" w:type="dxa"/>
            <w:vAlign w:val="bottom"/>
          </w:tcPr>
          <w:p>
            <w:pPr>
              <w:ind w:left="20"/>
              <w:spacing w:after="0" w:line="276" w:lineRule="exact"/>
              <w:rPr>
                <w:sz w:val="20"/>
                <w:szCs w:val="20"/>
                <w:color w:val="auto"/>
              </w:rPr>
            </w:pPr>
            <w:r>
              <w:rPr>
                <w:rFonts w:ascii="Calibri" w:cs="Calibri" w:eastAsia="Calibri" w:hAnsi="Calibri"/>
                <w:sz w:val="18"/>
                <w:szCs w:val="18"/>
                <w:color w:val="auto"/>
              </w:rPr>
              <w:t>Change in fair value of warrants</w:t>
            </w:r>
            <w:r>
              <w:rPr>
                <w:rFonts w:ascii="Calibri" w:cs="Calibri" w:eastAsia="Calibri" w:hAnsi="Calibri"/>
                <w:sz w:val="24"/>
                <w:szCs w:val="24"/>
                <w:color w:val="auto"/>
                <w:vertAlign w:val="superscript"/>
              </w:rPr>
              <w:t>(7)</w:t>
            </w:r>
          </w:p>
        </w:tc>
        <w:tc>
          <w:tcPr>
            <w:tcW w:w="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alibri" w:cs="Calibri" w:eastAsia="Calibri" w:hAnsi="Calibri"/>
                <w:sz w:val="18"/>
                <w:szCs w:val="18"/>
                <w:color w:val="auto"/>
              </w:rPr>
              <w:t>2,279</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r>
      <w:tr>
        <w:trPr>
          <w:trHeight w:val="210"/>
        </w:trPr>
        <w:tc>
          <w:tcPr>
            <w:tcW w:w="62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Adjusted EBITDA</w:t>
            </w:r>
          </w:p>
        </w:tc>
        <w:tc>
          <w:tcPr>
            <w:tcW w:w="540" w:type="dxa"/>
            <w:vAlign w:val="bottom"/>
            <w:tcBorders>
              <w:top w:val="single" w:sz="8" w:color="auto"/>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w w:val="87"/>
              </w:rPr>
              <w:t>$</w:t>
            </w:r>
          </w:p>
        </w:tc>
        <w:tc>
          <w:tcPr>
            <w:tcW w:w="17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21,012</w:t>
            </w:r>
          </w:p>
        </w:tc>
        <w:tc>
          <w:tcPr>
            <w:tcW w:w="3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4,187</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6" w:lineRule="exact"/>
        <w:rPr>
          <w:sz w:val="20"/>
          <w:szCs w:val="20"/>
          <w:color w:val="auto"/>
        </w:rPr>
      </w:pPr>
    </w:p>
    <w:p>
      <w:pPr>
        <w:jc w:val="both"/>
        <w:ind w:left="1020" w:hanging="503"/>
        <w:spacing w:after="0" w:line="237"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We have historically incurred sales tax expense in jurisdictons where we expected to remit sales tax payments but were not yet collectng from customers. During the second half of 2021, we began collectng sales tax from customers in all required states. The sales tax liability presented herein represents the exposure for sales tax prior to the date we began collectng sales tax from customers reduced by abatements received, inclusive of any penaltes and interest assessed by the jurisdictons. Discussions with jurisdictons regarding our liability for uncollected sales</w:t>
      </w:r>
    </w:p>
    <w:p>
      <w:pPr>
        <w:ind w:left="1020"/>
        <w:spacing w:after="0"/>
        <w:rPr>
          <w:sz w:val="20"/>
          <w:szCs w:val="20"/>
          <w:color w:val="auto"/>
        </w:rPr>
      </w:pPr>
      <w:r>
        <w:rPr>
          <w:rFonts w:ascii="Calibri" w:cs="Calibri" w:eastAsia="Calibri" w:hAnsi="Calibri"/>
          <w:sz w:val="18"/>
          <w:szCs w:val="18"/>
          <w:color w:val="auto"/>
        </w:rPr>
        <w:t>taxes contnued into 2022.</w:t>
      </w:r>
    </w:p>
    <w:p>
      <w:pPr>
        <w:jc w:val="center"/>
        <w:spacing w:after="0" w:line="221" w:lineRule="auto"/>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jc w:val="both"/>
        <w:ind w:left="1020" w:hanging="503"/>
        <w:spacing w:after="0" w:line="229" w:lineRule="auto"/>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Transacton costs consist of legal; accountng; tax and other professional fees; personnel-related costs, which consist of retenton bonuses; and integraton costs. Transacton costs recognized in 2022 were related to the merger transacton with Horizon Acquisiton Corporaton (the "Merger Transacton"), the acquisiton of Betcha Sports, Inc. ("Betcha"), and refnancing of the remaining June 2017 First Lien Loan with a new February 2022 First Lien Loan. Transacton costs recognized in 2021 were related to the Merger Transacton, to the extent they were not eligible for capitalizaton.</w:t>
      </w:r>
    </w:p>
    <w:p>
      <w:pPr>
        <w:spacing w:after="0" w:line="99" w:lineRule="exact"/>
        <w:rPr>
          <w:rFonts w:ascii="Calibri" w:cs="Calibri" w:eastAsia="Calibri" w:hAnsi="Calibri"/>
          <w:sz w:val="18"/>
          <w:szCs w:val="18"/>
          <w:color w:val="auto"/>
        </w:rPr>
      </w:pPr>
    </w:p>
    <w:p>
      <w:pPr>
        <w:jc w:val="both"/>
        <w:ind w:left="1020" w:hanging="503"/>
        <w:spacing w:after="0" w:line="228" w:lineRule="auto"/>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We incur equity-based compensaton expenses for profts interests issued prior to the Merger Transacton and equity granted according to the 2021 Incentve Award Plan ("2021 Plan"), which we do not consider to be indicatve of our core operatng performance. The 2021 Plan was approved and adopted in order to facilitate the grant of equity incentve awards to our employees and directors. The 2021 Plan became efectve on October 18, 2021.</w:t>
      </w:r>
    </w:p>
    <w:p>
      <w:pPr>
        <w:spacing w:after="0" w:line="91" w:lineRule="exact"/>
        <w:rPr>
          <w:rFonts w:ascii="Calibri" w:cs="Calibri" w:eastAsia="Calibri" w:hAnsi="Calibri"/>
          <w:sz w:val="18"/>
          <w:szCs w:val="18"/>
          <w:color w:val="auto"/>
        </w:rPr>
      </w:pPr>
    </w:p>
    <w:p>
      <w:pPr>
        <w:ind w:left="1020" w:hanging="503"/>
        <w:spacing w:after="0"/>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Losses incurred resulted from the extnguishment of the June 2017 First Lien Loan in February 2022.</w:t>
      </w:r>
    </w:p>
    <w:p>
      <w:pPr>
        <w:spacing w:after="0" w:line="95" w:lineRule="exact"/>
        <w:rPr>
          <w:rFonts w:ascii="Calibri" w:cs="Calibri" w:eastAsia="Calibri" w:hAnsi="Calibri"/>
          <w:sz w:val="18"/>
          <w:szCs w:val="18"/>
          <w:color w:val="auto"/>
        </w:rPr>
      </w:pPr>
    </w:p>
    <w:p>
      <w:pPr>
        <w:ind w:left="1020" w:hanging="503"/>
        <w:spacing w:after="0"/>
        <w:tabs>
          <w:tab w:leader="none" w:pos="102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These amounts relate to external legal costs, setlement costs and insurance recoveries, which were unrelated to our core business operatons.</w:t>
      </w:r>
    </w:p>
    <w:p>
      <w:pPr>
        <w:spacing w:after="0" w:line="116" w:lineRule="exact"/>
        <w:rPr>
          <w:rFonts w:ascii="Calibri" w:cs="Calibri" w:eastAsia="Calibri" w:hAnsi="Calibri"/>
          <w:sz w:val="17"/>
          <w:szCs w:val="17"/>
          <w:color w:val="auto"/>
        </w:rPr>
      </w:pPr>
    </w:p>
    <w:p>
      <w:pPr>
        <w:ind w:left="1020" w:hanging="503"/>
        <w:spacing w:after="0" w:line="227" w:lineRule="auto"/>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These charges relate to severance costs resultng from signifcant reductons in employee headcount due to the efects of the COVID-19 pandemic.</w:t>
      </w:r>
    </w:p>
    <w:p>
      <w:pPr>
        <w:spacing w:after="0" w:line="92" w:lineRule="exact"/>
        <w:rPr>
          <w:rFonts w:ascii="Calibri" w:cs="Calibri" w:eastAsia="Calibri" w:hAnsi="Calibri"/>
          <w:sz w:val="18"/>
          <w:szCs w:val="18"/>
          <w:color w:val="auto"/>
        </w:rPr>
      </w:pPr>
    </w:p>
    <w:p>
      <w:pPr>
        <w:ind w:left="1020" w:hanging="503"/>
        <w:spacing w:after="0"/>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These expenses relate to the revaluaton of Hoya Intermediate Warrants following the Merger Transacton.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Impact of COVID-19</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March 11, 2020, the World Health Organizaton declared the COVID-19 outbreak a pandemic. Almost immediately, mitgaton measures implemented or recommended by governmental authorites and private organizatons restricted atendance at live events throughout North America producing large-scale event cancellatons and meaningfully reduced actvity on our platorm. Beginning in the second quarter of 2021, and contnuing into the frst quarter of 2022, we have seen a recovery in tcket orders as mitgaton measures ease. The COVID-19 pandemic is evolving, and the ultmate pace and tming of recovery is uncertain. If economic conditons caused by the pandemic were to worsen, our fnancial conditon, cash fows, and results of operatons may be further materially impacted.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There have been no material changes from the “Key Factors Afectng Our Performance” in the Management’s Discussion and Analysis secton disclosed in our 2021 Form 10-K. Our fnancial positon and results of operatons depend to a signifcant extent on those factors.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Months Ended March 31, 2022 and 2021</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5"/>
          </w:tcPr>
          <w:p>
            <w:pPr>
              <w:jc w:val="right"/>
              <w:ind w:right="590"/>
              <w:spacing w:after="0"/>
              <w:rPr>
                <w:sz w:val="20"/>
                <w:szCs w:val="20"/>
                <w:color w:val="auto"/>
              </w:rPr>
            </w:pPr>
            <w:r>
              <w:rPr>
                <w:rFonts w:ascii="Calibri" w:cs="Calibri" w:eastAsia="Calibri" w:hAnsi="Calibri"/>
                <w:sz w:val="18"/>
                <w:szCs w:val="18"/>
                <w:b w:val="1"/>
                <w:bCs w:val="1"/>
                <w:color w:val="auto"/>
              </w:rPr>
              <w:t>Three Months Ended March 31,</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jc w:val="right"/>
              <w:ind w:right="680"/>
              <w:spacing w:after="0"/>
              <w:rPr>
                <w:sz w:val="20"/>
                <w:szCs w:val="20"/>
                <w:color w:val="auto"/>
              </w:rPr>
            </w:pPr>
            <w:r>
              <w:rPr>
                <w:rFonts w:ascii="Calibri" w:cs="Calibri" w:eastAsia="Calibri" w:hAnsi="Calibri"/>
                <w:sz w:val="18"/>
                <w:szCs w:val="18"/>
                <w:b w:val="1"/>
                <w:bCs w:val="1"/>
                <w:color w:val="auto"/>
              </w:rPr>
              <w:t>Change</w:t>
            </w:r>
          </w:p>
        </w:tc>
        <w:tc>
          <w:tcPr>
            <w:tcW w:w="1640" w:type="dxa"/>
            <w:vAlign w:val="bottom"/>
            <w:gridSpan w:val="2"/>
            <w:vMerge w:val="restart"/>
          </w:tcPr>
          <w:p>
            <w:pPr>
              <w:jc w:val="right"/>
              <w:ind w:right="57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30"/>
              <w:spacing w:after="0" w:line="208" w:lineRule="exact"/>
              <w:rPr>
                <w:sz w:val="20"/>
                <w:szCs w:val="20"/>
                <w:color w:val="auto"/>
              </w:rPr>
            </w:pPr>
            <w:r>
              <w:rPr>
                <w:rFonts w:ascii="Calibri" w:cs="Calibri" w:eastAsia="Calibri" w:hAnsi="Calibri"/>
                <w:sz w:val="18"/>
                <w:szCs w:val="18"/>
                <w:b w:val="1"/>
                <w:bCs w:val="1"/>
                <w:color w:val="auto"/>
              </w:rPr>
              <w:t>2021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260" w:type="dxa"/>
            <w:vAlign w:val="bottom"/>
            <w:tcBorders>
              <w:top w:val="single" w:sz="8" w:color="auto"/>
            </w:tcBorders>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130,772</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24,114</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106,658</w:t>
            </w: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442</w:t>
            </w:r>
          </w:p>
        </w:tc>
        <w:tc>
          <w:tcPr>
            <w:tcW w:w="40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58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Cost of revenues (exclusive of depreciaton and amortzaton</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58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32,164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3,925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28,239</w:t>
            </w:r>
          </w:p>
        </w:tc>
        <w:tc>
          <w:tcPr>
            <w:tcW w:w="2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gridSpan w:val="2"/>
            <w:shd w:val="clear" w:color="auto" w:fill="CFF0FC"/>
          </w:tcPr>
          <w:p>
            <w:pPr>
              <w:jc w:val="right"/>
              <w:ind w:right="170"/>
              <w:spacing w:after="0" w:line="215" w:lineRule="exact"/>
              <w:rPr>
                <w:sz w:val="20"/>
                <w:szCs w:val="20"/>
                <w:color w:val="auto"/>
              </w:rPr>
            </w:pPr>
            <w:r>
              <w:rPr>
                <w:rFonts w:ascii="Calibri" w:cs="Calibri" w:eastAsia="Calibri" w:hAnsi="Calibri"/>
                <w:sz w:val="18"/>
                <w:szCs w:val="18"/>
                <w:color w:val="auto"/>
              </w:rPr>
              <w:t>719 %</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2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54,228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7,955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46,273</w:t>
            </w:r>
          </w:p>
        </w:tc>
        <w:tc>
          <w:tcPr>
            <w:tcW w:w="260" w:type="dxa"/>
            <w:vAlign w:val="bottom"/>
          </w:tcPr>
          <w:p>
            <w:pPr>
              <w:spacing w:after="0"/>
              <w:rPr>
                <w:sz w:val="18"/>
                <w:szCs w:val="18"/>
                <w:color w:val="auto"/>
              </w:rPr>
            </w:pPr>
          </w:p>
        </w:tc>
        <w:tc>
          <w:tcPr>
            <w:tcW w:w="16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582 %</w:t>
            </w:r>
          </w:p>
        </w:tc>
        <w:tc>
          <w:tcPr>
            <w:tcW w:w="0" w:type="dxa"/>
            <w:vAlign w:val="bottom"/>
          </w:tcPr>
          <w:p>
            <w:pPr>
              <w:spacing w:after="0"/>
              <w:rPr>
                <w:sz w:val="1"/>
                <w:szCs w:val="1"/>
                <w:color w:val="auto"/>
              </w:rPr>
            </w:pPr>
          </w:p>
        </w:tc>
      </w:tr>
      <w:tr>
        <w:trPr>
          <w:trHeight w:val="217"/>
        </w:trPr>
        <w:tc>
          <w:tcPr>
            <w:tcW w:w="4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29,275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15,871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13,404</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rPr>
              <w:t>84 %</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2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1,385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1,090</w:t>
            </w:r>
          </w:p>
        </w:tc>
        <w:tc>
          <w:tcPr>
            <w:tcW w:w="260" w:type="dxa"/>
            <w:vAlign w:val="bottom"/>
          </w:tcPr>
          <w:p>
            <w:pPr>
              <w:spacing w:after="0"/>
              <w:rPr>
                <w:sz w:val="18"/>
                <w:szCs w:val="18"/>
                <w:color w:val="auto"/>
              </w:rPr>
            </w:pPr>
          </w:p>
        </w:tc>
        <w:tc>
          <w:tcPr>
            <w:tcW w:w="16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369 %</w:t>
            </w:r>
          </w:p>
        </w:tc>
        <w:tc>
          <w:tcPr>
            <w:tcW w:w="0" w:type="dxa"/>
            <w:vAlign w:val="bottom"/>
          </w:tcPr>
          <w:p>
            <w:pPr>
              <w:spacing w:after="0"/>
              <w:rPr>
                <w:sz w:val="1"/>
                <w:szCs w:val="1"/>
                <w:color w:val="auto"/>
              </w:rPr>
            </w:pPr>
          </w:p>
        </w:tc>
      </w:tr>
      <w:tr>
        <w:trPr>
          <w:trHeight w:val="211"/>
        </w:trPr>
        <w:tc>
          <w:tcPr>
            <w:tcW w:w="45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(loss) from operatons</w:t>
            </w: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13,720</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(3,932</w:t>
            </w:r>
          </w:p>
        </w:tc>
        <w:tc>
          <w:tcPr>
            <w:tcW w:w="28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rPr>
              <w:t>)</w:t>
            </w: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17,652</w:t>
            </w:r>
          </w:p>
        </w:tc>
        <w:tc>
          <w:tcPr>
            <w:tcW w:w="26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449</w:t>
            </w:r>
          </w:p>
        </w:tc>
        <w:tc>
          <w:tcPr>
            <w:tcW w:w="40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91"/>
              </w:rPr>
              <w:t>%</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expense – net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3,942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16,319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(12,377 )</w:t>
            </w:r>
          </w:p>
        </w:tc>
        <w:tc>
          <w:tcPr>
            <w:tcW w:w="164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(76 )%</w:t>
            </w: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line="215" w:lineRule="exact"/>
              <w:rPr>
                <w:sz w:val="20"/>
                <w:szCs w:val="20"/>
                <w:color w:val="auto"/>
              </w:rPr>
            </w:pPr>
            <w:r>
              <w:rPr>
                <w:rFonts w:ascii="Calibri" w:cs="Calibri" w:eastAsia="Calibri" w:hAnsi="Calibri"/>
                <w:sz w:val="18"/>
                <w:szCs w:val="18"/>
                <w:color w:val="auto"/>
              </w:rPr>
              <w:t>Loss on extnguishment of debt</w:t>
            </w:r>
          </w:p>
        </w:tc>
        <w:tc>
          <w:tcPr>
            <w:tcW w:w="26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60" w:type="dxa"/>
            <w:vAlign w:val="bottom"/>
          </w:tcPr>
          <w:p>
            <w:pPr>
              <w:spacing w:after="0"/>
              <w:rPr>
                <w:sz w:val="18"/>
                <w:szCs w:val="18"/>
                <w:color w:val="auto"/>
              </w:rPr>
            </w:pPr>
          </w:p>
        </w:tc>
        <w:tc>
          <w:tcPr>
            <w:tcW w:w="1640" w:type="dxa"/>
            <w:vAlign w:val="bottom"/>
            <w:gridSpan w:val="2"/>
          </w:tcPr>
          <w:p>
            <w:pPr>
              <w:jc w:val="right"/>
              <w:ind w:right="170"/>
              <w:spacing w:after="0" w:line="215"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expenses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2,279</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Income (loss) before income taxes</w:t>
            </w:r>
          </w:p>
        </w:tc>
        <w:tc>
          <w:tcPr>
            <w:tcW w:w="26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3,214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(20,251 )</w:t>
            </w:r>
          </w:p>
        </w:tc>
        <w:tc>
          <w:tcPr>
            <w:tcW w:w="260" w:type="dxa"/>
            <w:vAlign w:val="bottom"/>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23,465</w:t>
            </w:r>
          </w:p>
        </w:tc>
        <w:tc>
          <w:tcPr>
            <w:tcW w:w="260" w:type="dxa"/>
            <w:vAlign w:val="bottom"/>
          </w:tcPr>
          <w:p>
            <w:pPr>
              <w:spacing w:after="0"/>
              <w:rPr>
                <w:sz w:val="18"/>
                <w:szCs w:val="18"/>
                <w:color w:val="auto"/>
              </w:rPr>
            </w:pPr>
          </w:p>
        </w:tc>
        <w:tc>
          <w:tcPr>
            <w:tcW w:w="1640" w:type="dxa"/>
            <w:vAlign w:val="bottom"/>
            <w:gridSpan w:val="2"/>
          </w:tcPr>
          <w:p>
            <w:pPr>
              <w:jc w:val="right"/>
              <w:ind w:right="170"/>
              <w:spacing w:after="0" w:line="209" w:lineRule="exact"/>
              <w:rPr>
                <w:sz w:val="20"/>
                <w:szCs w:val="20"/>
                <w:color w:val="auto"/>
              </w:rPr>
            </w:pPr>
            <w:r>
              <w:rPr>
                <w:rFonts w:ascii="Calibri" w:cs="Calibri" w:eastAsia="Calibri" w:hAnsi="Calibri"/>
                <w:sz w:val="18"/>
                <w:szCs w:val="18"/>
                <w:b w:val="1"/>
                <w:bCs w:val="1"/>
                <w:color w:val="auto"/>
              </w:rPr>
              <w:t>116 %</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Income tax expense</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70"/>
              <w:spacing w:after="0" w:line="216"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26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3,138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(20,251 )</w:t>
            </w:r>
          </w:p>
        </w:tc>
        <w:tc>
          <w:tcPr>
            <w:tcW w:w="260" w:type="dxa"/>
            <w:vAlign w:val="bottom"/>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23,389</w:t>
            </w:r>
          </w:p>
        </w:tc>
        <w:tc>
          <w:tcPr>
            <w:tcW w:w="260" w:type="dxa"/>
            <w:vAlign w:val="bottom"/>
          </w:tcPr>
          <w:p>
            <w:pPr>
              <w:spacing w:after="0"/>
              <w:rPr>
                <w:sz w:val="18"/>
                <w:szCs w:val="18"/>
                <w:color w:val="auto"/>
              </w:rPr>
            </w:pPr>
          </w:p>
        </w:tc>
        <w:tc>
          <w:tcPr>
            <w:tcW w:w="1640" w:type="dxa"/>
            <w:vAlign w:val="bottom"/>
            <w:gridSpan w:val="2"/>
          </w:tcPr>
          <w:p>
            <w:pPr>
              <w:jc w:val="right"/>
              <w:ind w:right="170"/>
              <w:spacing w:after="0" w:line="209" w:lineRule="exact"/>
              <w:rPr>
                <w:sz w:val="20"/>
                <w:szCs w:val="20"/>
                <w:color w:val="auto"/>
              </w:rPr>
            </w:pPr>
            <w:r>
              <w:rPr>
                <w:rFonts w:ascii="Calibri" w:cs="Calibri" w:eastAsia="Calibri" w:hAnsi="Calibri"/>
                <w:sz w:val="18"/>
                <w:szCs w:val="18"/>
                <w:b w:val="1"/>
                <w:bCs w:val="1"/>
                <w:color w:val="auto"/>
              </w:rPr>
              <w:t>115 %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-427355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-427355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-427355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-427355</wp:posOffset>
            </wp:positionV>
            <wp:extent cx="257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-144145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-144145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-144145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-144145</wp:posOffset>
            </wp:positionV>
            <wp:extent cx="2571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p>
      <w:pPr>
        <w:ind w:left="20" w:right="560"/>
        <w:spacing w:after="0" w:line="208" w:lineRule="auto"/>
        <w:rPr>
          <w:sz w:val="20"/>
          <w:szCs w:val="20"/>
          <w:color w:val="auto"/>
        </w:rPr>
      </w:pPr>
      <w:r>
        <w:rPr>
          <w:rFonts w:ascii="Calibri" w:cs="Calibri" w:eastAsia="Calibri" w:hAnsi="Calibri"/>
          <w:sz w:val="18"/>
          <w:szCs w:val="18"/>
          <w:color w:val="auto"/>
        </w:rPr>
        <w:t>Net loss atributable to Hoya Intermediate, LLC shareholders prior to reverse recapitalizaton</w:t>
      </w:r>
    </w:p>
    <w:p>
      <w:pPr>
        <w:spacing w:after="0" w:line="3" w:lineRule="exact"/>
        <w:rPr>
          <w:sz w:val="20"/>
          <w:szCs w:val="20"/>
          <w:color w:val="auto"/>
        </w:rPr>
      </w:pPr>
    </w:p>
    <w:p>
      <w:pPr>
        <w:ind w:left="20" w:right="980"/>
        <w:spacing w:after="0" w:line="220" w:lineRule="auto"/>
        <w:rPr>
          <w:sz w:val="20"/>
          <w:szCs w:val="20"/>
          <w:color w:val="auto"/>
        </w:rPr>
      </w:pPr>
      <w:r>
        <w:rPr>
          <w:rFonts w:ascii="Calibri" w:cs="Calibri" w:eastAsia="Calibri" w:hAnsi="Calibri"/>
          <w:sz w:val="18"/>
          <w:szCs w:val="18"/>
          <w:color w:val="auto"/>
        </w:rPr>
        <w:t>Net income atributable to redeemable noncontrolling interests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jc w:val="right"/>
              <w:ind w:right="490"/>
              <w:spacing w:after="0"/>
              <w:rPr>
                <w:sz w:val="20"/>
                <w:szCs w:val="20"/>
                <w:color w:val="auto"/>
              </w:rPr>
            </w:pPr>
            <w:r>
              <w:rPr>
                <w:rFonts w:ascii="Calibri" w:cs="Calibri" w:eastAsia="Calibri" w:hAnsi="Calibri"/>
                <w:sz w:val="18"/>
                <w:szCs w:val="18"/>
                <w:color w:val="auto"/>
              </w:rPr>
              <w:t>—</w:t>
            </w:r>
          </w:p>
        </w:tc>
        <w:tc>
          <w:tcPr>
            <w:tcW w:w="1720" w:type="dxa"/>
            <w:vAlign w:val="bottom"/>
          </w:tcPr>
          <w:p>
            <w:pPr>
              <w:jc w:val="right"/>
              <w:ind w:right="450"/>
              <w:spacing w:after="0"/>
              <w:rPr>
                <w:sz w:val="20"/>
                <w:szCs w:val="20"/>
                <w:color w:val="auto"/>
              </w:rPr>
            </w:pPr>
            <w:r>
              <w:rPr>
                <w:rFonts w:ascii="Calibri" w:cs="Calibri" w:eastAsia="Calibri" w:hAnsi="Calibri"/>
                <w:sz w:val="18"/>
                <w:szCs w:val="18"/>
                <w:color w:val="auto"/>
              </w:rPr>
              <w:t>(20,251 )</w:t>
            </w:r>
          </w:p>
        </w:tc>
        <w:tc>
          <w:tcPr>
            <w:tcW w:w="1640" w:type="dxa"/>
            <w:vAlign w:val="bottom"/>
          </w:tcPr>
          <w:p>
            <w:pPr>
              <w:jc w:val="right"/>
              <w:ind w:right="510"/>
              <w:spacing w:after="0"/>
              <w:rPr>
                <w:sz w:val="20"/>
                <w:szCs w:val="20"/>
                <w:color w:val="auto"/>
              </w:rPr>
            </w:pPr>
            <w:r>
              <w:rPr>
                <w:rFonts w:ascii="Calibri" w:cs="Calibri" w:eastAsia="Calibri" w:hAnsi="Calibri"/>
                <w:sz w:val="18"/>
                <w:szCs w:val="18"/>
                <w:color w:val="auto"/>
              </w:rPr>
              <w:t>20,251</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100 %</w:t>
            </w:r>
          </w:p>
        </w:tc>
      </w:tr>
      <w:tr>
        <w:trPr>
          <w:trHeight w:val="391"/>
        </w:trPr>
        <w:tc>
          <w:tcPr>
            <w:tcW w:w="980" w:type="dxa"/>
            <w:vAlign w:val="bottom"/>
          </w:tcPr>
          <w:p>
            <w:pPr>
              <w:jc w:val="right"/>
              <w:ind w:right="490"/>
              <w:spacing w:after="0"/>
              <w:rPr>
                <w:sz w:val="20"/>
                <w:szCs w:val="20"/>
                <w:color w:val="auto"/>
              </w:rPr>
            </w:pPr>
            <w:r>
              <w:rPr>
                <w:rFonts w:ascii="Calibri" w:cs="Calibri" w:eastAsia="Calibri" w:hAnsi="Calibri"/>
                <w:sz w:val="18"/>
                <w:szCs w:val="18"/>
                <w:color w:val="auto"/>
                <w:w w:val="92"/>
              </w:rPr>
              <w:t>1,879</w:t>
            </w:r>
          </w:p>
        </w:tc>
        <w:tc>
          <w:tcPr>
            <w:tcW w:w="1720" w:type="dxa"/>
            <w:vAlign w:val="bottom"/>
          </w:tcPr>
          <w:p>
            <w:pPr>
              <w:jc w:val="right"/>
              <w:ind w:right="530"/>
              <w:spacing w:after="0"/>
              <w:rPr>
                <w:sz w:val="20"/>
                <w:szCs w:val="20"/>
                <w:color w:val="auto"/>
              </w:rPr>
            </w:pPr>
            <w:r>
              <w:rPr>
                <w:rFonts w:ascii="Calibri" w:cs="Calibri" w:eastAsia="Calibri" w:hAnsi="Calibri"/>
                <w:sz w:val="18"/>
                <w:szCs w:val="18"/>
                <w:color w:val="auto"/>
              </w:rPr>
              <w:t>—</w:t>
            </w:r>
          </w:p>
        </w:tc>
        <w:tc>
          <w:tcPr>
            <w:tcW w:w="1640" w:type="dxa"/>
            <w:vAlign w:val="bottom"/>
          </w:tcPr>
          <w:p>
            <w:pPr>
              <w:jc w:val="right"/>
              <w:ind w:right="510"/>
              <w:spacing w:after="0"/>
              <w:rPr>
                <w:sz w:val="20"/>
                <w:szCs w:val="20"/>
                <w:color w:val="auto"/>
              </w:rPr>
            </w:pPr>
            <w:r>
              <w:rPr>
                <w:rFonts w:ascii="Calibri" w:cs="Calibri" w:eastAsia="Calibri" w:hAnsi="Calibri"/>
                <w:sz w:val="18"/>
                <w:szCs w:val="18"/>
                <w:color w:val="auto"/>
              </w:rPr>
              <w:t>1,879</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-490220</wp:posOffset>
            </wp:positionV>
            <wp:extent cx="7132320"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880" w:space="720"/>
            <w:col w:w="5640"/>
          </w:cols>
          <w:pgMar w:left="320" w:top="463" w:right="339" w:bottom="1440" w:gutter="0" w:footer="0" w:header="0"/>
          <w:type w:val="continuous"/>
        </w:sectPr>
      </w:pPr>
    </w:p>
    <w:tbl>
      <w:tblPr>
        <w:tblLayout w:type="fixed"/>
        <w:tblInd w:w="20" w:type="dxa"/>
        <w:tblCellMar>
          <w:top w:w="0" w:type="dxa"/>
          <w:left w:w="0" w:type="dxa"/>
          <w:bottom w:w="0" w:type="dxa"/>
          <w:right w:w="0" w:type="dxa"/>
        </w:tblCellMar>
      </w:tblPr>
      <w:tr>
        <w:trPr>
          <w:trHeight w:val="191"/>
        </w:trPr>
        <w:tc>
          <w:tcPr>
            <w:tcW w:w="4100" w:type="dxa"/>
            <w:vAlign w:val="bottom"/>
          </w:tcPr>
          <w:p>
            <w:pPr>
              <w:spacing w:after="0" w:line="191" w:lineRule="exact"/>
              <w:rPr>
                <w:sz w:val="20"/>
                <w:szCs w:val="20"/>
                <w:color w:val="auto"/>
              </w:rPr>
            </w:pPr>
            <w:r>
              <w:rPr>
                <w:rFonts w:ascii="Calibri" w:cs="Calibri" w:eastAsia="Calibri" w:hAnsi="Calibri"/>
                <w:sz w:val="18"/>
                <w:szCs w:val="18"/>
                <w:b w:val="1"/>
                <w:bCs w:val="1"/>
                <w:color w:val="auto"/>
              </w:rPr>
              <w:t>Net income (loss) atributable to Class A Common</w:t>
            </w:r>
          </w:p>
        </w:tc>
        <w:tc>
          <w:tcPr>
            <w:tcW w:w="1020" w:type="dxa"/>
            <w:vAlign w:val="bottom"/>
            <w:vMerge w:val="restart"/>
          </w:tcPr>
          <w:p>
            <w:pPr>
              <w:jc w:val="right"/>
              <w:ind w:right="370"/>
              <w:spacing w:after="0"/>
              <w:rPr>
                <w:sz w:val="20"/>
                <w:szCs w:val="20"/>
                <w:color w:val="auto"/>
              </w:rPr>
            </w:pPr>
            <w:r>
              <w:rPr>
                <w:rFonts w:ascii="Calibri" w:cs="Calibri" w:eastAsia="Calibri" w:hAnsi="Calibri"/>
                <w:sz w:val="18"/>
                <w:szCs w:val="18"/>
                <w:b w:val="1"/>
                <w:bCs w:val="1"/>
                <w:color w:val="auto"/>
              </w:rPr>
              <w:t>$</w:t>
            </w:r>
          </w:p>
        </w:tc>
        <w:tc>
          <w:tcPr>
            <w:tcW w:w="1000" w:type="dxa"/>
            <w:vAlign w:val="bottom"/>
            <w:vMerge w:val="restart"/>
          </w:tcPr>
          <w:p>
            <w:pPr>
              <w:jc w:val="right"/>
              <w:ind w:right="50"/>
              <w:spacing w:after="0"/>
              <w:rPr>
                <w:sz w:val="20"/>
                <w:szCs w:val="20"/>
                <w:color w:val="auto"/>
              </w:rPr>
            </w:pPr>
            <w:r>
              <w:rPr>
                <w:rFonts w:ascii="Calibri" w:cs="Calibri" w:eastAsia="Calibri" w:hAnsi="Calibri"/>
                <w:sz w:val="18"/>
                <w:szCs w:val="18"/>
                <w:b w:val="1"/>
                <w:bCs w:val="1"/>
                <w:color w:val="auto"/>
              </w:rPr>
              <w:t>1,259</w:t>
            </w:r>
          </w:p>
        </w:tc>
        <w:tc>
          <w:tcPr>
            <w:tcW w:w="800" w:type="dxa"/>
            <w:vAlign w:val="bottom"/>
            <w:vMerge w:val="restart"/>
          </w:tcPr>
          <w:p>
            <w:pPr>
              <w:jc w:val="right"/>
              <w:ind w:right="470"/>
              <w:spacing w:after="0"/>
              <w:rPr>
                <w:sz w:val="20"/>
                <w:szCs w:val="20"/>
                <w:color w:val="auto"/>
              </w:rPr>
            </w:pPr>
            <w:r>
              <w:rPr>
                <w:rFonts w:ascii="Calibri" w:cs="Calibri" w:eastAsia="Calibri" w:hAnsi="Calibri"/>
                <w:sz w:val="18"/>
                <w:szCs w:val="18"/>
                <w:b w:val="1"/>
                <w:bCs w:val="1"/>
                <w:color w:val="auto"/>
              </w:rPr>
              <w:t>$</w:t>
            </w:r>
          </w:p>
        </w:tc>
        <w:tc>
          <w:tcPr>
            <w:tcW w:w="1560" w:type="dxa"/>
            <w:vAlign w:val="bottom"/>
            <w:vMerge w:val="restart"/>
          </w:tcPr>
          <w:p>
            <w:pPr>
              <w:ind w:left="580"/>
              <w:spacing w:after="0"/>
              <w:rPr>
                <w:sz w:val="20"/>
                <w:szCs w:val="20"/>
                <w:color w:val="auto"/>
              </w:rPr>
            </w:pPr>
            <w:r>
              <w:rPr>
                <w:rFonts w:ascii="Calibri" w:cs="Calibri" w:eastAsia="Calibri" w:hAnsi="Calibri"/>
                <w:sz w:val="18"/>
                <w:szCs w:val="18"/>
                <w:b w:val="1"/>
                <w:bCs w:val="1"/>
                <w:color w:val="auto"/>
              </w:rPr>
              <w:t>—   $</w:t>
            </w:r>
          </w:p>
        </w:tc>
        <w:tc>
          <w:tcPr>
            <w:tcW w:w="1440" w:type="dxa"/>
            <w:vAlign w:val="bottom"/>
            <w:vMerge w:val="restart"/>
          </w:tcPr>
          <w:p>
            <w:pPr>
              <w:jc w:val="right"/>
              <w:ind w:right="510"/>
              <w:spacing w:after="0"/>
              <w:rPr>
                <w:sz w:val="20"/>
                <w:szCs w:val="20"/>
                <w:color w:val="auto"/>
              </w:rPr>
            </w:pPr>
            <w:r>
              <w:rPr>
                <w:rFonts w:ascii="Calibri" w:cs="Calibri" w:eastAsia="Calibri" w:hAnsi="Calibri"/>
                <w:sz w:val="18"/>
                <w:szCs w:val="18"/>
                <w:b w:val="1"/>
                <w:bCs w:val="1"/>
                <w:color w:val="auto"/>
              </w:rPr>
              <w:t>1,259</w:t>
            </w:r>
          </w:p>
        </w:tc>
        <w:tc>
          <w:tcPr>
            <w:tcW w:w="104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100 %</w:t>
            </w:r>
          </w:p>
        </w:tc>
        <w:tc>
          <w:tcPr>
            <w:tcW w:w="0" w:type="dxa"/>
            <w:vAlign w:val="bottom"/>
          </w:tcPr>
          <w:p>
            <w:pPr>
              <w:spacing w:after="0"/>
              <w:rPr>
                <w:sz w:val="1"/>
                <w:szCs w:val="1"/>
                <w:color w:val="auto"/>
              </w:rPr>
            </w:pPr>
          </w:p>
        </w:tc>
      </w:tr>
      <w:tr>
        <w:trPr>
          <w:trHeight w:val="215"/>
        </w:trPr>
        <w:tc>
          <w:tcPr>
            <w:tcW w:w="4100" w:type="dxa"/>
            <w:vAlign w:val="bottom"/>
          </w:tcPr>
          <w:p>
            <w:pPr>
              <w:spacing w:after="0" w:line="215" w:lineRule="exact"/>
              <w:rPr>
                <w:sz w:val="20"/>
                <w:szCs w:val="20"/>
                <w:color w:val="auto"/>
              </w:rPr>
            </w:pPr>
            <w:r>
              <w:rPr>
                <w:rFonts w:ascii="Calibri" w:cs="Calibri" w:eastAsia="Calibri" w:hAnsi="Calibri"/>
                <w:sz w:val="18"/>
                <w:szCs w:val="18"/>
                <w:b w:val="1"/>
                <w:bCs w:val="1"/>
                <w:color w:val="auto"/>
              </w:rPr>
              <w:t>Stockholders</w:t>
            </w:r>
          </w:p>
        </w:tc>
        <w:tc>
          <w:tcPr>
            <w:tcW w:w="10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266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29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9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23"/>
                <w:szCs w:val="23"/>
                <w:color w:val="auto"/>
              </w:rPr>
            </w:pPr>
          </w:p>
        </w:tc>
        <w:tc>
          <w:tcPr>
            <w:tcW w:w="1300" w:type="dxa"/>
            <w:vAlign w:val="bottom"/>
            <w:gridSpan w:val="2"/>
          </w:tcPr>
          <w:p>
            <w:pPr>
              <w:jc w:val="right"/>
              <w:ind w:right="10"/>
              <w:spacing w:after="0"/>
              <w:rPr>
                <w:sz w:val="20"/>
                <w:szCs w:val="20"/>
                <w:color w:val="auto"/>
              </w:rPr>
            </w:pPr>
            <w:r>
              <w:rPr>
                <w:rFonts w:ascii="Calibri" w:cs="Calibri" w:eastAsia="Calibri" w:hAnsi="Calibri"/>
                <w:sz w:val="18"/>
                <w:szCs w:val="18"/>
                <w:b w:val="1"/>
                <w:bCs w:val="1"/>
                <w:color w:val="auto"/>
              </w:rPr>
              <w:t>2021</w:t>
            </w: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vMerge w:val="restart"/>
          </w:tcPr>
          <w:p>
            <w:pPr>
              <w:jc w:val="right"/>
              <w:ind w:right="450"/>
              <w:spacing w:after="0"/>
              <w:rPr>
                <w:sz w:val="20"/>
                <w:szCs w:val="20"/>
                <w:color w:val="auto"/>
              </w:rPr>
            </w:pPr>
            <w:r>
              <w:rPr>
                <w:rFonts w:ascii="Calibri" w:cs="Calibri" w:eastAsia="Calibri" w:hAnsi="Calibri"/>
                <w:sz w:val="18"/>
                <w:szCs w:val="18"/>
                <w:b w:val="1"/>
                <w:bCs w:val="1"/>
                <w:color w:val="auto"/>
              </w:rPr>
              <w:t>Change</w:t>
            </w:r>
          </w:p>
        </w:tc>
        <w:tc>
          <w:tcPr>
            <w:tcW w:w="180" w:type="dxa"/>
            <w:vAlign w:val="bottom"/>
          </w:tcPr>
          <w:p>
            <w:pPr>
              <w:spacing w:after="0"/>
              <w:rPr>
                <w:sz w:val="23"/>
                <w:szCs w:val="23"/>
                <w:color w:val="auto"/>
              </w:rPr>
            </w:pPr>
          </w:p>
        </w:tc>
        <w:tc>
          <w:tcPr>
            <w:tcW w:w="1860" w:type="dxa"/>
            <w:vAlign w:val="bottom"/>
            <w:gridSpan w:val="2"/>
            <w:vMerge w:val="restart"/>
          </w:tcPr>
          <w:p>
            <w:pPr>
              <w:jc w:val="right"/>
              <w:ind w:right="72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3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Revenues:</w:t>
            </w:r>
          </w:p>
        </w:tc>
        <w:tc>
          <w:tcPr>
            <w:tcW w:w="10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line="215" w:lineRule="exact"/>
              <w:rPr>
                <w:sz w:val="20"/>
                <w:szCs w:val="20"/>
                <w:color w:val="auto"/>
              </w:rPr>
            </w:pPr>
            <w:r>
              <w:rPr>
                <w:rFonts w:ascii="Calibri" w:cs="Calibri" w:eastAsia="Calibri" w:hAnsi="Calibri"/>
                <w:sz w:val="18"/>
                <w:szCs w:val="18"/>
                <w:color w:val="auto"/>
              </w:rPr>
              <w:t>Marketplace</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110,516</w:t>
            </w:r>
          </w:p>
        </w:tc>
        <w:tc>
          <w:tcPr>
            <w:tcW w:w="130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21,993</w:t>
            </w:r>
          </w:p>
        </w:tc>
        <w:tc>
          <w:tcPr>
            <w:tcW w:w="5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88,523</w:t>
            </w:r>
          </w:p>
        </w:tc>
        <w:tc>
          <w:tcPr>
            <w:tcW w:w="20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403 %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Resale</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20,256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2,121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18,135</w:t>
            </w: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855 %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revenues</w:t>
            </w:r>
          </w:p>
        </w:tc>
        <w:tc>
          <w:tcPr>
            <w:tcW w:w="1040" w:type="dxa"/>
            <w:vAlign w:val="bottom"/>
          </w:tcPr>
          <w:p>
            <w:pPr>
              <w:jc w:val="right"/>
              <w:ind w:right="830"/>
              <w:spacing w:after="0" w:line="210" w:lineRule="exact"/>
              <w:rPr>
                <w:sz w:val="20"/>
                <w:szCs w:val="20"/>
                <w:color w:val="auto"/>
              </w:rPr>
            </w:pPr>
            <w:r>
              <w:rPr>
                <w:rFonts w:ascii="Calibri" w:cs="Calibri" w:eastAsia="Calibri" w:hAnsi="Calibri"/>
                <w:sz w:val="18"/>
                <w:szCs w:val="18"/>
                <w:b w:val="1"/>
                <w:bCs w:val="1"/>
                <w:color w:val="auto"/>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130,772</w:t>
            </w:r>
          </w:p>
        </w:tc>
        <w:tc>
          <w:tcPr>
            <w:tcW w:w="220" w:type="dxa"/>
            <w:vAlign w:val="bottom"/>
          </w:tcPr>
          <w:p>
            <w:pPr>
              <w:spacing w:after="0"/>
              <w:rPr>
                <w:sz w:val="18"/>
                <w:szCs w:val="18"/>
                <w:color w:val="auto"/>
              </w:rPr>
            </w:pPr>
          </w:p>
        </w:tc>
        <w:tc>
          <w:tcPr>
            <w:tcW w:w="1080" w:type="dxa"/>
            <w:vAlign w:val="bottom"/>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24,114</w:t>
            </w:r>
          </w:p>
        </w:tc>
        <w:tc>
          <w:tcPr>
            <w:tcW w:w="180" w:type="dxa"/>
            <w:vAlign w:val="bottom"/>
          </w:tcPr>
          <w:p>
            <w:pPr>
              <w:spacing w:after="0"/>
              <w:rPr>
                <w:sz w:val="18"/>
                <w:szCs w:val="18"/>
                <w:color w:val="auto"/>
              </w:rPr>
            </w:pPr>
          </w:p>
        </w:tc>
        <w:tc>
          <w:tcPr>
            <w:tcW w:w="320" w:type="dxa"/>
            <w:vAlign w:val="bottom"/>
          </w:tcPr>
          <w:p>
            <w:pPr>
              <w:jc w:val="right"/>
              <w:ind w:right="130"/>
              <w:spacing w:after="0" w:line="210" w:lineRule="exact"/>
              <w:rPr>
                <w:sz w:val="20"/>
                <w:szCs w:val="20"/>
                <w:color w:val="auto"/>
              </w:rPr>
            </w:pPr>
            <w:r>
              <w:rPr>
                <w:rFonts w:ascii="Calibri" w:cs="Calibri" w:eastAsia="Calibri" w:hAnsi="Calibri"/>
                <w:sz w:val="18"/>
                <w:szCs w:val="18"/>
                <w:b w:val="1"/>
                <w:bCs w:val="1"/>
                <w:color w:val="auto"/>
                <w:w w:val="87"/>
              </w:rPr>
              <w:t>$</w:t>
            </w:r>
          </w:p>
        </w:tc>
        <w:tc>
          <w:tcPr>
            <w:tcW w:w="13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106,658</w:t>
            </w:r>
          </w:p>
        </w:tc>
        <w:tc>
          <w:tcPr>
            <w:tcW w:w="180" w:type="dxa"/>
            <w:vAlign w:val="bottom"/>
          </w:tcPr>
          <w:p>
            <w:pPr>
              <w:spacing w:after="0"/>
              <w:rPr>
                <w:sz w:val="18"/>
                <w:szCs w:val="18"/>
                <w:color w:val="auto"/>
              </w:rPr>
            </w:pPr>
          </w:p>
        </w:tc>
        <w:tc>
          <w:tcPr>
            <w:tcW w:w="186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b w:val="1"/>
                <w:bCs w:val="1"/>
                <w:color w:val="auto"/>
              </w:rPr>
              <w:t>442 %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797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0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Total revenues increased $106.7 million, or 442% for the three months ended March 31, 2022 compared to the three months ended March 31, 2021. The increase, which occurred in both our Marketplace and Resale segments, resulted from an increase in new orders processed resultng from the resumpton of live events. The pandemic and resultng mitgaton measures had a signifcant adverse efect on order volume and event cancellatons during the three months ended March 31, 2021. In the second quarter of 2021, most local governments began to lif large scale restrictons on live events such that there was a signifcant increase in live events held in the frst quarter of 2022 as compared to the frst quarter of 2021.</w:t>
      </w:r>
    </w:p>
    <w:p>
      <w:pPr>
        <w:spacing w:after="0" w:line="9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Calibri" w:cs="Calibri" w:eastAsia="Calibri" w:hAnsi="Calibri"/>
                <w:sz w:val="18"/>
                <w:szCs w:val="18"/>
                <w:i w:val="1"/>
                <w:iCs w:val="1"/>
                <w:color w:val="auto"/>
              </w:rPr>
              <w:t>Marketplace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680" w:type="dxa"/>
            <w:vAlign w:val="bottom"/>
            <w:gridSpan w:val="8"/>
          </w:tcPr>
          <w:p>
            <w:pPr>
              <w:spacing w:after="0"/>
              <w:rPr>
                <w:sz w:val="20"/>
                <w:szCs w:val="20"/>
                <w:color w:val="auto"/>
              </w:rPr>
            </w:pPr>
            <w:r>
              <w:rPr>
                <w:rFonts w:ascii="Calibri" w:cs="Calibri" w:eastAsia="Calibri" w:hAnsi="Calibri"/>
                <w:sz w:val="18"/>
                <w:szCs w:val="18"/>
                <w:color w:val="auto"/>
                <w:w w:val="97"/>
              </w:rPr>
              <w:t>The following table presents revenues in our Marketplace segment by event category (in thousands, except percentages):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90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9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2021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Change</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vMerge w:val="restart"/>
          </w:tcPr>
          <w:p>
            <w:pPr>
              <w:jc w:val="right"/>
              <w:ind w:right="72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94"/>
        </w:trPr>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3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Revenues:</w:t>
            </w:r>
          </w:p>
        </w:tc>
        <w:tc>
          <w:tcPr>
            <w:tcW w:w="10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58,673</w:t>
            </w:r>
          </w:p>
        </w:tc>
        <w:tc>
          <w:tcPr>
            <w:tcW w:w="130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7,014</w:t>
            </w:r>
          </w:p>
        </w:tc>
        <w:tc>
          <w:tcPr>
            <w:tcW w:w="126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51,659</w:t>
            </w:r>
          </w:p>
        </w:tc>
        <w:tc>
          <w:tcPr>
            <w:tcW w:w="20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737 %</w:t>
            </w:r>
          </w:p>
        </w:tc>
        <w:tc>
          <w:tcPr>
            <w:tcW w:w="0" w:type="dxa"/>
            <w:vAlign w:val="bottom"/>
          </w:tcPr>
          <w:p>
            <w:pPr>
              <w:spacing w:after="0"/>
              <w:rPr>
                <w:sz w:val="1"/>
                <w:szCs w:val="1"/>
                <w:color w:val="auto"/>
              </w:rPr>
            </w:pPr>
          </w:p>
        </w:tc>
      </w:tr>
      <w:tr>
        <w:trPr>
          <w:trHeight w:val="217"/>
        </w:trPr>
        <w:tc>
          <w:tcPr>
            <w:tcW w:w="3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Sports</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38,915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14,138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9"/>
              </w:rPr>
              <w:t>24,777</w:t>
            </w:r>
          </w:p>
        </w:tc>
        <w:tc>
          <w:tcPr>
            <w:tcW w:w="2040" w:type="dxa"/>
            <w:vAlign w:val="bottom"/>
            <w:gridSpan w:val="3"/>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175 %</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12,615</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783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w w:val="99"/>
              </w:rPr>
              <w:t>11,832</w:t>
            </w:r>
          </w:p>
        </w:tc>
        <w:tc>
          <w:tcPr>
            <w:tcW w:w="20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1,511 %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313</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255</w:t>
            </w: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440 %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Marketplace revenues</w:t>
            </w:r>
          </w:p>
        </w:tc>
        <w:tc>
          <w:tcPr>
            <w:tcW w:w="1040" w:type="dxa"/>
            <w:vAlign w:val="bottom"/>
          </w:tcPr>
          <w:p>
            <w:pPr>
              <w:jc w:val="right"/>
              <w:ind w:right="830"/>
              <w:spacing w:after="0" w:line="210" w:lineRule="exact"/>
              <w:rPr>
                <w:sz w:val="20"/>
                <w:szCs w:val="20"/>
                <w:color w:val="auto"/>
              </w:rPr>
            </w:pPr>
            <w:r>
              <w:rPr>
                <w:rFonts w:ascii="Calibri" w:cs="Calibri" w:eastAsia="Calibri" w:hAnsi="Calibri"/>
                <w:sz w:val="18"/>
                <w:szCs w:val="18"/>
                <w:b w:val="1"/>
                <w:bCs w:val="1"/>
                <w:color w:val="auto"/>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110,516</w:t>
            </w:r>
          </w:p>
        </w:tc>
        <w:tc>
          <w:tcPr>
            <w:tcW w:w="220" w:type="dxa"/>
            <w:vAlign w:val="bottom"/>
          </w:tcPr>
          <w:p>
            <w:pPr>
              <w:spacing w:after="0"/>
              <w:rPr>
                <w:sz w:val="18"/>
                <w:szCs w:val="18"/>
                <w:color w:val="auto"/>
              </w:rPr>
            </w:pPr>
          </w:p>
        </w:tc>
        <w:tc>
          <w:tcPr>
            <w:tcW w:w="1080" w:type="dxa"/>
            <w:vAlign w:val="bottom"/>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21,993</w:t>
            </w:r>
          </w:p>
        </w:tc>
        <w:tc>
          <w:tcPr>
            <w:tcW w:w="180" w:type="dxa"/>
            <w:vAlign w:val="bottom"/>
          </w:tcPr>
          <w:p>
            <w:pPr>
              <w:spacing w:after="0"/>
              <w:rPr>
                <w:sz w:val="18"/>
                <w:szCs w:val="18"/>
                <w:color w:val="auto"/>
              </w:rPr>
            </w:pPr>
          </w:p>
        </w:tc>
        <w:tc>
          <w:tcPr>
            <w:tcW w:w="1080" w:type="dxa"/>
            <w:vAlign w:val="bottom"/>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w w:val="99"/>
              </w:rPr>
              <w:t>88,523</w:t>
            </w:r>
          </w:p>
        </w:tc>
        <w:tc>
          <w:tcPr>
            <w:tcW w:w="180" w:type="dxa"/>
            <w:vAlign w:val="bottom"/>
          </w:tcPr>
          <w:p>
            <w:pPr>
              <w:spacing w:after="0"/>
              <w:rPr>
                <w:sz w:val="18"/>
                <w:szCs w:val="18"/>
                <w:color w:val="auto"/>
              </w:rPr>
            </w:pPr>
          </w:p>
        </w:tc>
        <w:tc>
          <w:tcPr>
            <w:tcW w:w="186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b w:val="1"/>
                <w:bCs w:val="1"/>
                <w:color w:val="auto"/>
              </w:rPr>
              <w:t>403 %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79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0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Marketplace revenues increased $88.5 million, or 403% during the three months ended March 31, 2022 compared to the three months ended March 31, 2021. The increase in Marketplace revenues resulted primarily from an overall increase in new orders processed on our Marketplace platorm.</w:t>
      </w:r>
    </w:p>
    <w:p>
      <w:pPr>
        <w:spacing w:after="0" w:line="138"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Total Marketplace orders increased 1.7 million, or 589%, during the three months ended March 31, 2022 compared to the three months ended March 31, 2021. The increase in orders resulted from the increase in events held afer restrictons on fan atendance due to the COVID-19 pandemic were reduced or lifed. These increases occurred across all event categories.</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Cancellaton charges, which are recognized as a reducton to revenues, were $16.0 million for the three months ended March 31, 2022, compared to $1.4 million for the three months ended March 31, 2021. Cancellaton charges for the three months ended March 31, 2022 were higher than the three months ended March 31, 2021 due to an overall increase in volume, MLB cancellatons due to the now setled labor dispute, and other large concert tour cancellatons.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by business model consisted of the following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29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9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6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2021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vMerge w:val="restart"/>
          </w:tcPr>
          <w:p>
            <w:pPr>
              <w:jc w:val="right"/>
              <w:ind w:right="450"/>
              <w:spacing w:after="0"/>
              <w:rPr>
                <w:sz w:val="20"/>
                <w:szCs w:val="20"/>
                <w:color w:val="auto"/>
              </w:rPr>
            </w:pPr>
            <w:r>
              <w:rPr>
                <w:rFonts w:ascii="Calibri" w:cs="Calibri" w:eastAsia="Calibri" w:hAnsi="Calibri"/>
                <w:sz w:val="18"/>
                <w:szCs w:val="18"/>
                <w:b w:val="1"/>
                <w:bCs w:val="1"/>
                <w:color w:val="auto"/>
              </w:rPr>
              <w:t>Change</w:t>
            </w:r>
          </w:p>
        </w:tc>
        <w:tc>
          <w:tcPr>
            <w:tcW w:w="180" w:type="dxa"/>
            <w:vAlign w:val="bottom"/>
          </w:tcPr>
          <w:p>
            <w:pPr>
              <w:spacing w:after="0"/>
              <w:rPr>
                <w:sz w:val="23"/>
                <w:szCs w:val="23"/>
                <w:color w:val="auto"/>
              </w:rPr>
            </w:pPr>
          </w:p>
        </w:tc>
        <w:tc>
          <w:tcPr>
            <w:tcW w:w="1860" w:type="dxa"/>
            <w:vAlign w:val="bottom"/>
            <w:gridSpan w:val="2"/>
            <w:vMerge w:val="restart"/>
          </w:tcPr>
          <w:p>
            <w:pPr>
              <w:jc w:val="right"/>
              <w:ind w:right="72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390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Revenues:</w:t>
            </w:r>
          </w:p>
        </w:tc>
        <w:tc>
          <w:tcPr>
            <w:tcW w:w="10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104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83,666</w:t>
            </w:r>
          </w:p>
        </w:tc>
        <w:tc>
          <w:tcPr>
            <w:tcW w:w="130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18,196</w:t>
            </w:r>
          </w:p>
        </w:tc>
        <w:tc>
          <w:tcPr>
            <w:tcW w:w="5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65,470</w:t>
            </w:r>
          </w:p>
        </w:tc>
        <w:tc>
          <w:tcPr>
            <w:tcW w:w="204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360 %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Label</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26,850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3,797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23,053</w:t>
            </w: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607 %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Marketplace revenues</w:t>
            </w:r>
          </w:p>
        </w:tc>
        <w:tc>
          <w:tcPr>
            <w:tcW w:w="1040" w:type="dxa"/>
            <w:vAlign w:val="bottom"/>
          </w:tcPr>
          <w:p>
            <w:pPr>
              <w:jc w:val="right"/>
              <w:ind w:right="830"/>
              <w:spacing w:after="0" w:line="210" w:lineRule="exact"/>
              <w:rPr>
                <w:sz w:val="20"/>
                <w:szCs w:val="20"/>
                <w:color w:val="auto"/>
              </w:rPr>
            </w:pPr>
            <w:r>
              <w:rPr>
                <w:rFonts w:ascii="Calibri" w:cs="Calibri" w:eastAsia="Calibri" w:hAnsi="Calibri"/>
                <w:sz w:val="18"/>
                <w:szCs w:val="18"/>
                <w:b w:val="1"/>
                <w:bCs w:val="1"/>
                <w:color w:val="auto"/>
              </w:rPr>
              <w:t>$</w:t>
            </w:r>
          </w:p>
        </w:tc>
        <w:tc>
          <w:tcPr>
            <w:tcW w:w="62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110,516</w:t>
            </w:r>
          </w:p>
        </w:tc>
        <w:tc>
          <w:tcPr>
            <w:tcW w:w="220" w:type="dxa"/>
            <w:vAlign w:val="bottom"/>
          </w:tcPr>
          <w:p>
            <w:pPr>
              <w:spacing w:after="0"/>
              <w:rPr>
                <w:sz w:val="18"/>
                <w:szCs w:val="18"/>
                <w:color w:val="auto"/>
              </w:rPr>
            </w:pPr>
          </w:p>
        </w:tc>
        <w:tc>
          <w:tcPr>
            <w:tcW w:w="1080" w:type="dxa"/>
            <w:vAlign w:val="bottom"/>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21,993</w:t>
            </w:r>
          </w:p>
        </w:tc>
        <w:tc>
          <w:tcPr>
            <w:tcW w:w="180" w:type="dxa"/>
            <w:vAlign w:val="bottom"/>
          </w:tcPr>
          <w:p>
            <w:pPr>
              <w:spacing w:after="0"/>
              <w:rPr>
                <w:sz w:val="18"/>
                <w:szCs w:val="18"/>
                <w:color w:val="auto"/>
              </w:rPr>
            </w:pPr>
          </w:p>
        </w:tc>
        <w:tc>
          <w:tcPr>
            <w:tcW w:w="320" w:type="dxa"/>
            <w:vAlign w:val="bottom"/>
          </w:tcPr>
          <w:p>
            <w:pPr>
              <w:jc w:val="right"/>
              <w:ind w:right="130"/>
              <w:spacing w:after="0" w:line="210"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88,523</w:t>
            </w:r>
          </w:p>
        </w:tc>
        <w:tc>
          <w:tcPr>
            <w:tcW w:w="180" w:type="dxa"/>
            <w:vAlign w:val="bottom"/>
          </w:tcPr>
          <w:p>
            <w:pPr>
              <w:spacing w:after="0"/>
              <w:rPr>
                <w:sz w:val="18"/>
                <w:szCs w:val="18"/>
                <w:color w:val="auto"/>
              </w:rPr>
            </w:pPr>
          </w:p>
        </w:tc>
        <w:tc>
          <w:tcPr>
            <w:tcW w:w="186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b w:val="1"/>
                <w:bCs w:val="1"/>
                <w:color w:val="auto"/>
              </w:rPr>
              <w:t>403 %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-170815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797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10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increases in revenue from both Owned Propertes and Private Label during the three months ended March 31, 2022 compared to the three months ended March 31, 2021 resulted primarily from the increase in order volume as COVID-19 restrictons were lifed and more events occurred with larger audiences.</w:t>
      </w:r>
    </w:p>
    <w:p>
      <w:pPr>
        <w:spacing w:after="0" w:line="1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Revenue for our Resale segment increased $18.1 million during the three months ended March 31, 2022 compared to the three months ended March 31, 2021. The increase resulted primarily from higher order volume. Total Resale orders increased 0.1 million, or 423%, during the three months ended March 31, 2022 compared to the three months ended March 31, 2021. Cancellaton charges, classifed as a reducton of revenue, negatvely impacted Resale revenue by $0.2 million and $1.1 million for the three months ended March 31, 2022 and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298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9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560" w:type="dxa"/>
            <w:vAlign w:val="bottom"/>
          </w:tcPr>
          <w:p>
            <w:pPr>
              <w:spacing w:after="0"/>
              <w:rPr>
                <w:sz w:val="23"/>
                <w:szCs w:val="23"/>
                <w:color w:val="auto"/>
              </w:rPr>
            </w:pPr>
          </w:p>
        </w:tc>
        <w:tc>
          <w:tcPr>
            <w:tcW w:w="1340" w:type="dxa"/>
            <w:vAlign w:val="bottom"/>
            <w:gridSpan w:val="2"/>
          </w:tcPr>
          <w:p>
            <w:pPr>
              <w:jc w:val="right"/>
              <w:ind w:right="50"/>
              <w:spacing w:after="0"/>
              <w:rPr>
                <w:sz w:val="20"/>
                <w:szCs w:val="20"/>
                <w:color w:val="auto"/>
              </w:rPr>
            </w:pPr>
            <w:r>
              <w:rPr>
                <w:rFonts w:ascii="Calibri" w:cs="Calibri" w:eastAsia="Calibri" w:hAnsi="Calibri"/>
                <w:sz w:val="18"/>
                <w:szCs w:val="18"/>
                <w:b w:val="1"/>
                <w:bCs w:val="1"/>
                <w:color w:val="auto"/>
              </w:rPr>
              <w:t>2021</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vMerge w:val="restart"/>
          </w:tcPr>
          <w:p>
            <w:pPr>
              <w:jc w:val="right"/>
              <w:ind w:right="430"/>
              <w:spacing w:after="0"/>
              <w:rPr>
                <w:sz w:val="20"/>
                <w:szCs w:val="20"/>
                <w:color w:val="auto"/>
              </w:rPr>
            </w:pPr>
            <w:r>
              <w:rPr>
                <w:rFonts w:ascii="Calibri" w:cs="Calibri" w:eastAsia="Calibri" w:hAnsi="Calibri"/>
                <w:sz w:val="18"/>
                <w:szCs w:val="18"/>
                <w:b w:val="1"/>
                <w:bCs w:val="1"/>
                <w:color w:val="auto"/>
              </w:rPr>
              <w:t>Change</w:t>
            </w:r>
          </w:p>
        </w:tc>
        <w:tc>
          <w:tcPr>
            <w:tcW w:w="180" w:type="dxa"/>
            <w:vAlign w:val="bottom"/>
          </w:tcPr>
          <w:p>
            <w:pPr>
              <w:spacing w:after="0"/>
              <w:rPr>
                <w:sz w:val="23"/>
                <w:szCs w:val="23"/>
                <w:color w:val="auto"/>
              </w:rPr>
            </w:pPr>
          </w:p>
        </w:tc>
        <w:tc>
          <w:tcPr>
            <w:tcW w:w="1880" w:type="dxa"/>
            <w:vAlign w:val="bottom"/>
            <w:gridSpan w:val="2"/>
            <w:vMerge w:val="restart"/>
          </w:tcPr>
          <w:p>
            <w:pPr>
              <w:jc w:val="right"/>
              <w:ind w:right="72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95"/>
        </w:trPr>
        <w:tc>
          <w:tcPr>
            <w:tcW w:w="3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39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8"/>
                <w:szCs w:val="18"/>
                <w:b w:val="1"/>
                <w:bCs w:val="1"/>
                <w:color w:val="auto"/>
              </w:rPr>
              <w:t>Cost of revenues:</w:t>
            </w:r>
          </w:p>
        </w:tc>
        <w:tc>
          <w:tcPr>
            <w:tcW w:w="10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line="215" w:lineRule="exact"/>
              <w:rPr>
                <w:sz w:val="20"/>
                <w:szCs w:val="20"/>
                <w:color w:val="auto"/>
              </w:rPr>
            </w:pPr>
            <w:r>
              <w:rPr>
                <w:rFonts w:ascii="Calibri" w:cs="Calibri" w:eastAsia="Calibri" w:hAnsi="Calibri"/>
                <w:sz w:val="18"/>
                <w:szCs w:val="18"/>
                <w:color w:val="auto"/>
              </w:rPr>
              <w:t>Marketplace</w:t>
            </w:r>
          </w:p>
        </w:tc>
        <w:tc>
          <w:tcPr>
            <w:tcW w:w="1080" w:type="dxa"/>
            <w:vAlign w:val="bottom"/>
          </w:tcPr>
          <w:p>
            <w:pPr>
              <w:jc w:val="right"/>
              <w:ind w:right="89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16,409</w:t>
            </w:r>
          </w:p>
        </w:tc>
        <w:tc>
          <w:tcPr>
            <w:tcW w:w="1340" w:type="dxa"/>
            <w:vAlign w:val="bottom"/>
            <w:gridSpan w:val="2"/>
          </w:tcPr>
          <w:p>
            <w:pPr>
              <w:jc w:val="right"/>
              <w:ind w:right="93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2,700</w:t>
            </w:r>
          </w:p>
        </w:tc>
        <w:tc>
          <w:tcPr>
            <w:tcW w:w="50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13,709</w:t>
            </w:r>
          </w:p>
        </w:tc>
        <w:tc>
          <w:tcPr>
            <w:tcW w:w="206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508 %</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Resale</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15,755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1,225</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14,530</w:t>
            </w: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1,186 %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cost of revenues</w:t>
            </w:r>
          </w:p>
        </w:tc>
        <w:tc>
          <w:tcPr>
            <w:tcW w:w="1080" w:type="dxa"/>
            <w:vAlign w:val="bottom"/>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32,164</w:t>
            </w:r>
          </w:p>
        </w:tc>
        <w:tc>
          <w:tcPr>
            <w:tcW w:w="220" w:type="dxa"/>
            <w:vAlign w:val="bottom"/>
          </w:tcPr>
          <w:p>
            <w:pPr>
              <w:spacing w:after="0"/>
              <w:rPr>
                <w:sz w:val="18"/>
                <w:szCs w:val="18"/>
                <w:color w:val="auto"/>
              </w:rPr>
            </w:pPr>
          </w:p>
        </w:tc>
        <w:tc>
          <w:tcPr>
            <w:tcW w:w="1120" w:type="dxa"/>
            <w:vAlign w:val="bottom"/>
          </w:tcPr>
          <w:p>
            <w:pPr>
              <w:jc w:val="right"/>
              <w:ind w:right="930"/>
              <w:spacing w:after="0" w:line="210" w:lineRule="exact"/>
              <w:rPr>
                <w:sz w:val="20"/>
                <w:szCs w:val="20"/>
                <w:color w:val="auto"/>
              </w:rPr>
            </w:pPr>
            <w:r>
              <w:rPr>
                <w:rFonts w:ascii="Calibri" w:cs="Calibri" w:eastAsia="Calibri" w:hAnsi="Calibri"/>
                <w:sz w:val="18"/>
                <w:szCs w:val="18"/>
                <w:b w:val="1"/>
                <w:bCs w:val="1"/>
                <w:color w:val="auto"/>
                <w:w w:val="87"/>
              </w:rPr>
              <w:t>$</w:t>
            </w:r>
          </w:p>
        </w:tc>
        <w:tc>
          <w:tcPr>
            <w:tcW w:w="5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3,925</w:t>
            </w:r>
          </w:p>
        </w:tc>
        <w:tc>
          <w:tcPr>
            <w:tcW w:w="180" w:type="dxa"/>
            <w:vAlign w:val="bottom"/>
          </w:tcPr>
          <w:p>
            <w:pPr>
              <w:spacing w:after="0"/>
              <w:rPr>
                <w:sz w:val="18"/>
                <w:szCs w:val="18"/>
                <w:color w:val="auto"/>
              </w:rPr>
            </w:pPr>
          </w:p>
        </w:tc>
        <w:tc>
          <w:tcPr>
            <w:tcW w:w="320" w:type="dxa"/>
            <w:vAlign w:val="bottom"/>
          </w:tcPr>
          <w:p>
            <w:pPr>
              <w:jc w:val="right"/>
              <w:ind w:right="130"/>
              <w:spacing w:after="0" w:line="210" w:lineRule="exact"/>
              <w:rPr>
                <w:sz w:val="20"/>
                <w:szCs w:val="20"/>
                <w:color w:val="auto"/>
              </w:rPr>
            </w:pPr>
            <w:r>
              <w:rPr>
                <w:rFonts w:ascii="Calibri" w:cs="Calibri" w:eastAsia="Calibri" w:hAnsi="Calibri"/>
                <w:sz w:val="18"/>
                <w:szCs w:val="18"/>
                <w:b w:val="1"/>
                <w:bCs w:val="1"/>
                <w:color w:val="auto"/>
                <w:w w:val="87"/>
              </w:rPr>
              <w:t>$</w:t>
            </w:r>
          </w:p>
        </w:tc>
        <w:tc>
          <w:tcPr>
            <w:tcW w:w="12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28,239</w:t>
            </w:r>
          </w:p>
        </w:tc>
        <w:tc>
          <w:tcPr>
            <w:tcW w:w="180" w:type="dxa"/>
            <w:vAlign w:val="bottom"/>
          </w:tcPr>
          <w:p>
            <w:pPr>
              <w:spacing w:after="0"/>
              <w:rPr>
                <w:sz w:val="18"/>
                <w:szCs w:val="18"/>
                <w:color w:val="auto"/>
              </w:rPr>
            </w:pPr>
          </w:p>
        </w:tc>
        <w:tc>
          <w:tcPr>
            <w:tcW w:w="188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b w:val="1"/>
                <w:bCs w:val="1"/>
                <w:color w:val="auto"/>
              </w:rPr>
              <w:t>719 %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-170815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179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Calibri" w:cs="Calibri" w:eastAsia="Calibri" w:hAnsi="Calibri"/>
          <w:sz w:val="17"/>
          <w:szCs w:val="17"/>
          <w:color w:val="auto"/>
        </w:rPr>
        <w:t>Total cost of revenues increased $28.2 million, or 719%, for the three months ended March 31, 2022 compared to the three months ended March 31, 2021.</w:t>
      </w:r>
    </w:p>
    <w:p>
      <w:pPr>
        <w:spacing w:after="0" w:line="229" w:lineRule="auto"/>
        <w:rPr>
          <w:sz w:val="20"/>
          <w:szCs w:val="20"/>
          <w:color w:val="auto"/>
        </w:rPr>
      </w:pPr>
      <w:r>
        <w:rPr>
          <w:rFonts w:ascii="Calibri" w:cs="Calibri" w:eastAsia="Calibri" w:hAnsi="Calibri"/>
          <w:sz w:val="18"/>
          <w:szCs w:val="18"/>
          <w:color w:val="auto"/>
        </w:rPr>
        <w:t>The increase to total cost of revenues resulted from higher order volume in both our Marketplace and Resale segments.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Marketplace cost of revenues increased $13.7 million, or 508%, for the three months ended March 31, 2022 compared to the three months ended March 31, 2021. The increase in cost of revenues is consistent with the increase in total Marketplace orders, which increased by 1.7 million orders, or 589%, for the three months ended March 31, 2022 compared to the three months ended March 31, 2021.</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Resale cost of revenues increased $14.5 million for the three months ended March 31, 2022 compared to the three months ended March 31, 2021. The increase resulted from an increase in total Resale orders of 0.1 million orders, or 423%, during the three months ended March 31, 2022 compared to the three months ended March 31, 2021. The increase in Resale cost of revenues is not consistent with the increase in Resale revenues due to lower margins and cancellatons in 2022 compared to 2021. Cancellaton charges, classifed as a reducton of cost of revenues, were not material for the three months ended March 31, 2022 and 2021.</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tcPr>
          <w:p>
            <w:pPr>
              <w:spacing w:after="0"/>
              <w:rPr>
                <w:sz w:val="19"/>
                <w:szCs w:val="19"/>
                <w:color w:val="auto"/>
              </w:rPr>
            </w:pPr>
          </w:p>
        </w:tc>
        <w:tc>
          <w:tcPr>
            <w:tcW w:w="28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
        </w:trPr>
        <w:tc>
          <w:tcPr>
            <w:tcW w:w="4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361"/>
        </w:trPr>
        <w:tc>
          <w:tcPr>
            <w:tcW w:w="4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560" w:type="dxa"/>
            <w:vAlign w:val="bottom"/>
          </w:tcPr>
          <w:p>
            <w:pPr>
              <w:spacing w:after="0"/>
              <w:rPr>
                <w:sz w:val="24"/>
                <w:szCs w:val="24"/>
                <w:color w:val="auto"/>
              </w:rPr>
            </w:pPr>
          </w:p>
        </w:tc>
        <w:tc>
          <w:tcPr>
            <w:tcW w:w="1260" w:type="dxa"/>
            <w:vAlign w:val="bottom"/>
            <w:gridSpan w:val="2"/>
          </w:tcPr>
          <w:p>
            <w:pPr>
              <w:jc w:val="right"/>
              <w:ind w:right="50"/>
              <w:spacing w:after="0"/>
              <w:rPr>
                <w:sz w:val="20"/>
                <w:szCs w:val="20"/>
                <w:color w:val="auto"/>
              </w:rPr>
            </w:pPr>
            <w:r>
              <w:rPr>
                <w:rFonts w:ascii="Calibri" w:cs="Calibri" w:eastAsia="Calibri" w:hAnsi="Calibri"/>
                <w:sz w:val="18"/>
                <w:szCs w:val="18"/>
                <w:b w:val="1"/>
                <w:bCs w:val="1"/>
                <w:color w:val="auto"/>
              </w:rPr>
              <w:t>2021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Calibri" w:cs="Calibri" w:eastAsia="Calibri" w:hAnsi="Calibri"/>
                <w:sz w:val="18"/>
                <w:szCs w:val="18"/>
                <w:b w:val="1"/>
                <w:bCs w:val="1"/>
                <w:color w:val="auto"/>
              </w:rPr>
              <w:t>Change</w:t>
            </w:r>
          </w:p>
        </w:tc>
        <w:tc>
          <w:tcPr>
            <w:tcW w:w="120" w:type="dxa"/>
            <w:vAlign w:val="bottom"/>
          </w:tcPr>
          <w:p>
            <w:pPr>
              <w:spacing w:after="0"/>
              <w:rPr>
                <w:sz w:val="24"/>
                <w:szCs w:val="24"/>
                <w:color w:val="auto"/>
              </w:rPr>
            </w:pPr>
          </w:p>
        </w:tc>
        <w:tc>
          <w:tcPr>
            <w:tcW w:w="1880" w:type="dxa"/>
            <w:vAlign w:val="bottom"/>
            <w:gridSpan w:val="2"/>
          </w:tcPr>
          <w:p>
            <w:pPr>
              <w:jc w:val="right"/>
              <w:ind w:right="720"/>
              <w:spacing w:after="0"/>
              <w:rPr>
                <w:sz w:val="20"/>
                <w:szCs w:val="20"/>
                <w:color w:val="auto"/>
              </w:rPr>
            </w:pPr>
            <w:r>
              <w:rPr>
                <w:rFonts w:ascii="Calibri" w:cs="Calibri" w:eastAsia="Calibri" w:hAnsi="Calibri"/>
                <w:sz w:val="18"/>
                <w:szCs w:val="18"/>
                <w:b w:val="1"/>
                <w:bCs w:val="1"/>
                <w:color w:val="auto"/>
              </w:rPr>
              <w:t>% Change</w:t>
            </w:r>
          </w:p>
        </w:tc>
      </w:tr>
      <w:tr>
        <w:trPr>
          <w:trHeight w:val="23"/>
        </w:trPr>
        <w:tc>
          <w:tcPr>
            <w:tcW w:w="4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10"/>
        </w:trPr>
        <w:tc>
          <w:tcPr>
            <w:tcW w:w="42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Marketng and selling:</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5"/>
        </w:trPr>
        <w:tc>
          <w:tcPr>
            <w:tcW w:w="4200" w:type="dxa"/>
            <w:vAlign w:val="bottom"/>
          </w:tcPr>
          <w:p>
            <w:pPr>
              <w:ind w:left="20"/>
              <w:spacing w:after="0" w:line="215" w:lineRule="exact"/>
              <w:rPr>
                <w:sz w:val="20"/>
                <w:szCs w:val="20"/>
                <w:color w:val="auto"/>
              </w:rPr>
            </w:pPr>
            <w:r>
              <w:rPr>
                <w:rFonts w:ascii="Calibri" w:cs="Calibri" w:eastAsia="Calibri" w:hAnsi="Calibri"/>
                <w:sz w:val="18"/>
                <w:szCs w:val="18"/>
                <w:color w:val="auto"/>
              </w:rPr>
              <w:t>Online</w:t>
            </w:r>
          </w:p>
        </w:tc>
        <w:tc>
          <w:tcPr>
            <w:tcW w:w="104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49,850</w:t>
            </w:r>
          </w:p>
        </w:tc>
        <w:tc>
          <w:tcPr>
            <w:tcW w:w="1260" w:type="dxa"/>
            <w:vAlign w:val="bottom"/>
            <w:gridSpan w:val="2"/>
          </w:tcPr>
          <w:p>
            <w:pPr>
              <w:jc w:val="right"/>
              <w:ind w:right="91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spacing w:after="0" w:line="215" w:lineRule="exact"/>
              <w:rPr>
                <w:sz w:val="20"/>
                <w:szCs w:val="20"/>
                <w:color w:val="auto"/>
              </w:rPr>
            </w:pPr>
            <w:r>
              <w:rPr>
                <w:rFonts w:ascii="Calibri" w:cs="Calibri" w:eastAsia="Calibri" w:hAnsi="Calibri"/>
                <w:sz w:val="18"/>
                <w:szCs w:val="18"/>
                <w:color w:val="auto"/>
              </w:rPr>
              <w:t>7,789</w:t>
            </w:r>
          </w:p>
        </w:tc>
        <w:tc>
          <w:tcPr>
            <w:tcW w:w="44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42,061</w:t>
            </w:r>
          </w:p>
        </w:tc>
        <w:tc>
          <w:tcPr>
            <w:tcW w:w="2000" w:type="dxa"/>
            <w:vAlign w:val="bottom"/>
            <w:gridSpan w:val="3"/>
          </w:tcPr>
          <w:p>
            <w:pPr>
              <w:jc w:val="right"/>
              <w:ind w:right="140"/>
              <w:spacing w:after="0" w:line="215" w:lineRule="exact"/>
              <w:rPr>
                <w:sz w:val="20"/>
                <w:szCs w:val="20"/>
                <w:color w:val="auto"/>
              </w:rPr>
            </w:pPr>
            <w:r>
              <w:rPr>
                <w:rFonts w:ascii="Calibri" w:cs="Calibri" w:eastAsia="Calibri" w:hAnsi="Calibri"/>
                <w:sz w:val="18"/>
                <w:szCs w:val="18"/>
                <w:color w:val="auto"/>
              </w:rPr>
              <w:t>540 %</w:t>
            </w:r>
          </w:p>
        </w:tc>
      </w:tr>
      <w:tr>
        <w:trPr>
          <w:trHeight w:val="216"/>
        </w:trPr>
        <w:tc>
          <w:tcPr>
            <w:tcW w:w="42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Ofine</w:t>
            </w: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4,378</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4,212</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line="216" w:lineRule="exact"/>
              <w:rPr>
                <w:sz w:val="20"/>
                <w:szCs w:val="20"/>
                <w:color w:val="auto"/>
              </w:rPr>
            </w:pPr>
            <w:r>
              <w:rPr>
                <w:rFonts w:ascii="Calibri" w:cs="Calibri" w:eastAsia="Calibri" w:hAnsi="Calibri"/>
                <w:sz w:val="18"/>
                <w:szCs w:val="18"/>
                <w:color w:val="auto"/>
              </w:rPr>
              <w:t>2,537 %</w:t>
            </w:r>
          </w:p>
        </w:tc>
      </w:tr>
      <w:tr>
        <w:trPr>
          <w:trHeight w:val="20"/>
        </w:trPr>
        <w:tc>
          <w:tcPr>
            <w:tcW w:w="4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10"/>
        </w:trPr>
        <w:tc>
          <w:tcPr>
            <w:tcW w:w="42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marketng and selling</w:t>
            </w:r>
          </w:p>
        </w:tc>
        <w:tc>
          <w:tcPr>
            <w:tcW w:w="1040" w:type="dxa"/>
            <w:vAlign w:val="bottom"/>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54,228</w:t>
            </w:r>
          </w:p>
        </w:tc>
        <w:tc>
          <w:tcPr>
            <w:tcW w:w="140" w:type="dxa"/>
            <w:vAlign w:val="bottom"/>
          </w:tcPr>
          <w:p>
            <w:pPr>
              <w:spacing w:after="0"/>
              <w:rPr>
                <w:sz w:val="18"/>
                <w:szCs w:val="18"/>
                <w:color w:val="auto"/>
              </w:rPr>
            </w:pPr>
          </w:p>
        </w:tc>
        <w:tc>
          <w:tcPr>
            <w:tcW w:w="1120" w:type="dxa"/>
            <w:vAlign w:val="bottom"/>
          </w:tcPr>
          <w:p>
            <w:pPr>
              <w:jc w:val="right"/>
              <w:ind w:right="910"/>
              <w:spacing w:after="0" w:line="210"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7,955</w:t>
            </w:r>
          </w:p>
        </w:tc>
        <w:tc>
          <w:tcPr>
            <w:tcW w:w="140" w:type="dxa"/>
            <w:vAlign w:val="bottom"/>
          </w:tcPr>
          <w:p>
            <w:pPr>
              <w:spacing w:after="0"/>
              <w:rPr>
                <w:sz w:val="18"/>
                <w:szCs w:val="18"/>
                <w:color w:val="auto"/>
              </w:rPr>
            </w:pPr>
          </w:p>
        </w:tc>
        <w:tc>
          <w:tcPr>
            <w:tcW w:w="300" w:type="dxa"/>
            <w:vAlign w:val="bottom"/>
          </w:tcPr>
          <w:p>
            <w:pPr>
              <w:jc w:val="right"/>
              <w:ind w:right="110"/>
              <w:spacing w:after="0" w:line="210"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46,273</w:t>
            </w:r>
          </w:p>
        </w:tc>
        <w:tc>
          <w:tcPr>
            <w:tcW w:w="120" w:type="dxa"/>
            <w:vAlign w:val="bottom"/>
          </w:tcPr>
          <w:p>
            <w:pPr>
              <w:spacing w:after="0"/>
              <w:rPr>
                <w:sz w:val="18"/>
                <w:szCs w:val="18"/>
                <w:color w:val="auto"/>
              </w:rPr>
            </w:pPr>
          </w:p>
        </w:tc>
        <w:tc>
          <w:tcPr>
            <w:tcW w:w="188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b w:val="1"/>
                <w:bCs w:val="1"/>
                <w:color w:val="auto"/>
              </w:rPr>
              <w:t>582 %</w:t>
            </w:r>
          </w:p>
        </w:tc>
      </w:tr>
      <w:tr>
        <w:trPr>
          <w:trHeight w:val="20"/>
        </w:trPr>
        <w:tc>
          <w:tcPr>
            <w:tcW w:w="4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5"/>
        </w:trPr>
        <w:tc>
          <w:tcPr>
            <w:tcW w:w="4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alibri" w:cs="Calibri" w:eastAsia="Calibri" w:hAnsi="Calibri"/>
                <w:sz w:val="18"/>
                <w:szCs w:val="18"/>
                <w:color w:val="auto"/>
              </w:rPr>
              <w:t>29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38"/>
        </w:trPr>
        <w:tc>
          <w:tcPr>
            <w:tcW w:w="4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-521970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-521970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-521970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-521970</wp:posOffset>
            </wp:positionV>
            <wp:extent cx="1797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jc w:val="both"/>
        <w:spacing w:after="0" w:line="242" w:lineRule="auto"/>
        <w:rPr>
          <w:sz w:val="20"/>
          <w:szCs w:val="20"/>
          <w:color w:val="auto"/>
        </w:rPr>
      </w:pPr>
      <w:r>
        <w:rPr>
          <w:rFonts w:ascii="Calibri" w:cs="Calibri" w:eastAsia="Calibri" w:hAnsi="Calibri"/>
          <w:sz w:val="17"/>
          <w:szCs w:val="17"/>
          <w:color w:val="auto"/>
        </w:rPr>
        <w:t>Marketng and selling expenses, which are entrely atributable to our Marketplace segment, increased $46.3 million, or 582%, during the three months ended March 31, 2022 compared to the three months ended March 31, 2021. The increase in expenses primarily resulted from greater spending on online advertsing during the three months ended March 31, 2022. Our spending on online advertsing increased by $42.1 million during the three months ended March 31, 2022 compared to the three months ended March 31, 2021. As restrictons on the atendance of live events were reduced or lifed, we increased our spending on marketng to capitalize on the increase in live event atendance. In additon, in the frst quarter of 2022, we contnued our increased marketng eforts which started in the fourth quarter of 2021 with ofine channels, including broadcast TV and radio, as part of our brand awareness eforts.</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19"/>
                <w:szCs w:val="19"/>
                <w:color w:val="auto"/>
              </w:rPr>
            </w:pPr>
          </w:p>
        </w:tc>
        <w:tc>
          <w:tcPr>
            <w:tcW w:w="280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March 31,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362"/>
        </w:trPr>
        <w:tc>
          <w:tcPr>
            <w:tcW w:w="4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b w:val="1"/>
                <w:bCs w:val="1"/>
                <w:color w:val="auto"/>
              </w:rPr>
              <w:t>2022</w:t>
            </w:r>
          </w:p>
        </w:tc>
        <w:tc>
          <w:tcPr>
            <w:tcW w:w="560" w:type="dxa"/>
            <w:vAlign w:val="bottom"/>
          </w:tcPr>
          <w:p>
            <w:pPr>
              <w:spacing w:after="0"/>
              <w:rPr>
                <w:sz w:val="24"/>
                <w:szCs w:val="24"/>
                <w:color w:val="auto"/>
              </w:rPr>
            </w:pPr>
          </w:p>
        </w:tc>
        <w:tc>
          <w:tcPr>
            <w:tcW w:w="1220" w:type="dxa"/>
            <w:vAlign w:val="bottom"/>
            <w:gridSpan w:val="2"/>
          </w:tcPr>
          <w:p>
            <w:pPr>
              <w:jc w:val="right"/>
              <w:ind w:right="10"/>
              <w:spacing w:after="0"/>
              <w:rPr>
                <w:sz w:val="20"/>
                <w:szCs w:val="20"/>
                <w:color w:val="auto"/>
              </w:rPr>
            </w:pPr>
            <w:r>
              <w:rPr>
                <w:rFonts w:ascii="Calibri" w:cs="Calibri" w:eastAsia="Calibri" w:hAnsi="Calibri"/>
                <w:sz w:val="18"/>
                <w:szCs w:val="18"/>
                <w:b w:val="1"/>
                <w:bCs w:val="1"/>
                <w:color w:val="auto"/>
              </w:rPr>
              <w:t>2021</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Calibri" w:cs="Calibri" w:eastAsia="Calibri" w:hAnsi="Calibri"/>
                <w:sz w:val="18"/>
                <w:szCs w:val="18"/>
                <w:b w:val="1"/>
                <w:bCs w:val="1"/>
                <w:color w:val="auto"/>
              </w:rPr>
              <w:t>Change</w:t>
            </w:r>
          </w:p>
        </w:tc>
        <w:tc>
          <w:tcPr>
            <w:tcW w:w="1940" w:type="dxa"/>
            <w:vAlign w:val="bottom"/>
            <w:gridSpan w:val="2"/>
          </w:tcPr>
          <w:p>
            <w:pPr>
              <w:jc w:val="right"/>
              <w:ind w:right="730"/>
              <w:spacing w:after="0"/>
              <w:rPr>
                <w:sz w:val="20"/>
                <w:szCs w:val="20"/>
                <w:color w:val="auto"/>
              </w:rPr>
            </w:pPr>
            <w:r>
              <w:rPr>
                <w:rFonts w:ascii="Calibri" w:cs="Calibri" w:eastAsia="Calibri" w:hAnsi="Calibri"/>
                <w:sz w:val="18"/>
                <w:szCs w:val="18"/>
                <w:b w:val="1"/>
                <w:bCs w:val="1"/>
                <w:color w:val="auto"/>
              </w:rPr>
              <w:t>% Change</w:t>
            </w:r>
          </w:p>
        </w:tc>
      </w:tr>
      <w:tr>
        <w:trPr>
          <w:trHeight w:val="23"/>
        </w:trPr>
        <w:tc>
          <w:tcPr>
            <w:tcW w:w="4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09"/>
        </w:trPr>
        <w:tc>
          <w:tcPr>
            <w:tcW w:w="41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General and administratve:</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Personnel expenses</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19,737</w:t>
            </w:r>
          </w:p>
        </w:tc>
        <w:tc>
          <w:tcPr>
            <w:tcW w:w="1220" w:type="dxa"/>
            <w:vAlign w:val="bottom"/>
            <w:gridSpan w:val="2"/>
          </w:tcPr>
          <w:p>
            <w:pPr>
              <w:jc w:val="right"/>
              <w:ind w:right="890"/>
              <w:spacing w:after="0" w:line="215" w:lineRule="exact"/>
              <w:rPr>
                <w:sz w:val="20"/>
                <w:szCs w:val="20"/>
                <w:color w:val="auto"/>
              </w:rPr>
            </w:pPr>
            <w:r>
              <w:rPr>
                <w:rFonts w:ascii="Calibri" w:cs="Calibri" w:eastAsia="Calibri" w:hAnsi="Calibri"/>
                <w:sz w:val="18"/>
                <w:szCs w:val="18"/>
                <w:color w:val="auto"/>
              </w:rPr>
              <w:t>$</w:t>
            </w: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6,671</w:t>
            </w:r>
          </w:p>
        </w:tc>
        <w:tc>
          <w:tcPr>
            <w:tcW w:w="46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13,066</w:t>
            </w:r>
          </w:p>
        </w:tc>
        <w:tc>
          <w:tcPr>
            <w:tcW w:w="160" w:type="dxa"/>
            <w:vAlign w:val="bottom"/>
          </w:tcPr>
          <w:p>
            <w:pPr>
              <w:spacing w:after="0"/>
              <w:rPr>
                <w:sz w:val="18"/>
                <w:szCs w:val="18"/>
                <w:color w:val="auto"/>
              </w:rPr>
            </w:pPr>
          </w:p>
        </w:tc>
        <w:tc>
          <w:tcPr>
            <w:tcW w:w="194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196 %</w:t>
            </w:r>
          </w:p>
        </w:tc>
      </w:tr>
      <w:tr>
        <w:trPr>
          <w:trHeight w:val="217"/>
        </w:trPr>
        <w:tc>
          <w:tcPr>
            <w:tcW w:w="41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Non-income tax expenses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1,239</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2,362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line="216" w:lineRule="exact"/>
              <w:rPr>
                <w:sz w:val="20"/>
                <w:szCs w:val="20"/>
                <w:color w:val="auto"/>
              </w:rPr>
            </w:pPr>
            <w:r>
              <w:rPr>
                <w:rFonts w:ascii="Calibri" w:cs="Calibri" w:eastAsia="Calibri" w:hAnsi="Calibri"/>
                <w:sz w:val="18"/>
                <w:szCs w:val="18"/>
                <w:color w:val="auto"/>
              </w:rPr>
              <w:t>(1,123 )</w:t>
            </w:r>
          </w:p>
        </w:tc>
        <w:tc>
          <w:tcPr>
            <w:tcW w:w="194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(48 )%</w:t>
            </w:r>
          </w:p>
        </w:tc>
      </w:tr>
      <w:tr>
        <w:trPr>
          <w:trHeight w:val="215"/>
        </w:trPr>
        <w:tc>
          <w:tcPr>
            <w:tcW w:w="4160" w:type="dxa"/>
            <w:vAlign w:val="bottom"/>
          </w:tcPr>
          <w:p>
            <w:pPr>
              <w:ind w:left="20"/>
              <w:spacing w:after="0" w:line="215" w:lineRule="exact"/>
              <w:rPr>
                <w:sz w:val="20"/>
                <w:szCs w:val="20"/>
                <w:color w:val="auto"/>
              </w:rPr>
            </w:pPr>
            <w:r>
              <w:rPr>
                <w:rFonts w:ascii="Calibri" w:cs="Calibri" w:eastAsia="Calibri" w:hAnsi="Calibri"/>
                <w:sz w:val="18"/>
                <w:szCs w:val="18"/>
                <w:color w:val="auto"/>
              </w:rPr>
              <w:t>Other</w:t>
            </w:r>
          </w:p>
        </w:tc>
        <w:tc>
          <w:tcPr>
            <w:tcW w:w="10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8,299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jc w:val="right"/>
              <w:spacing w:after="0" w:line="215" w:lineRule="exact"/>
              <w:rPr>
                <w:sz w:val="20"/>
                <w:szCs w:val="20"/>
                <w:color w:val="auto"/>
              </w:rPr>
            </w:pPr>
            <w:r>
              <w:rPr>
                <w:rFonts w:ascii="Calibri" w:cs="Calibri" w:eastAsia="Calibri" w:hAnsi="Calibri"/>
                <w:sz w:val="18"/>
                <w:szCs w:val="18"/>
                <w:color w:val="auto"/>
              </w:rPr>
              <w:t>6,838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1,461</w:t>
            </w:r>
          </w:p>
        </w:tc>
        <w:tc>
          <w:tcPr>
            <w:tcW w:w="160" w:type="dxa"/>
            <w:vAlign w:val="bottom"/>
          </w:tcPr>
          <w:p>
            <w:pPr>
              <w:spacing w:after="0"/>
              <w:rPr>
                <w:sz w:val="18"/>
                <w:szCs w:val="18"/>
                <w:color w:val="auto"/>
              </w:rPr>
            </w:pPr>
          </w:p>
        </w:tc>
        <w:tc>
          <w:tcPr>
            <w:tcW w:w="194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color w:val="auto"/>
              </w:rPr>
              <w:t>21 %</w:t>
            </w:r>
          </w:p>
        </w:tc>
      </w:tr>
      <w:tr>
        <w:trPr>
          <w:trHeight w:val="251"/>
        </w:trPr>
        <w:tc>
          <w:tcPr>
            <w:tcW w:w="41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general and administratve</w:t>
            </w:r>
          </w:p>
        </w:tc>
        <w:tc>
          <w:tcPr>
            <w:tcW w:w="1020" w:type="dxa"/>
            <w:vAlign w:val="bottom"/>
            <w:tcBorders>
              <w:top w:val="single" w:sz="8" w:color="auto"/>
              <w:bottom w:val="single" w:sz="8" w:color="auto"/>
            </w:tcBorders>
            <w:shd w:val="clear" w:color="auto" w:fill="CFF0FC"/>
          </w:tcPr>
          <w:p>
            <w:pPr>
              <w:jc w:val="right"/>
              <w:ind w:right="830"/>
              <w:spacing w:after="0" w:line="210" w:lineRule="exact"/>
              <w:rPr>
                <w:sz w:val="20"/>
                <w:szCs w:val="20"/>
                <w:color w:val="auto"/>
              </w:rPr>
            </w:pPr>
            <w:r>
              <w:rPr>
                <w:rFonts w:ascii="Calibri" w:cs="Calibri" w:eastAsia="Calibri" w:hAnsi="Calibri"/>
                <w:sz w:val="18"/>
                <w:szCs w:val="18"/>
                <w:b w:val="1"/>
                <w:bCs w:val="1"/>
                <w:color w:val="auto"/>
                <w:w w:val="87"/>
              </w:rPr>
              <w:t>$</w:t>
            </w:r>
          </w:p>
        </w:tc>
        <w:tc>
          <w:tcPr>
            <w:tcW w:w="5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29,275</w:t>
            </w: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ind w:right="890"/>
              <w:spacing w:after="0" w:line="210" w:lineRule="exact"/>
              <w:rPr>
                <w:sz w:val="20"/>
                <w:szCs w:val="20"/>
                <w:color w:val="auto"/>
              </w:rPr>
            </w:pPr>
            <w:r>
              <w:rPr>
                <w:rFonts w:ascii="Calibri" w:cs="Calibri" w:eastAsia="Calibri" w:hAnsi="Calibri"/>
                <w:sz w:val="18"/>
                <w:szCs w:val="18"/>
                <w:b w:val="1"/>
                <w:bCs w:val="1"/>
                <w:color w:val="auto"/>
                <w:w w:val="87"/>
              </w:rPr>
              <w:t>$</w:t>
            </w:r>
          </w:p>
        </w:tc>
        <w:tc>
          <w:tcPr>
            <w:tcW w:w="5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1"/>
              </w:rPr>
              <w:t>15,871</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rPr>
              <w:t>$</w:t>
            </w:r>
          </w:p>
        </w:tc>
        <w:tc>
          <w:tcPr>
            <w:tcW w:w="12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13,404</w:t>
            </w:r>
          </w:p>
        </w:tc>
        <w:tc>
          <w:tcPr>
            <w:tcW w:w="16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84</w:t>
            </w:r>
          </w:p>
        </w:tc>
        <w:tc>
          <w:tcPr>
            <w:tcW w:w="400" w:type="dxa"/>
            <w:vAlign w:val="bottom"/>
            <w:tcBorders>
              <w:bottom w:val="single" w:sz="8" w:color="CFF0FC"/>
            </w:tcBorders>
            <w:shd w:val="clear" w:color="auto" w:fill="CFF0FC"/>
          </w:tcPr>
          <w:p>
            <w:pPr>
              <w:jc w:val="right"/>
              <w:ind w:right="150"/>
              <w:spacing w:after="0" w:line="210" w:lineRule="exact"/>
              <w:rPr>
                <w:sz w:val="20"/>
                <w:szCs w:val="20"/>
                <w:color w:val="auto"/>
              </w:rPr>
            </w:pPr>
            <w:r>
              <w:rPr>
                <w:rFonts w:ascii="Calibri" w:cs="Calibri" w:eastAsia="Calibri" w:hAnsi="Calibri"/>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2489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2489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93"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Total general and administratve expenses increased $13.4 million, or 84%, for the three months ended March 31, 2022 compared to the three months ended March 31, 2021 primarily due to an increase in personnel expenses of $13.1 million. The increase was due to a higher employee headcount and an increase in costs for our outsourced customer service provider.</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Depreciaton and amortzaton expenses increased $1.1 million, or 369%, during the three months ended March 31, 2022 compared to the three months ended March 31, 2021 primarily due to the intangibles acquired as part of the Betcha acquisiton during the fourth quarter of 2021.</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Expenses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Interest expense decreased $12.4 million, or 76%, for the three months ended March 31, 2022 compared to the three months ended March 31, 2021. We paid of the May 2020 First Lien Loan and made a partal payment of the outstanding principal on the June 2017 First Lien Loan in the fourth quarter of 2021. In additon, we further reduced our outstanding debt balance and efectve interest rate on February 3, 2022 when we refnanced the June 2017 First Lien Loan with the February 2022 First Lien Loan.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Loss on extnguishment of debt</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Loss on extnguishment of debt was $4.3 million during the three months ended March 31, 2022 due to the refnancing of the June 2017 First Lien Loan with the February 2022 First Lien Loan.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expenses</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expenses were $2.3 million during the three months ended March 31, 2022 primarily due to the fair value remeasurement of the Hoya Intermediate Warrants.</w:t>
      </w:r>
    </w:p>
    <w:p>
      <w:pPr>
        <w:spacing w:after="0" w:line="9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38"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Our primary sources of funds are cash generated from operatons and proceeds from borrowings, including our term loans. In response to the COVID-19 pandemic, we borrowed $50.0 million under our revolving credit facility in March 2020 and subsequently entered into the May 2020 First Lien Loan (defned below). We received $251.5 million in net cash proceeds from the May 2020 First Lien Loan, which we used to repay the $50.0 million in outstanding borrowings under the revolving credit facility in May 2020 and to fund our operatons. As noted in the “Liquidity and Capital Resources—Loan Agreements” secton below, we repaid the May 2020 First Lien Loan in connecton with, and using the proceeds from, the Merger Transacton and the private investment in public equity fnancing (“PIPE Subscripton”). Our existng cash and cash equivalents are sufcient to fund our liquidity needs for the next 12 months.</w:t>
      </w:r>
    </w:p>
    <w:p>
      <w:pPr>
        <w:spacing w:after="0" w:line="137"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As of March 31, 2022, we had $314.1 million of cash and cash equivalents. Cash and cash equivalents consist of interest-bearing deposit accounts, money market accounts managed by fnancial insttutons, and highly liquid investments with maturites of three months or less. For the three months ended March 31, 2022, we generated positve cash fows from our operatng actvites.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response to the COVID-19 pandemic, we borrowed $50.0 million under the Revolving Facility in March 2020. We then entered into the May 2020 First Lien Loan, which resulted in $251.5 million in net cash proceeds. We used the net cash proceeds from the May 2020 First Lien Loan to immediately repay the $50.0 million in outstanding borrowings under the Revolving Facility and to fund our operatons. The Revolving Facility was terminated in full simultaneously with the repayment in May 2020.</w:t>
      </w:r>
    </w:p>
    <w:p>
      <w:pPr>
        <w:spacing w:after="0" w:line="13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refnancing thereof with scheduled payments of principal prior to June 30, 2024, remains outstanding as of that date. The efectve interest rate on the May 2020 First Lien Loan, which fuctuates based on certain paid-in-kind electons, was 11.50% per annum as of December 31, 2020. We made no payments during 2020 on the May 2020 First Lien Term Loan. Interest incurred under the May 2020 First Lien Loan was capitalized into the principal quarterly in August and November 2020, resultng in an outstanding principal of $275.7 million as of December 31, 2020. Additonal interest was capitalized into the principal in the frst nine months of 2021, resultng in an outstanding principal of $304.1 million as of September 30, 2021. On October 18, 2021, we repaid this loan in full in connecton with, and using the proceeds from, the Merger Transacton and the PIPE Subscripton and incurred a $28.0 million prepayment penalty.</w:t>
      </w:r>
    </w:p>
    <w:p>
      <w:pPr>
        <w:spacing w:after="0" w:line="144"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We had an outstanding loan balance of $465.7 million under the June 2017 First Lien Loan as of December 31, 2021. In the three months ended March 31, 2022, we repaid $190.7 million of the outstanding June 2017 First Lien Loan. On February 3, 2022, we entered into an amendment which refnances the remaining June 2017 First Lien Loan with a new $275.0 million February 2022 First Lien Loan with a maturity date of February 3, 2029, adds a new revolving credit facility in an aggregate principal amount of $100.0 million with a maturity date of February 3, 2027, replaces the LIBOR based foatng interest rate with a term SOFR based foatng interest rate and revises the springing fnancial covenant to require compliance with a frst lien net leverage rato when revolver borrowings exceed certain levels.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will carry an interest rate of SOFR plus 3.25%. The SOFR rate for the February 2022 First Lien Loan is subject to a 0.5% foor.</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color w:val="auto"/>
        </w:rPr>
        <w:t>As of March 31, 2022, we are only party to one credit facility, the February 2022 First Lien Loan.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3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In connecton with the Merger Transacton, we entered into a Tax Receivable Agreement with the existng Hoya Intermediate shareholders that will provide for payment to Hoya Intermediate shareholders of 85% of the amount of the tax savings, if any, that we realize (or, under certain circumstances, is deemed to realize) as a result of, or atributable to, (i) increases in the tax basis of assets owned directly or indirectly by Hoya Intermediate or its subsidiaries from, among other things, any redemptons or exchanges of Hoya Intermediate common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Hoya Intermediate making payments under the Tax Receivable Agreement.</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Flows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p>
      <w:pPr>
        <w:spacing w:after="0" w:line="104" w:lineRule="exact"/>
        <w:rPr>
          <w:sz w:val="20"/>
          <w:szCs w:val="20"/>
          <w:color w:val="auto"/>
        </w:rPr>
      </w:pPr>
    </w:p>
    <w:p>
      <w:pPr>
        <w:jc w:val="center"/>
        <w:ind w:left="7460"/>
        <w:spacing w:after="0"/>
        <w:rPr>
          <w:sz w:val="20"/>
          <w:szCs w:val="20"/>
          <w:color w:val="auto"/>
        </w:rPr>
      </w:pPr>
      <w:r>
        <w:rPr>
          <w:rFonts w:ascii="Calibri" w:cs="Calibri" w:eastAsia="Calibri" w:hAnsi="Calibri"/>
          <w:sz w:val="18"/>
          <w:szCs w:val="18"/>
          <w:b w:val="1"/>
          <w:bCs w:val="1"/>
          <w:color w:val="auto"/>
        </w:rPr>
        <w:t>Three Months Ended</w:t>
      </w:r>
    </w:p>
    <w:p>
      <w:pPr>
        <w:jc w:val="center"/>
        <w:ind w:left="7460"/>
        <w:spacing w:after="0" w:line="206" w:lineRule="auto"/>
        <w:rPr>
          <w:sz w:val="20"/>
          <w:szCs w:val="20"/>
          <w:color w:val="auto"/>
        </w:rPr>
      </w:pPr>
      <w:r>
        <w:rPr>
          <w:rFonts w:ascii="Calibri" w:cs="Calibri" w:eastAsia="Calibri" w:hAnsi="Calibri"/>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Calibri" w:cs="Calibri" w:eastAsia="Calibri" w:hAnsi="Calibri"/>
                <w:sz w:val="18"/>
                <w:szCs w:val="18"/>
                <w:b w:val="1"/>
                <w:bCs w:val="1"/>
                <w:color w:val="auto"/>
              </w:rPr>
              <w:t>2022</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11"/>
        </w:trPr>
        <w:tc>
          <w:tcPr>
            <w:tcW w:w="75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cash provided by operatng actvites</w:t>
            </w:r>
          </w:p>
        </w:tc>
        <w:tc>
          <w:tcPr>
            <w:tcW w:w="380" w:type="dxa"/>
            <w:vAlign w:val="bottom"/>
            <w:shd w:val="clear" w:color="auto" w:fill="CFF0FC"/>
          </w:tcPr>
          <w:p>
            <w:pPr>
              <w:jc w:val="right"/>
              <w:ind w:right="190"/>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23,534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30,761</w:t>
            </w:r>
          </w:p>
        </w:tc>
        <w:tc>
          <w:tcPr>
            <w:tcW w:w="100" w:type="dxa"/>
            <w:vAlign w:val="bottom"/>
            <w:shd w:val="clear" w:color="auto" w:fill="CFF0FC"/>
          </w:tcPr>
          <w:p>
            <w:pPr>
              <w:spacing w:after="0"/>
              <w:rPr>
                <w:sz w:val="18"/>
                <w:szCs w:val="18"/>
                <w:color w:val="auto"/>
              </w:rPr>
            </w:pPr>
          </w:p>
        </w:tc>
      </w:tr>
      <w:tr>
        <w:trPr>
          <w:trHeight w:val="215"/>
        </w:trPr>
        <w:tc>
          <w:tcPr>
            <w:tcW w:w="75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80" w:type="dxa"/>
            <w:vAlign w:val="bottom"/>
          </w:tcPr>
          <w:p>
            <w:pPr>
              <w:spacing w:after="0"/>
              <w:rPr>
                <w:sz w:val="18"/>
                <w:szCs w:val="18"/>
                <w:color w:val="auto"/>
              </w:rPr>
            </w:pPr>
          </w:p>
        </w:tc>
        <w:tc>
          <w:tcPr>
            <w:tcW w:w="156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(3,441 )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(1,726 )</w:t>
            </w:r>
          </w:p>
        </w:tc>
      </w:tr>
      <w:tr>
        <w:trPr>
          <w:trHeight w:val="216"/>
        </w:trPr>
        <w:tc>
          <w:tcPr>
            <w:tcW w:w="75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cash used in fnancing actvites</w:t>
            </w: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line="216" w:lineRule="exact"/>
              <w:rPr>
                <w:sz w:val="20"/>
                <w:szCs w:val="20"/>
                <w:color w:val="auto"/>
              </w:rPr>
            </w:pPr>
            <w:r>
              <w:rPr>
                <w:rFonts w:ascii="Calibri" w:cs="Calibri" w:eastAsia="Calibri" w:hAnsi="Calibri"/>
                <w:sz w:val="18"/>
                <w:szCs w:val="18"/>
                <w:color w:val="auto"/>
              </w:rPr>
              <w:t>(195,568 )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(1,603 )</w:t>
            </w:r>
          </w:p>
        </w:tc>
      </w:tr>
      <w:tr>
        <w:trPr>
          <w:trHeight w:val="20"/>
        </w:trPr>
        <w:tc>
          <w:tcPr>
            <w:tcW w:w="75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increase (decrease) in cash and cash equivalents</w:t>
            </w:r>
          </w:p>
        </w:tc>
        <w:tc>
          <w:tcPr>
            <w:tcW w:w="380" w:type="dxa"/>
            <w:vAlign w:val="bottom"/>
          </w:tcPr>
          <w:p>
            <w:pPr>
              <w:jc w:val="right"/>
              <w:ind w:right="190"/>
              <w:spacing w:after="0" w:line="209"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gridSpan w:val="2"/>
          </w:tcPr>
          <w:p>
            <w:pPr>
              <w:jc w:val="right"/>
              <w:ind w:right="240"/>
              <w:spacing w:after="0" w:line="209" w:lineRule="exact"/>
              <w:rPr>
                <w:sz w:val="20"/>
                <w:szCs w:val="20"/>
                <w:color w:val="auto"/>
              </w:rPr>
            </w:pPr>
            <w:r>
              <w:rPr>
                <w:rFonts w:ascii="Calibri" w:cs="Calibri" w:eastAsia="Calibri" w:hAnsi="Calibri"/>
                <w:sz w:val="18"/>
                <w:szCs w:val="18"/>
                <w:b w:val="1"/>
                <w:bCs w:val="1"/>
                <w:color w:val="auto"/>
              </w:rPr>
              <w:t>(175,475 )</w:t>
            </w:r>
          </w:p>
        </w:tc>
        <w:tc>
          <w:tcPr>
            <w:tcW w:w="360" w:type="dxa"/>
            <w:vAlign w:val="bottom"/>
          </w:tcPr>
          <w:p>
            <w:pPr>
              <w:jc w:val="right"/>
              <w:ind w:right="170"/>
              <w:spacing w:after="0" w:line="209"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27,432</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Operatng Actvites</w:t>
      </w:r>
    </w:p>
    <w:p>
      <w:pPr>
        <w:spacing w:after="0" w:line="136"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8"/>
          <w:szCs w:val="18"/>
          <w:color w:val="auto"/>
        </w:rPr>
        <w:t>Net cash provided by operatng actvites was $23.5 million for the three months ended March 31, 2022 due to $3.1 million in net income, non-cash charges of $12.4 million, and net cash infows from a $8.0 million change in net operatng assets. The net cash infows from the change in our net operatng assets were primarily due to the increase in operatons as COVID-19 mitgaton measures contnue to ease.</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Net cash provided by operatng actvites was $30.8 million for the three months ended March 31, 2021 due to $20.3 million in net loss, non-cash charges of $13.3 million, and net cash infows from a $37.7 million change in net operatng assets. The net cash infows from the change in net operatng assets were primarily due to a $37.9 million increase in accounts payable. The increase in accounts payable resulted primarily from an increase in amounts payable to tcket sellers as sales increased in the frst quarter of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Investng Actvites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investng actvites for the three months ended March 31, 2022 was $3.4 million and was primarily related to capital spending on development actvites related to our platorm.</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investng actvites for the three months ended March 31, 2021 was $1.7 million related to capital spending on development actvites related to our platorm.</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i w:val="1"/>
          <w:iCs w:val="1"/>
          <w:color w:val="auto"/>
        </w:rPr>
        <w:t>Cash Used in Financing Actvites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fnancing actvites for the three months ended March 31, 2022 was $195.6 million and was due to the repayment of the June 2017 First Lien Loan in connecton with the refnancing.</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Net cash used in fnancing actvites for the three months ended March 31, 2021 was $1.6 million related to payments on our June 2017 First Lien Loan.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Accountng policies and estmates are considered critcal when they require management to make subjectve and complex judgments, estmates and assumptons about maters that have a material impact on the presentaton of our fnancial statements and accompanying notes. For a descripton of our critcal accountng policies and estmates, see our Annual Report on Form 10-K for the fscal year ended December 31, 2021. During the three months ended March 31, 2022, there were no material changes to our critcal accountng policies from those discussed in the 2021 Form 10-K.</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Refer to Note 2, New Accountng Standards, to our condensed consolidated fnancial statements included elsewhere in this Quarterly Report on Form 10-Q for a descripton of recently adopted accountng pronouncements and issued accountng pronouncements not yet adopted.</w:t>
      </w:r>
    </w:p>
    <w:p>
      <w:pPr>
        <w:spacing w:after="0" w:line="133"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increase or decrease in interest rates, assuming rates are above our interest rate foor, would not have a material impact on interest expense based on amounts outstanding under the June 2017 First Lien Loan and February 2022 First Lien Loan during the three months ended March 31, 2022.</w:t>
      </w:r>
    </w:p>
    <w:p>
      <w:pPr>
        <w:spacing w:after="0" w:line="135"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 there are resource constraints and that management is required to apply judgment in evaluatng the benefts of possible controls and procedures relatve to their costs.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Chief Executve Ofcer and Chief Financial Ofcer, to allow tmely decisions regarding required disclosures.</w:t>
      </w:r>
    </w:p>
    <w:p>
      <w:pPr>
        <w:spacing w:after="0" w:line="9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5" w:name="page36"/>
    <w:bookmarkEnd w:id="35"/>
    <w:p>
      <w:pPr>
        <w:jc w:val="both"/>
        <w:spacing w:after="0" w:line="228"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on Form 10-Q. Based on such evaluaton, our principal executve ofcer and principal fnancial ofcer have concluded that our disclosure controls and procedures were not efectve at reasonable assurance levels as of March 31, 2022 due to the reasons described below.</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connecton with the audit of our consolidated fnancial statements as of December 31, 2021, we identfed a material weakness in our internal control over fnancial reportng related to the implementaton of segregaton of dutes as part of our control actvites,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As part of our plan to remediate this material weakness, we are performing a full review of our internal control procedures. We have implemented, and plan to contnue to implement, new controls and new processes. We have begun to hire and plan to contnue to hire additonal qualifed personnel and establish more robust processes to support our internal control over fnancial reportng, including clearly defned roles and responsibilites and appropriate segregaton of dutes.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There were no changes in our internal control over fnancial reportng (as defned in Rules 13a-15(f) and 15d-15(f) under the Exchange Act) during the quarter ended March 31, 2022 that have materially afected, or are reasonably likely to materially afect, our internal control over fnancial reportng.</w:t>
      </w:r>
    </w:p>
    <w:p>
      <w:pPr>
        <w:spacing w:after="0" w:line="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 - Other Informaton</w:t>
      </w:r>
    </w:p>
    <w:p>
      <w:pPr>
        <w:spacing w:after="0" w:line="1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 Legal Proceedings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Refer to Note 11, Commitments and Contngencies, in our notes to the unaudited condensed consolidated fnancial statements in this Quarterly Report on Form 10-Q.</w:t>
      </w:r>
    </w:p>
    <w:p>
      <w:pPr>
        <w:spacing w:after="0" w:line="13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1A. Risk Factors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additon to the other informaton set forth in this Quarterly Report on Form 10-Q, you should carefully consider the factors discussed under Part I, Item 1A, “Risk Factors” in our 2021 Form 10-K. These factors could materially adversely afect our business, fnancial conditon, liquidity, results of operatons and capital positon, and could cause our actual results to difer materially from our historical results or the results contemplated by any forward-looking statements contained in this Quarterly Report on Form 10-Q. There have been no material changes from the risk factors disclosed in our 2021 Form 10-K.</w:t>
      </w:r>
    </w:p>
    <w:p>
      <w:pPr>
        <w:spacing w:after="0" w:line="14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jc w:val="center"/>
        <w:ind w:right="-19"/>
        <w:spacing w:after="0" w:line="235" w:lineRule="auto"/>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6" w:name="page37"/>
    <w:bookmarkEnd w:id="36"/>
    <w:p>
      <w:pPr>
        <w:jc w:val="right"/>
        <w:ind w:right="3579"/>
        <w:spacing w:after="0"/>
        <w:rPr>
          <w:sz w:val="20"/>
          <w:szCs w:val="20"/>
          <w:color w:val="auto"/>
        </w:rPr>
      </w:pPr>
      <w:r>
        <w:rPr>
          <w:rFonts w:ascii="Calibri" w:cs="Calibri" w:eastAsia="Calibri" w:hAnsi="Calibri"/>
          <w:sz w:val="18"/>
          <w:szCs w:val="18"/>
          <w:b w:val="1"/>
          <w:bCs w:val="1"/>
          <w:color w:val="auto"/>
        </w:rPr>
        <w:t>Item 5. Other Informaton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16"/>
          </w:tcPr>
          <w:p>
            <w:pPr>
              <w:jc w:val="center"/>
              <w:ind w:right="251"/>
              <w:spacing w:after="0"/>
              <w:rPr>
                <w:sz w:val="20"/>
                <w:szCs w:val="20"/>
                <w:color w:val="auto"/>
              </w:rPr>
            </w:pPr>
            <w:r>
              <w:rPr>
                <w:rFonts w:ascii="Calibri" w:cs="Calibri" w:eastAsia="Calibri" w:hAnsi="Calibri"/>
                <w:sz w:val="18"/>
                <w:szCs w:val="18"/>
                <w:b w:val="1"/>
                <w:bCs w:val="1"/>
                <w:color w:val="auto"/>
                <w:w w:val="96"/>
              </w:rPr>
              <w:t>Item 6. Exhibits</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3"/>
          </w:tcPr>
          <w:p>
            <w:pPr>
              <w:ind w:left="720"/>
              <w:spacing w:after="0"/>
              <w:rPr>
                <w:sz w:val="20"/>
                <w:szCs w:val="20"/>
                <w:color w:val="auto"/>
              </w:rPr>
            </w:pPr>
            <w:r>
              <w:rPr>
                <w:rFonts w:ascii="Calibri" w:cs="Calibri" w:eastAsia="Calibri" w:hAnsi="Calibri"/>
                <w:sz w:val="18"/>
                <w:szCs w:val="18"/>
                <w:b w:val="1"/>
                <w:bCs w:val="1"/>
                <w:color w:val="auto"/>
              </w:rPr>
              <w:t>Incorporated by Reference</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vMerge w:val="restart"/>
          </w:tcPr>
          <w:p>
            <w:pPr>
              <w:jc w:val="right"/>
              <w:ind w:right="132"/>
              <w:spacing w:after="0" w:line="190" w:lineRule="exact"/>
              <w:rPr>
                <w:sz w:val="20"/>
                <w:szCs w:val="20"/>
                <w:color w:val="auto"/>
              </w:rPr>
            </w:pPr>
            <w:r>
              <w:rPr>
                <w:rFonts w:ascii="Calibri" w:cs="Calibri" w:eastAsia="Calibri" w:hAnsi="Calibri"/>
                <w:sz w:val="18"/>
                <w:szCs w:val="18"/>
                <w:b w:val="1"/>
                <w:bCs w:val="1"/>
                <w:color w:val="auto"/>
              </w:rPr>
              <w:t>Exhibit</w:t>
            </w:r>
          </w:p>
        </w:tc>
        <w:tc>
          <w:tcPr>
            <w:tcW w:w="7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580" w:type="dxa"/>
            <w:vAlign w:val="bottom"/>
            <w:gridSpan w:val="19"/>
            <w:vMerge w:val="restart"/>
          </w:tcPr>
          <w:p>
            <w:pPr>
              <w:ind w:left="340"/>
              <w:spacing w:after="0" w:line="190" w:lineRule="exact"/>
              <w:rPr>
                <w:sz w:val="20"/>
                <w:szCs w:val="20"/>
                <w:color w:val="auto"/>
              </w:rPr>
            </w:pPr>
            <w:r>
              <w:rPr>
                <w:rFonts w:ascii="Calibri" w:cs="Calibri" w:eastAsia="Calibri" w:hAnsi="Calibri"/>
                <w:sz w:val="18"/>
                <w:szCs w:val="18"/>
                <w:b w:val="1"/>
                <w:bCs w:val="1"/>
                <w:color w:val="auto"/>
              </w:rPr>
              <w:t>Descripton</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line="190" w:lineRule="exact"/>
              <w:rPr>
                <w:sz w:val="20"/>
                <w:szCs w:val="20"/>
                <w:color w:val="auto"/>
              </w:rPr>
            </w:pPr>
            <w:r>
              <w:rPr>
                <w:rFonts w:ascii="Calibri" w:cs="Calibri" w:eastAsia="Calibri" w:hAnsi="Calibri"/>
                <w:sz w:val="18"/>
                <w:szCs w:val="18"/>
                <w:b w:val="1"/>
                <w:bCs w:val="1"/>
                <w:color w:val="auto"/>
                <w:w w:val="97"/>
              </w:rPr>
              <w:t>Filed / Furnished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580" w:type="dxa"/>
            <w:vAlign w:val="bottom"/>
            <w:gridSpan w:val="19"/>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ind w:left="360"/>
              <w:spacing w:after="0" w:line="147" w:lineRule="exact"/>
              <w:rPr>
                <w:sz w:val="20"/>
                <w:szCs w:val="20"/>
                <w:color w:val="auto"/>
              </w:rPr>
            </w:pPr>
            <w:r>
              <w:rPr>
                <w:rFonts w:ascii="Calibri" w:cs="Calibri" w:eastAsia="Calibri" w:hAnsi="Calibri"/>
                <w:sz w:val="16"/>
                <w:szCs w:val="16"/>
                <w:b w:val="1"/>
                <w:bCs w:val="1"/>
                <w:color w:val="auto"/>
              </w:rPr>
              <w:t>Form</w:t>
            </w:r>
          </w:p>
        </w:tc>
        <w:tc>
          <w:tcPr>
            <w:tcW w:w="1040" w:type="dxa"/>
            <w:vAlign w:val="bottom"/>
          </w:tcPr>
          <w:p>
            <w:pPr>
              <w:ind w:left="420"/>
              <w:spacing w:after="0" w:line="147" w:lineRule="exact"/>
              <w:rPr>
                <w:sz w:val="20"/>
                <w:szCs w:val="20"/>
                <w:color w:val="auto"/>
              </w:rPr>
            </w:pPr>
            <w:r>
              <w:rPr>
                <w:rFonts w:ascii="Calibri" w:cs="Calibri" w:eastAsia="Calibri" w:hAnsi="Calibri"/>
                <w:sz w:val="16"/>
                <w:szCs w:val="16"/>
                <w:b w:val="1"/>
                <w:bCs w:val="1"/>
                <w:color w:val="auto"/>
              </w:rPr>
              <w:t>Exhibit</w:t>
            </w:r>
          </w:p>
        </w:tc>
        <w:tc>
          <w:tcPr>
            <w:tcW w:w="1420" w:type="dxa"/>
            <w:vAlign w:val="bottom"/>
          </w:tcPr>
          <w:p>
            <w:pPr>
              <w:ind w:left="380"/>
              <w:spacing w:after="0" w:line="147" w:lineRule="exact"/>
              <w:rPr>
                <w:sz w:val="20"/>
                <w:szCs w:val="20"/>
                <w:color w:val="auto"/>
              </w:rPr>
            </w:pPr>
            <w:r>
              <w:rPr>
                <w:rFonts w:ascii="Calibri" w:cs="Calibri" w:eastAsia="Calibri" w:hAnsi="Calibri"/>
                <w:sz w:val="16"/>
                <w:szCs w:val="16"/>
                <w:b w:val="1"/>
                <w:bCs w:val="1"/>
                <w:color w:val="auto"/>
              </w:rPr>
              <w:t>Filing Date</w:t>
            </w:r>
          </w:p>
        </w:tc>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920" w:type="dxa"/>
            <w:vAlign w:val="bottom"/>
          </w:tcPr>
          <w:p>
            <w:pPr>
              <w:jc w:val="right"/>
              <w:ind w:right="72"/>
              <w:spacing w:after="0" w:line="215" w:lineRule="exact"/>
              <w:rPr>
                <w:sz w:val="20"/>
                <w:szCs w:val="20"/>
                <w:color w:val="auto"/>
              </w:rPr>
            </w:pPr>
            <w:r>
              <w:rPr>
                <w:rFonts w:ascii="Calibri" w:cs="Calibri" w:eastAsia="Calibri" w:hAnsi="Calibri"/>
                <w:sz w:val="18"/>
                <w:szCs w:val="18"/>
                <w:b w:val="1"/>
                <w:bCs w:val="1"/>
                <w:color w:val="auto"/>
              </w:rPr>
              <w:t>Number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Herewith</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20" w:type="dxa"/>
            <w:vAlign w:val="bottom"/>
          </w:tcPr>
          <w:p>
            <w:pPr>
              <w:jc w:val="right"/>
              <w:ind w:right="592"/>
              <w:spacing w:after="0" w:line="142" w:lineRule="exact"/>
              <w:rPr>
                <w:sz w:val="20"/>
                <w:szCs w:val="20"/>
                <w:color w:val="auto"/>
              </w:rPr>
            </w:pPr>
            <w:r>
              <w:rPr>
                <w:rFonts w:ascii="Calibri" w:cs="Calibri" w:eastAsia="Calibri" w:hAnsi="Calibri"/>
                <w:sz w:val="15"/>
                <w:szCs w:val="15"/>
                <w:color w:val="auto"/>
              </w:rPr>
              <w:t>2.1</w:t>
            </w:r>
          </w:p>
        </w:tc>
        <w:tc>
          <w:tcPr>
            <w:tcW w:w="4640" w:type="dxa"/>
            <w:vAlign w:val="bottom"/>
            <w:gridSpan w:val="27"/>
          </w:tcPr>
          <w:p>
            <w:pPr>
              <w:spacing w:after="0" w:line="142" w:lineRule="exact"/>
              <w:rPr>
                <w:rFonts w:ascii="Calibri" w:cs="Calibri" w:eastAsia="Calibri" w:hAnsi="Calibri"/>
                <w:sz w:val="15"/>
                <w:szCs w:val="15"/>
                <w:color w:val="0000FF"/>
              </w:rPr>
            </w:pPr>
            <w:hyperlink r:id="rId202">
              <w:r>
                <w:rPr>
                  <w:rFonts w:ascii="Calibri" w:cs="Calibri" w:eastAsia="Calibri" w:hAnsi="Calibri"/>
                  <w:sz w:val="15"/>
                  <w:szCs w:val="15"/>
                  <w:color w:val="0000FF"/>
                </w:rPr>
                <w:t xml:space="preserve">Transacton Agreement dated April 21, 2021 among </w:t>
              </w:r>
            </w:hyperlink>
            <w:r>
              <w:rPr>
                <w:rFonts w:ascii="Calibri" w:cs="Calibri" w:eastAsia="Calibri" w:hAnsi="Calibri"/>
                <w:sz w:val="15"/>
                <w:szCs w:val="15"/>
                <w:color w:val="000000"/>
              </w:rPr>
              <w:t>S-4</w:t>
            </w:r>
          </w:p>
        </w:tc>
        <w:tc>
          <w:tcPr>
            <w:tcW w:w="1040" w:type="dxa"/>
            <w:vAlign w:val="bottom"/>
          </w:tcPr>
          <w:p>
            <w:pPr>
              <w:ind w:left="180"/>
              <w:spacing w:after="0" w:line="142" w:lineRule="exact"/>
              <w:rPr>
                <w:sz w:val="20"/>
                <w:szCs w:val="20"/>
                <w:color w:val="auto"/>
              </w:rPr>
            </w:pPr>
            <w:r>
              <w:rPr>
                <w:rFonts w:ascii="Calibri" w:cs="Calibri" w:eastAsia="Calibri" w:hAnsi="Calibri"/>
                <w:sz w:val="15"/>
                <w:szCs w:val="15"/>
                <w:color w:val="auto"/>
              </w:rPr>
              <w:t>2.1</w:t>
            </w:r>
          </w:p>
        </w:tc>
        <w:tc>
          <w:tcPr>
            <w:tcW w:w="1420" w:type="dxa"/>
            <w:vAlign w:val="bottom"/>
          </w:tcPr>
          <w:p>
            <w:pPr>
              <w:ind w:left="120"/>
              <w:spacing w:after="0" w:line="142" w:lineRule="exact"/>
              <w:rPr>
                <w:sz w:val="20"/>
                <w:szCs w:val="20"/>
                <w:color w:val="auto"/>
              </w:rPr>
            </w:pPr>
            <w:r>
              <w:rPr>
                <w:rFonts w:ascii="Calibri" w:cs="Calibri" w:eastAsia="Calibri" w:hAnsi="Calibri"/>
                <w:sz w:val="15"/>
                <w:szCs w:val="15"/>
                <w:color w:val="auto"/>
              </w:rPr>
              <w:t>5/28/2021</w:t>
            </w: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Borders>
              <w:top w:val="single" w:sz="8" w:color="0000FF"/>
            </w:tcBorders>
            <w:gridSpan w:val="24"/>
          </w:tcPr>
          <w:p>
            <w:pPr>
              <w:spacing w:after="0" w:line="169" w:lineRule="exact"/>
              <w:rPr>
                <w:rFonts w:ascii="Calibri" w:cs="Calibri" w:eastAsia="Calibri" w:hAnsi="Calibri"/>
                <w:sz w:val="18"/>
                <w:szCs w:val="18"/>
                <w:color w:val="0000FF"/>
              </w:rPr>
            </w:pPr>
            <w:hyperlink r:id="rId202">
              <w:r>
                <w:rPr>
                  <w:rFonts w:ascii="Calibri" w:cs="Calibri" w:eastAsia="Calibri" w:hAnsi="Calibri"/>
                  <w:sz w:val="18"/>
                  <w:szCs w:val="18"/>
                  <w:color w:val="0000FF"/>
                </w:rPr>
                <w:t>Horizon Acquisiton Corporaton, Horizon Sponsor,</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1"/>
          </w:tcPr>
          <w:p>
            <w:pPr>
              <w:spacing w:after="0" w:line="169" w:lineRule="exact"/>
              <w:rPr>
                <w:rFonts w:ascii="Calibri" w:cs="Calibri" w:eastAsia="Calibri" w:hAnsi="Calibri"/>
                <w:sz w:val="18"/>
                <w:szCs w:val="18"/>
                <w:color w:val="0000FF"/>
                <w:w w:val="98"/>
              </w:rPr>
            </w:pPr>
            <w:hyperlink r:id="rId202">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02">
              <w:r>
                <w:rPr>
                  <w:rFonts w:ascii="Calibri" w:cs="Calibri" w:eastAsia="Calibri" w:hAnsi="Calibri"/>
                  <w:sz w:val="18"/>
                  <w:szCs w:val="18"/>
                  <w:color w:val="0000FF"/>
                  <w:w w:val="95"/>
                </w:rPr>
                <w:t>Vivid Seats Inc.</w:t>
              </w:r>
            </w:hyperlink>
          </w:p>
        </w:tc>
        <w:tc>
          <w:tcPr>
            <w:tcW w:w="40" w:type="dxa"/>
            <w:vAlign w:val="bottom"/>
            <w:tcBorders>
              <w:top w:val="single" w:sz="8" w:color="0000FF"/>
              <w:bottom w:val="single" w:sz="8" w:color="0000EE"/>
            </w:tcBorders>
            <w:gridSpan w:val="2"/>
          </w:tcPr>
          <w:p>
            <w:pPr>
              <w:spacing w:after="0"/>
              <w:rPr>
                <w:sz w:val="14"/>
                <w:szCs w:val="14"/>
                <w:color w:val="auto"/>
              </w:rPr>
            </w:pPr>
          </w:p>
        </w:tc>
        <w:tc>
          <w:tcPr>
            <w:tcW w:w="24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2.2</w:t>
            </w:r>
          </w:p>
        </w:tc>
        <w:tc>
          <w:tcPr>
            <w:tcW w:w="3680" w:type="dxa"/>
            <w:vAlign w:val="bottom"/>
            <w:gridSpan w:val="24"/>
          </w:tcPr>
          <w:p>
            <w:pPr>
              <w:spacing w:after="0" w:line="183" w:lineRule="exact"/>
              <w:rPr>
                <w:rFonts w:ascii="Calibri" w:cs="Calibri" w:eastAsia="Calibri" w:hAnsi="Calibri"/>
                <w:sz w:val="18"/>
                <w:szCs w:val="18"/>
                <w:color w:val="0000FF"/>
              </w:rPr>
            </w:pPr>
            <w:hyperlink r:id="rId203">
              <w:r>
                <w:rPr>
                  <w:rFonts w:ascii="Calibri" w:cs="Calibri" w:eastAsia="Calibri" w:hAnsi="Calibri"/>
                  <w:sz w:val="18"/>
                  <w:szCs w:val="18"/>
                  <w:color w:val="0000FF"/>
                </w:rPr>
                <w:t>Purchase, Sale and Redempton Agreement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S-4</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5/28/2021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0" w:type="dxa"/>
            <w:vAlign w:val="bottom"/>
            <w:tcBorders>
              <w:top w:val="single" w:sz="8" w:color="0000FF"/>
            </w:tcBorders>
            <w:gridSpan w:val="20"/>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April 21, 2021 among Hoya Topco, LLC, Hoya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0"/>
          </w:tcPr>
          <w:p>
            <w:pPr>
              <w:spacing w:after="0" w:line="169" w:lineRule="exact"/>
              <w:rPr>
                <w:rFonts w:ascii="Calibri" w:cs="Calibri" w:eastAsia="Calibri" w:hAnsi="Calibri"/>
                <w:sz w:val="18"/>
                <w:szCs w:val="18"/>
                <w:color w:val="0000FF"/>
                <w:w w:val="97"/>
              </w:rPr>
            </w:pPr>
            <w:hyperlink r:id="rId203">
              <w:r>
                <w:rPr>
                  <w:rFonts w:ascii="Calibri" w:cs="Calibri" w:eastAsia="Calibri" w:hAnsi="Calibri"/>
                  <w:sz w:val="18"/>
                  <w:szCs w:val="18"/>
                  <w:color w:val="0000FF"/>
                  <w:w w:val="97"/>
                </w:rPr>
                <w:t>Intermediate, LLC, Vivid Seats Inc., Crescent</w:t>
              </w:r>
            </w:hyperlink>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gridSpan w:val="24"/>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Mezzanine Partners VIB, L.P., Crescent Mezzanine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60" w:type="dxa"/>
            <w:vAlign w:val="bottom"/>
            <w:tcBorders>
              <w:top w:val="single" w:sz="8" w:color="0000FF"/>
            </w:tcBorders>
            <w:gridSpan w:val="18"/>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Partners VIC, L.P., NPS/Crescent Strategic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7"/>
          </w:tcPr>
          <w:p>
            <w:pPr>
              <w:spacing w:after="0" w:line="169" w:lineRule="exact"/>
              <w:rPr>
                <w:rFonts w:ascii="Calibri" w:cs="Calibri" w:eastAsia="Calibri" w:hAnsi="Calibri"/>
                <w:sz w:val="18"/>
                <w:szCs w:val="18"/>
                <w:color w:val="0000FF"/>
                <w:w w:val="91"/>
              </w:rPr>
            </w:pPr>
            <w:hyperlink r:id="rId203">
              <w:r>
                <w:rPr>
                  <w:rFonts w:ascii="Calibri" w:cs="Calibri" w:eastAsia="Calibri" w:hAnsi="Calibri"/>
                  <w:sz w:val="18"/>
                  <w:szCs w:val="18"/>
                  <w:color w:val="0000FF"/>
                  <w:w w:val="91"/>
                </w:rPr>
                <w:t>Partnership II, LP, CM7C VS Equity Holdings,</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320" w:type="dxa"/>
            <w:vAlign w:val="bottom"/>
            <w:tcBorders>
              <w:bottom w:val="single" w:sz="8" w:color="0000FF"/>
            </w:tcBorders>
            <w:gridSpan w:val="4"/>
          </w:tcPr>
          <w:p>
            <w:pPr>
              <w:ind w:left="100"/>
              <w:spacing w:after="0" w:line="169" w:lineRule="exact"/>
              <w:rPr>
                <w:rFonts w:ascii="Calibri" w:cs="Calibri" w:eastAsia="Calibri" w:hAnsi="Calibri"/>
                <w:sz w:val="18"/>
                <w:szCs w:val="18"/>
                <w:color w:val="0000FF"/>
                <w:w w:val="93"/>
              </w:rPr>
            </w:pPr>
            <w:hyperlink r:id="rId203">
              <w:r>
                <w:rPr>
                  <w:rFonts w:ascii="Calibri" w:cs="Calibri" w:eastAsia="Calibri" w:hAnsi="Calibri"/>
                  <w:sz w:val="18"/>
                  <w:szCs w:val="18"/>
                  <w:color w:val="0000FF"/>
                  <w:w w:val="93"/>
                </w:rPr>
                <w:t>LP,</w:t>
              </w:r>
            </w:hyperlink>
          </w:p>
        </w:tc>
        <w:tc>
          <w:tcPr>
            <w:tcW w:w="34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gridSpan w:val="24"/>
          </w:tcPr>
          <w:p>
            <w:pPr>
              <w:spacing w:after="0" w:line="169" w:lineRule="exact"/>
              <w:rPr>
                <w:rFonts w:ascii="Calibri" w:cs="Calibri" w:eastAsia="Calibri" w:hAnsi="Calibri"/>
                <w:sz w:val="18"/>
                <w:szCs w:val="18"/>
                <w:color w:val="0000FF"/>
                <w:w w:val="97"/>
              </w:rPr>
            </w:pPr>
            <w:hyperlink r:id="rId203">
              <w:r>
                <w:rPr>
                  <w:rFonts w:ascii="Calibri" w:cs="Calibri" w:eastAsia="Calibri" w:hAnsi="Calibri"/>
                  <w:sz w:val="18"/>
                  <w:szCs w:val="18"/>
                  <w:color w:val="0000FF"/>
                  <w:w w:val="97"/>
                </w:rPr>
                <w:t>Crescent Mezzanine Partners VIIB, L.P., CM6B Vivid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Borders>
              <w:top w:val="single" w:sz="8" w:color="0000FF"/>
            </w:tcBorders>
            <w:gridSpan w:val="23"/>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Equity, Inc., CM6C Vivid Equity, Inc., CM7C VS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9"/>
          </w:tcPr>
          <w:p>
            <w:pPr>
              <w:spacing w:after="0" w:line="169" w:lineRule="exact"/>
              <w:rPr>
                <w:rFonts w:ascii="Calibri" w:cs="Calibri" w:eastAsia="Calibri" w:hAnsi="Calibri"/>
                <w:sz w:val="18"/>
                <w:szCs w:val="18"/>
                <w:color w:val="0000FF"/>
                <w:w w:val="96"/>
              </w:rPr>
            </w:pPr>
            <w:hyperlink r:id="rId203">
              <w:r>
                <w:rPr>
                  <w:rFonts w:ascii="Calibri" w:cs="Calibri" w:eastAsia="Calibri" w:hAnsi="Calibri"/>
                  <w:sz w:val="18"/>
                  <w:szCs w:val="18"/>
                  <w:color w:val="0000FF"/>
                  <w:w w:val="96"/>
                </w:rPr>
                <w:t>Equity, LLC, CM7B VS Equity, LLC, Crescent</w:t>
              </w:r>
            </w:hyperlink>
          </w:p>
        </w:tc>
        <w:tc>
          <w:tcPr>
            <w:tcW w:w="22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40" w:type="dxa"/>
            <w:vAlign w:val="bottom"/>
            <w:tcBorders>
              <w:bottom w:val="single" w:sz="8" w:color="0000FF"/>
            </w:tcBorders>
            <w:gridSpan w:val="16"/>
          </w:tcPr>
          <w:p>
            <w:pPr>
              <w:spacing w:after="0" w:line="169" w:lineRule="exact"/>
              <w:rPr>
                <w:rFonts w:ascii="Calibri" w:cs="Calibri" w:eastAsia="Calibri" w:hAnsi="Calibri"/>
                <w:sz w:val="18"/>
                <w:szCs w:val="18"/>
                <w:color w:val="0000FF"/>
                <w:w w:val="96"/>
              </w:rPr>
            </w:pPr>
            <w:hyperlink r:id="rId203">
              <w:r>
                <w:rPr>
                  <w:rFonts w:ascii="Calibri" w:cs="Calibri" w:eastAsia="Calibri" w:hAnsi="Calibri"/>
                  <w:sz w:val="18"/>
                  <w:szCs w:val="18"/>
                  <w:color w:val="0000FF"/>
                  <w:w w:val="96"/>
                </w:rPr>
                <w:t>Mezzanine Partners VI, L.P., Crescent Mezzanine</w:t>
              </w:r>
            </w:hyperlink>
          </w:p>
        </w:tc>
        <w:tc>
          <w:tcPr>
            <w:tcW w:w="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gridSpan w:val="24"/>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Partners VII, L.P., Crescent Mezzanine Partners VII</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tcBorders>
              <w:top w:val="single" w:sz="8" w:color="0000FF"/>
            </w:tcBorders>
            <w:gridSpan w:val="19"/>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(LTL), L.P., CBDC Universal Equity, Inc., Crescent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60" w:type="dxa"/>
            <w:vAlign w:val="bottom"/>
            <w:tcBorders>
              <w:top w:val="single" w:sz="8" w:color="0000FF"/>
            </w:tcBorders>
            <w:gridSpan w:val="14"/>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Capital Group, LP and Horizon Acquisiton</w:t>
              </w:r>
            </w:hyperlink>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80" w:type="dxa"/>
            <w:vAlign w:val="bottom"/>
            <w:tcBorders>
              <w:top w:val="single" w:sz="8" w:color="0000FF"/>
            </w:tcBorders>
            <w:gridSpan w:val="8"/>
          </w:tcPr>
          <w:p>
            <w:pPr>
              <w:spacing w:after="0" w:line="169" w:lineRule="exact"/>
              <w:rPr>
                <w:rFonts w:ascii="Calibri" w:cs="Calibri" w:eastAsia="Calibri" w:hAnsi="Calibri"/>
                <w:sz w:val="18"/>
                <w:szCs w:val="18"/>
                <w:color w:val="0000FF"/>
              </w:rPr>
            </w:pPr>
            <w:hyperlink r:id="rId203">
              <w:r>
                <w:rPr>
                  <w:rFonts w:ascii="Calibri" w:cs="Calibri" w:eastAsia="Calibri" w:hAnsi="Calibri"/>
                  <w:sz w:val="18"/>
                  <w:szCs w:val="18"/>
                  <w:color w:val="0000FF"/>
                </w:rPr>
                <w:t>Corporaton</w:t>
              </w:r>
            </w:hyperlink>
          </w:p>
        </w:tc>
        <w:tc>
          <w:tcPr>
            <w:tcW w:w="3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2.3</w:t>
            </w:r>
          </w:p>
        </w:tc>
        <w:tc>
          <w:tcPr>
            <w:tcW w:w="3340" w:type="dxa"/>
            <w:vAlign w:val="bottom"/>
            <w:tcBorders>
              <w:bottom w:val="single" w:sz="8" w:color="0000FF"/>
            </w:tcBorders>
            <w:gridSpan w:val="13"/>
          </w:tcPr>
          <w:p>
            <w:pPr>
              <w:spacing w:after="0" w:line="183" w:lineRule="exact"/>
              <w:rPr>
                <w:rFonts w:ascii="Calibri" w:cs="Calibri" w:eastAsia="Calibri" w:hAnsi="Calibri"/>
                <w:sz w:val="18"/>
                <w:szCs w:val="18"/>
                <w:color w:val="0000FF"/>
                <w:w w:val="97"/>
              </w:rPr>
            </w:pPr>
            <w:hyperlink r:id="rId204">
              <w:r>
                <w:rPr>
                  <w:rFonts w:ascii="Calibri" w:cs="Calibri" w:eastAsia="Calibri" w:hAnsi="Calibri"/>
                  <w:sz w:val="18"/>
                  <w:szCs w:val="18"/>
                  <w:color w:val="0000FF"/>
                  <w:w w:val="97"/>
                </w:rPr>
                <w:t>Plan of Merger dated October 18, 2021 among</w:t>
              </w:r>
            </w:hyperlink>
          </w:p>
        </w:tc>
        <w:tc>
          <w:tcPr>
            <w:tcW w:w="34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10-Q</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11/15/2021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gridSpan w:val="24"/>
          </w:tcPr>
          <w:p>
            <w:pPr>
              <w:spacing w:after="0" w:line="169" w:lineRule="exact"/>
              <w:rPr>
                <w:rFonts w:ascii="Calibri" w:cs="Calibri" w:eastAsia="Calibri" w:hAnsi="Calibri"/>
                <w:sz w:val="18"/>
                <w:szCs w:val="18"/>
                <w:color w:val="0000FF"/>
              </w:rPr>
            </w:pPr>
            <w:hyperlink r:id="rId204">
              <w:r>
                <w:rPr>
                  <w:rFonts w:ascii="Calibri" w:cs="Calibri" w:eastAsia="Calibri" w:hAnsi="Calibri"/>
                  <w:sz w:val="18"/>
                  <w:szCs w:val="18"/>
                  <w:color w:val="0000FF"/>
                </w:rPr>
                <w:t>Horizon Acquisiton Corporaton, Horizon Sponsor,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1"/>
          </w:tcPr>
          <w:p>
            <w:pPr>
              <w:spacing w:after="0" w:line="169" w:lineRule="exact"/>
              <w:rPr>
                <w:rFonts w:ascii="Calibri" w:cs="Calibri" w:eastAsia="Calibri" w:hAnsi="Calibri"/>
                <w:sz w:val="18"/>
                <w:szCs w:val="18"/>
                <w:color w:val="0000FF"/>
                <w:w w:val="98"/>
              </w:rPr>
            </w:pPr>
            <w:hyperlink r:id="rId204">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04">
              <w:r>
                <w:rPr>
                  <w:rFonts w:ascii="Calibri" w:cs="Calibri" w:eastAsia="Calibri" w:hAnsi="Calibri"/>
                  <w:sz w:val="18"/>
                  <w:szCs w:val="18"/>
                  <w:color w:val="0000FF"/>
                  <w:w w:val="95"/>
                </w:rPr>
                <w:t>Vivid Seats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1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3.1</w:t>
            </w:r>
          </w:p>
        </w:tc>
        <w:tc>
          <w:tcPr>
            <w:tcW w:w="3640" w:type="dxa"/>
            <w:vAlign w:val="bottom"/>
            <w:tcBorders>
              <w:bottom w:val="single" w:sz="8" w:color="0000FF"/>
            </w:tcBorders>
            <w:gridSpan w:val="22"/>
          </w:tcPr>
          <w:p>
            <w:pPr>
              <w:spacing w:after="0" w:line="183" w:lineRule="exact"/>
              <w:rPr>
                <w:rFonts w:ascii="Calibri" w:cs="Calibri" w:eastAsia="Calibri" w:hAnsi="Calibri"/>
                <w:sz w:val="18"/>
                <w:szCs w:val="18"/>
                <w:color w:val="0000FF"/>
                <w:w w:val="99"/>
              </w:rPr>
            </w:pPr>
            <w:hyperlink r:id="rId205">
              <w:r>
                <w:rPr>
                  <w:rFonts w:ascii="Calibri" w:cs="Calibri" w:eastAsia="Calibri" w:hAnsi="Calibri"/>
                  <w:sz w:val="18"/>
                  <w:szCs w:val="18"/>
                  <w:color w:val="0000FF"/>
                  <w:w w:val="99"/>
                </w:rPr>
                <w:t>Amended and Restated Certfcate of Incorporaton</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3.1</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3.2</w:t>
            </w:r>
          </w:p>
        </w:tc>
        <w:tc>
          <w:tcPr>
            <w:tcW w:w="3680" w:type="dxa"/>
            <w:vAlign w:val="bottom"/>
            <w:tcBorders>
              <w:bottom w:val="single" w:sz="8" w:color="0000FF"/>
            </w:tcBorders>
            <w:gridSpan w:val="24"/>
          </w:tcPr>
          <w:p>
            <w:pPr>
              <w:spacing w:after="0" w:line="183" w:lineRule="exact"/>
              <w:rPr>
                <w:sz w:val="20"/>
                <w:szCs w:val="20"/>
                <w:color w:val="auto"/>
              </w:rPr>
            </w:pPr>
            <w:r>
              <w:rPr>
                <w:rFonts w:ascii="Calibri" w:cs="Calibri" w:eastAsia="Calibri" w:hAnsi="Calibri"/>
                <w:sz w:val="18"/>
                <w:szCs w:val="18"/>
                <w:color w:val="0000FF"/>
                <w:w w:val="97"/>
              </w:rPr>
              <w:t>First Amendment to Amended and Restated Bylaws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jc w:val="center"/>
              <w:spacing w:after="0" w:line="183" w:lineRule="exact"/>
              <w:rPr>
                <w:sz w:val="20"/>
                <w:szCs w:val="20"/>
                <w:color w:val="auto"/>
              </w:rPr>
            </w:pPr>
            <w:r>
              <w:rPr>
                <w:rFonts w:ascii="Calibri" w:cs="Calibri" w:eastAsia="Calibri" w:hAnsi="Calibri"/>
                <w:sz w:val="18"/>
                <w:szCs w:val="18"/>
                <w:color w:val="auto"/>
                <w:w w:val="88"/>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3.3</w:t>
            </w:r>
          </w:p>
        </w:tc>
        <w:tc>
          <w:tcPr>
            <w:tcW w:w="3680" w:type="dxa"/>
            <w:vAlign w:val="bottom"/>
            <w:gridSpan w:val="24"/>
          </w:tcPr>
          <w:p>
            <w:pPr>
              <w:spacing w:after="0" w:line="183" w:lineRule="exact"/>
              <w:rPr>
                <w:rFonts w:ascii="Calibri" w:cs="Calibri" w:eastAsia="Calibri" w:hAnsi="Calibri"/>
                <w:sz w:val="18"/>
                <w:szCs w:val="18"/>
                <w:color w:val="0000FF"/>
              </w:rPr>
            </w:pPr>
            <w:hyperlink r:id="rId206">
              <w:r>
                <w:rPr>
                  <w:rFonts w:ascii="Calibri" w:cs="Calibri" w:eastAsia="Calibri" w:hAnsi="Calibri"/>
                  <w:sz w:val="18"/>
                  <w:szCs w:val="18"/>
                  <w:color w:val="0000FF"/>
                </w:rPr>
                <w:t>Amended and Restated Bylaws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4.1</w:t>
            </w:r>
          </w:p>
        </w:tc>
        <w:tc>
          <w:tcPr>
            <w:tcW w:w="3680" w:type="dxa"/>
            <w:vAlign w:val="bottom"/>
            <w:gridSpan w:val="24"/>
          </w:tcPr>
          <w:p>
            <w:pPr>
              <w:spacing w:after="0" w:line="183" w:lineRule="exact"/>
              <w:rPr>
                <w:rFonts w:ascii="Calibri" w:cs="Calibri" w:eastAsia="Calibri" w:hAnsi="Calibri"/>
                <w:sz w:val="18"/>
                <w:szCs w:val="18"/>
                <w:color w:val="0000FF"/>
                <w:w w:val="99"/>
              </w:rPr>
            </w:pPr>
            <w:hyperlink r:id="rId207">
              <w:r>
                <w:rPr>
                  <w:rFonts w:ascii="Calibri" w:cs="Calibri" w:eastAsia="Calibri" w:hAnsi="Calibri"/>
                  <w:sz w:val="18"/>
                  <w:szCs w:val="18"/>
                  <w:color w:val="0000FF"/>
                  <w:w w:val="99"/>
                </w:rPr>
                <w:t>Amended and Restated Warrant Agreement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10.7</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5"/>
          </w:tcPr>
          <w:p>
            <w:pPr>
              <w:spacing w:after="0" w:line="169" w:lineRule="exact"/>
              <w:rPr>
                <w:rFonts w:ascii="Calibri" w:cs="Calibri" w:eastAsia="Calibri" w:hAnsi="Calibri"/>
                <w:sz w:val="18"/>
                <w:szCs w:val="18"/>
                <w:color w:val="0000FF"/>
                <w:w w:val="99"/>
              </w:rPr>
            </w:pPr>
            <w:hyperlink r:id="rId207">
              <w:r>
                <w:rPr>
                  <w:rFonts w:ascii="Calibri" w:cs="Calibri" w:eastAsia="Calibri" w:hAnsi="Calibri"/>
                  <w:sz w:val="18"/>
                  <w:szCs w:val="18"/>
                  <w:color w:val="0000FF"/>
                  <w:w w:val="99"/>
                </w:rPr>
                <w:t>October 14, 2021 between Horizon Acquisiton</w:t>
              </w:r>
            </w:hyperlink>
          </w:p>
        </w:tc>
        <w:tc>
          <w:tcPr>
            <w:tcW w:w="26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Borders>
              <w:bottom w:val="single" w:sz="8" w:color="0000FF"/>
            </w:tcBorders>
            <w:gridSpan w:val="24"/>
          </w:tcPr>
          <w:p>
            <w:pPr>
              <w:spacing w:after="0" w:line="169" w:lineRule="exact"/>
              <w:rPr>
                <w:rFonts w:ascii="Calibri" w:cs="Calibri" w:eastAsia="Calibri" w:hAnsi="Calibri"/>
                <w:sz w:val="18"/>
                <w:szCs w:val="18"/>
                <w:color w:val="0000FF"/>
                <w:w w:val="99"/>
              </w:rPr>
            </w:pPr>
            <w:hyperlink r:id="rId207">
              <w:r>
                <w:rPr>
                  <w:rFonts w:ascii="Calibri" w:cs="Calibri" w:eastAsia="Calibri" w:hAnsi="Calibri"/>
                  <w:sz w:val="18"/>
                  <w:szCs w:val="18"/>
                  <w:color w:val="0000FF"/>
                  <w:w w:val="99"/>
                </w:rPr>
                <w:t>Corporaton and Contnental Stock Transfer &amp; Trust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gridSpan w:val="24"/>
          </w:tcPr>
          <w:p>
            <w:pPr>
              <w:spacing w:after="0" w:line="169" w:lineRule="exact"/>
              <w:rPr>
                <w:rFonts w:ascii="Calibri" w:cs="Calibri" w:eastAsia="Calibri" w:hAnsi="Calibri"/>
                <w:sz w:val="18"/>
                <w:szCs w:val="18"/>
                <w:color w:val="0000FF"/>
              </w:rPr>
            </w:pPr>
            <w:hyperlink r:id="rId207">
              <w:r>
                <w:rPr>
                  <w:rFonts w:ascii="Calibri" w:cs="Calibri" w:eastAsia="Calibri" w:hAnsi="Calibri"/>
                  <w:sz w:val="18"/>
                  <w:szCs w:val="18"/>
                  <w:color w:val="0000FF"/>
                </w:rPr>
                <w:t>Company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gridSpan w:val="1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4.2</w:t>
            </w:r>
          </w:p>
        </w:tc>
        <w:tc>
          <w:tcPr>
            <w:tcW w:w="4640" w:type="dxa"/>
            <w:vAlign w:val="bottom"/>
            <w:gridSpan w:val="27"/>
          </w:tcPr>
          <w:p>
            <w:pPr>
              <w:spacing w:after="0" w:line="183" w:lineRule="exact"/>
              <w:rPr>
                <w:rFonts w:ascii="Calibri" w:cs="Calibri" w:eastAsia="Calibri" w:hAnsi="Calibri"/>
                <w:sz w:val="18"/>
                <w:szCs w:val="18"/>
                <w:color w:val="0000FF"/>
              </w:rPr>
            </w:pPr>
            <w:hyperlink r:id="rId208">
              <w:r>
                <w:rPr>
                  <w:rFonts w:ascii="Calibri" w:cs="Calibri" w:eastAsia="Calibri" w:hAnsi="Calibri"/>
                  <w:sz w:val="18"/>
                  <w:szCs w:val="18"/>
                  <w:color w:val="0000FF"/>
                </w:rPr>
                <w:t xml:space="preserve">Specimen Class A Common Stock Certfcate of Vivid </w:t>
              </w:r>
            </w:hyperlink>
            <w:r>
              <w:rPr>
                <w:rFonts w:ascii="Calibri" w:cs="Calibri" w:eastAsia="Calibri" w:hAnsi="Calibri"/>
                <w:sz w:val="18"/>
                <w:szCs w:val="18"/>
                <w:color w:val="000000"/>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Calibri" w:cs="Calibri" w:eastAsia="Calibri" w:hAnsi="Calibri"/>
                <w:sz w:val="18"/>
                <w:szCs w:val="18"/>
                <w:color w:val="0000FF"/>
                <w:w w:val="95"/>
              </w:rPr>
            </w:pPr>
            <w:hyperlink r:id="rId208">
              <w:r>
                <w:rPr>
                  <w:rFonts w:ascii="Calibri" w:cs="Calibri" w:eastAsia="Calibri" w:hAnsi="Calibri"/>
                  <w:sz w:val="18"/>
                  <w:szCs w:val="18"/>
                  <w:color w:val="0000FF"/>
                  <w:w w:val="95"/>
                </w:rPr>
                <w:t>Seats Inc.</w:t>
              </w:r>
            </w:hyperlink>
          </w:p>
        </w:tc>
        <w:tc>
          <w:tcPr>
            <w:tcW w:w="2980" w:type="dxa"/>
            <w:vAlign w:val="bottom"/>
            <w:tcBorders>
              <w:top w:val="single" w:sz="8" w:color="0000FF"/>
            </w:tcBorders>
            <w:gridSpan w:val="2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jc w:val="right"/>
              <w:ind w:right="592"/>
              <w:spacing w:after="0" w:line="183" w:lineRule="exact"/>
              <w:rPr>
                <w:sz w:val="20"/>
                <w:szCs w:val="20"/>
                <w:color w:val="auto"/>
              </w:rPr>
            </w:pPr>
            <w:r>
              <w:rPr>
                <w:rFonts w:ascii="Calibri" w:cs="Calibri" w:eastAsia="Calibri" w:hAnsi="Calibri"/>
                <w:sz w:val="18"/>
                <w:szCs w:val="18"/>
                <w:color w:val="auto"/>
                <w:w w:val="96"/>
              </w:rPr>
              <w:t>4.3</w:t>
            </w:r>
          </w:p>
        </w:tc>
        <w:tc>
          <w:tcPr>
            <w:tcW w:w="3680" w:type="dxa"/>
            <w:vAlign w:val="bottom"/>
            <w:gridSpan w:val="24"/>
          </w:tcPr>
          <w:p>
            <w:pPr>
              <w:spacing w:after="0" w:line="183" w:lineRule="exact"/>
              <w:rPr>
                <w:rFonts w:ascii="Calibri" w:cs="Calibri" w:eastAsia="Calibri" w:hAnsi="Calibri"/>
                <w:sz w:val="18"/>
                <w:szCs w:val="18"/>
                <w:color w:val="0000FF"/>
              </w:rPr>
            </w:pPr>
            <w:hyperlink r:id="rId209">
              <w:r>
                <w:rPr>
                  <w:rFonts w:ascii="Calibri" w:cs="Calibri" w:eastAsia="Calibri" w:hAnsi="Calibri"/>
                  <w:sz w:val="18"/>
                  <w:szCs w:val="18"/>
                  <w:color w:val="0000FF"/>
                </w:rPr>
                <w:t>Specimen Warrant Certfcate of Vivid Seats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right"/>
              <w:ind w:right="711"/>
              <w:spacing w:after="0"/>
              <w:rPr>
                <w:sz w:val="20"/>
                <w:szCs w:val="20"/>
                <w:color w:val="auto"/>
              </w:rPr>
            </w:pPr>
            <w:r>
              <w:rPr>
                <w:rFonts w:ascii="Calibri" w:cs="Calibri" w:eastAsia="Calibri" w:hAnsi="Calibri"/>
                <w:sz w:val="18"/>
                <w:szCs w:val="18"/>
                <w:color w:val="auto"/>
                <w:w w:val="76"/>
              </w:rPr>
              <w:t>36</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8" w:name="page39"/>
    <w:bookmarkEnd w:id="38"/>
    <w:tbl>
      <w:tblPr>
        <w:tblLayout w:type="fixed"/>
        <w:tblInd w:w="98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Calibri" w:cs="Calibri" w:eastAsia="Calibri" w:hAnsi="Calibri"/>
                <w:sz w:val="18"/>
                <w:szCs w:val="18"/>
                <w:color w:val="auto"/>
              </w:rPr>
              <w:t>10.1†</w:t>
            </w:r>
          </w:p>
        </w:tc>
        <w:tc>
          <w:tcPr>
            <w:tcW w:w="4400" w:type="dxa"/>
            <w:vAlign w:val="bottom"/>
            <w:gridSpan w:val="12"/>
          </w:tcPr>
          <w:p>
            <w:pPr>
              <w:spacing w:after="0"/>
              <w:rPr>
                <w:rFonts w:ascii="Calibri" w:cs="Calibri" w:eastAsia="Calibri" w:hAnsi="Calibri"/>
                <w:sz w:val="18"/>
                <w:szCs w:val="18"/>
                <w:color w:val="0000FF"/>
              </w:rPr>
            </w:pPr>
            <w:hyperlink r:id="rId212">
              <w:r>
                <w:rPr>
                  <w:rFonts w:ascii="Calibri" w:cs="Calibri" w:eastAsia="Calibri" w:hAnsi="Calibri"/>
                  <w:sz w:val="18"/>
                  <w:szCs w:val="18"/>
                  <w:color w:val="0000FF"/>
                </w:rPr>
                <w:t xml:space="preserve">Amendment No. 4, dated February 3, 2022, to First  </w:t>
              </w:r>
            </w:hyperlink>
            <w:r>
              <w:rPr>
                <w:rFonts w:ascii="Calibri" w:cs="Calibri" w:eastAsia="Calibri" w:hAnsi="Calibri"/>
                <w:sz w:val="18"/>
                <w:szCs w:val="18"/>
                <w:color w:val="000000"/>
              </w:rPr>
              <w:t>8-K</w:t>
            </w:r>
          </w:p>
        </w:tc>
        <w:tc>
          <w:tcPr>
            <w:tcW w:w="1080" w:type="dxa"/>
            <w:vAlign w:val="bottom"/>
          </w:tcPr>
          <w:p>
            <w:pPr>
              <w:jc w:val="right"/>
              <w:ind w:right="250"/>
              <w:spacing w:after="0"/>
              <w:rPr>
                <w:sz w:val="20"/>
                <w:szCs w:val="20"/>
                <w:color w:val="auto"/>
              </w:rPr>
            </w:pPr>
            <w:r>
              <w:rPr>
                <w:rFonts w:ascii="Calibri" w:cs="Calibri" w:eastAsia="Calibri" w:hAnsi="Calibri"/>
                <w:sz w:val="18"/>
                <w:szCs w:val="18"/>
                <w:color w:val="auto"/>
              </w:rPr>
              <w:t>10.1</w:t>
            </w:r>
          </w:p>
        </w:tc>
        <w:tc>
          <w:tcPr>
            <w:tcW w:w="2360" w:type="dxa"/>
            <w:vAlign w:val="bottom"/>
          </w:tcPr>
          <w:p>
            <w:pPr>
              <w:jc w:val="right"/>
              <w:ind w:right="1270"/>
              <w:spacing w:after="0"/>
              <w:rPr>
                <w:sz w:val="20"/>
                <w:szCs w:val="20"/>
                <w:color w:val="auto"/>
              </w:rPr>
            </w:pPr>
            <w:r>
              <w:rPr>
                <w:rFonts w:ascii="Calibri" w:cs="Calibri" w:eastAsia="Calibri" w:hAnsi="Calibri"/>
                <w:sz w:val="18"/>
                <w:szCs w:val="18"/>
                <w:color w:val="auto"/>
              </w:rPr>
              <w:t>2/7/2022</w:t>
            </w:r>
          </w:p>
        </w:tc>
      </w:tr>
      <w:tr>
        <w:trPr>
          <w:trHeight w:val="169"/>
        </w:trPr>
        <w:tc>
          <w:tcPr>
            <w:tcW w:w="90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0"/>
          </w:tcPr>
          <w:p>
            <w:pPr>
              <w:spacing w:after="0" w:line="169" w:lineRule="exact"/>
              <w:rPr>
                <w:rFonts w:ascii="Calibri" w:cs="Calibri" w:eastAsia="Calibri" w:hAnsi="Calibri"/>
                <w:sz w:val="18"/>
                <w:szCs w:val="18"/>
                <w:color w:val="0000FF"/>
                <w:w w:val="96"/>
              </w:rPr>
            </w:pPr>
            <w:hyperlink r:id="rId212">
              <w:r>
                <w:rPr>
                  <w:rFonts w:ascii="Calibri" w:cs="Calibri" w:eastAsia="Calibri" w:hAnsi="Calibri"/>
                  <w:sz w:val="18"/>
                  <w:szCs w:val="18"/>
                  <w:color w:val="0000FF"/>
                  <w:w w:val="96"/>
                </w:rPr>
                <w:t>Lien Credit Agreement, dated June 30, 2017, among</w:t>
              </w:r>
            </w:hyperlink>
          </w:p>
        </w:tc>
        <w:tc>
          <w:tcPr>
            <w:tcW w:w="20" w:type="dxa"/>
            <w:vAlign w:val="bottom"/>
            <w:tcBorders>
              <w:bottom w:val="single" w:sz="8" w:color="0000FF"/>
            </w:tcBorders>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3700" w:type="dxa"/>
            <w:vAlign w:val="bottom"/>
            <w:gridSpan w:val="11"/>
          </w:tcPr>
          <w:p>
            <w:pPr>
              <w:spacing w:after="0" w:line="169" w:lineRule="exact"/>
              <w:rPr>
                <w:rFonts w:ascii="Calibri" w:cs="Calibri" w:eastAsia="Calibri" w:hAnsi="Calibri"/>
                <w:sz w:val="18"/>
                <w:szCs w:val="18"/>
                <w:color w:val="0000FF"/>
                <w:w w:val="99"/>
              </w:rPr>
            </w:pPr>
            <w:hyperlink r:id="rId212">
              <w:r>
                <w:rPr>
                  <w:rFonts w:ascii="Calibri" w:cs="Calibri" w:eastAsia="Calibri" w:hAnsi="Calibri"/>
                  <w:sz w:val="18"/>
                  <w:szCs w:val="18"/>
                  <w:color w:val="0000FF"/>
                  <w:w w:val="99"/>
                </w:rPr>
                <w:t>Hoya Midco, LLC, Hoya Intermediate, LLC, Barclays</w:t>
              </w:r>
            </w:hyperlink>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9" w:lineRule="exact"/>
              <w:rPr>
                <w:rFonts w:ascii="Calibri" w:cs="Calibri" w:eastAsia="Calibri" w:hAnsi="Calibri"/>
                <w:sz w:val="18"/>
                <w:szCs w:val="18"/>
                <w:color w:val="0000FF"/>
                <w:w w:val="96"/>
              </w:rPr>
            </w:pPr>
            <w:hyperlink r:id="rId212">
              <w:r>
                <w:rPr>
                  <w:rFonts w:ascii="Calibri" w:cs="Calibri" w:eastAsia="Calibri" w:hAnsi="Calibri"/>
                  <w:sz w:val="18"/>
                  <w:szCs w:val="18"/>
                  <w:color w:val="0000FF"/>
                  <w:w w:val="96"/>
                </w:rPr>
                <w:t>Bank PLC, RBC Capital Markets, SunTrust Robinson</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9"/>
        </w:trPr>
        <w:tc>
          <w:tcPr>
            <w:tcW w:w="900" w:type="dxa"/>
            <w:vAlign w:val="bottom"/>
          </w:tcPr>
          <w:p>
            <w:pPr>
              <w:spacing w:after="0"/>
              <w:rPr>
                <w:sz w:val="14"/>
                <w:szCs w:val="14"/>
                <w:color w:val="auto"/>
              </w:rPr>
            </w:pPr>
          </w:p>
        </w:tc>
        <w:tc>
          <w:tcPr>
            <w:tcW w:w="3620" w:type="dxa"/>
            <w:vAlign w:val="bottom"/>
            <w:gridSpan w:val="7"/>
          </w:tcPr>
          <w:p>
            <w:pPr>
              <w:spacing w:after="0" w:line="169" w:lineRule="exact"/>
              <w:rPr>
                <w:rFonts w:ascii="Calibri" w:cs="Calibri" w:eastAsia="Calibri" w:hAnsi="Calibri"/>
                <w:sz w:val="18"/>
                <w:szCs w:val="18"/>
                <w:color w:val="0000FF"/>
              </w:rPr>
            </w:pPr>
            <w:hyperlink r:id="rId212">
              <w:r>
                <w:rPr>
                  <w:rFonts w:ascii="Calibri" w:cs="Calibri" w:eastAsia="Calibri" w:hAnsi="Calibri"/>
                  <w:sz w:val="18"/>
                  <w:szCs w:val="18"/>
                  <w:color w:val="0000FF"/>
                </w:rPr>
                <w:t>Humphrey, Inc. and Jeferies Finance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31.1</w:t>
            </w:r>
          </w:p>
        </w:tc>
        <w:tc>
          <w:tcPr>
            <w:tcW w:w="4400" w:type="dxa"/>
            <w:vAlign w:val="bottom"/>
            <w:gridSpan w:val="12"/>
          </w:tcPr>
          <w:p>
            <w:pPr>
              <w:spacing w:after="0" w:line="183" w:lineRule="exact"/>
              <w:rPr>
                <w:sz w:val="20"/>
                <w:szCs w:val="20"/>
                <w:color w:val="auto"/>
              </w:rPr>
            </w:pPr>
            <w:r>
              <w:rPr>
                <w:rFonts w:ascii="Calibri" w:cs="Calibri" w:eastAsia="Calibri" w:hAnsi="Calibri"/>
                <w:sz w:val="18"/>
                <w:szCs w:val="18"/>
                <w:color w:val="0000FF"/>
              </w:rPr>
              <w:t>Certfcaton of Principal Executve Ofcer Pursuant</w:t>
            </w:r>
          </w:p>
        </w:tc>
        <w:tc>
          <w:tcPr>
            <w:tcW w:w="1080" w:type="dxa"/>
            <w:vAlign w:val="bottom"/>
          </w:tcPr>
          <w:p>
            <w:pPr>
              <w:spacing w:after="0"/>
              <w:rPr>
                <w:sz w:val="15"/>
                <w:szCs w:val="15"/>
                <w:color w:val="auto"/>
              </w:rPr>
            </w:pPr>
          </w:p>
        </w:tc>
        <w:tc>
          <w:tcPr>
            <w:tcW w:w="2360" w:type="dxa"/>
            <w:vAlign w:val="bottom"/>
          </w:tcPr>
          <w:p>
            <w:pPr>
              <w:jc w:val="center"/>
              <w:ind w:left="2110"/>
              <w:spacing w:after="0" w:line="183" w:lineRule="exact"/>
              <w:rPr>
                <w:sz w:val="20"/>
                <w:szCs w:val="20"/>
                <w:color w:val="auto"/>
              </w:rPr>
            </w:pPr>
            <w:r>
              <w:rPr>
                <w:rFonts w:ascii="Calibri" w:cs="Calibri" w:eastAsia="Calibri" w:hAnsi="Calibri"/>
                <w:sz w:val="18"/>
                <w:szCs w:val="18"/>
                <w:color w:val="auto"/>
                <w:w w:val="88"/>
              </w:rPr>
              <w:t>*</w:t>
            </w:r>
          </w:p>
        </w:tc>
      </w:tr>
      <w:tr>
        <w:trPr>
          <w:trHeight w:val="169"/>
        </w:trPr>
        <w:tc>
          <w:tcPr>
            <w:tcW w:w="9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1280" w:type="dxa"/>
            <w:vAlign w:val="bottom"/>
            <w:tcBorders>
              <w:top w:val="single" w:sz="8" w:color="0000FF"/>
            </w:tcBorders>
            <w:gridSpan w:val="6"/>
          </w:tcPr>
          <w:p>
            <w:pPr>
              <w:spacing w:after="0"/>
              <w:rPr>
                <w:sz w:val="14"/>
                <w:szCs w:val="14"/>
                <w:color w:val="auto"/>
              </w:rPr>
            </w:pPr>
          </w:p>
        </w:tc>
        <w:tc>
          <w:tcPr>
            <w:tcW w:w="74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31.2</w:t>
            </w:r>
          </w:p>
        </w:tc>
        <w:tc>
          <w:tcPr>
            <w:tcW w:w="4400" w:type="dxa"/>
            <w:vAlign w:val="bottom"/>
            <w:gridSpan w:val="12"/>
          </w:tcPr>
          <w:p>
            <w:pPr>
              <w:spacing w:after="0" w:line="183" w:lineRule="exact"/>
              <w:rPr>
                <w:sz w:val="20"/>
                <w:szCs w:val="20"/>
                <w:color w:val="auto"/>
              </w:rPr>
            </w:pPr>
            <w:r>
              <w:rPr>
                <w:rFonts w:ascii="Calibri" w:cs="Calibri" w:eastAsia="Calibri" w:hAnsi="Calibri"/>
                <w:sz w:val="18"/>
                <w:szCs w:val="18"/>
                <w:color w:val="0000FF"/>
              </w:rPr>
              <w:t>Certfcaton of Principal Financial Ofcer Pursuant</w:t>
            </w:r>
          </w:p>
        </w:tc>
        <w:tc>
          <w:tcPr>
            <w:tcW w:w="1080" w:type="dxa"/>
            <w:vAlign w:val="bottom"/>
          </w:tcPr>
          <w:p>
            <w:pPr>
              <w:spacing w:after="0"/>
              <w:rPr>
                <w:sz w:val="15"/>
                <w:szCs w:val="15"/>
                <w:color w:val="auto"/>
              </w:rPr>
            </w:pPr>
          </w:p>
        </w:tc>
        <w:tc>
          <w:tcPr>
            <w:tcW w:w="2360" w:type="dxa"/>
            <w:vAlign w:val="bottom"/>
          </w:tcPr>
          <w:p>
            <w:pPr>
              <w:jc w:val="center"/>
              <w:ind w:left="2110"/>
              <w:spacing w:after="0" w:line="183" w:lineRule="exact"/>
              <w:rPr>
                <w:sz w:val="20"/>
                <w:szCs w:val="20"/>
                <w:color w:val="auto"/>
              </w:rPr>
            </w:pPr>
            <w:r>
              <w:rPr>
                <w:rFonts w:ascii="Calibri" w:cs="Calibri" w:eastAsia="Calibri" w:hAnsi="Calibri"/>
                <w:sz w:val="18"/>
                <w:szCs w:val="18"/>
                <w:color w:val="auto"/>
                <w:w w:val="88"/>
              </w:rPr>
              <w:t>*</w:t>
            </w:r>
          </w:p>
        </w:tc>
      </w:tr>
      <w:tr>
        <w:trPr>
          <w:trHeight w:val="169"/>
        </w:trPr>
        <w:tc>
          <w:tcPr>
            <w:tcW w:w="9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20" w:type="dxa"/>
            <w:vAlign w:val="bottom"/>
            <w:tcBorders>
              <w:top w:val="single" w:sz="8" w:color="0000FF"/>
              <w:bottom w:val="single" w:sz="8" w:color="0000EE"/>
            </w:tcBorders>
          </w:tcPr>
          <w:p>
            <w:pPr>
              <w:spacing w:after="0"/>
              <w:rPr>
                <w:sz w:val="14"/>
                <w:szCs w:val="14"/>
                <w:color w:val="auto"/>
              </w:rPr>
            </w:pPr>
          </w:p>
        </w:tc>
        <w:tc>
          <w:tcPr>
            <w:tcW w:w="1240" w:type="dxa"/>
            <w:vAlign w:val="bottom"/>
            <w:tcBorders>
              <w:top w:val="single" w:sz="8" w:color="0000FF"/>
            </w:tcBorders>
            <w:gridSpan w:val="4"/>
          </w:tcPr>
          <w:p>
            <w:pPr>
              <w:spacing w:after="0"/>
              <w:rPr>
                <w:sz w:val="14"/>
                <w:szCs w:val="14"/>
                <w:color w:val="auto"/>
              </w:rPr>
            </w:pPr>
          </w:p>
        </w:tc>
        <w:tc>
          <w:tcPr>
            <w:tcW w:w="76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32.1</w:t>
            </w:r>
          </w:p>
        </w:tc>
        <w:tc>
          <w:tcPr>
            <w:tcW w:w="4400" w:type="dxa"/>
            <w:vAlign w:val="bottom"/>
            <w:gridSpan w:val="12"/>
          </w:tcPr>
          <w:p>
            <w:pPr>
              <w:spacing w:after="0" w:line="183" w:lineRule="exact"/>
              <w:rPr>
                <w:sz w:val="20"/>
                <w:szCs w:val="20"/>
                <w:color w:val="auto"/>
              </w:rPr>
            </w:pPr>
            <w:r>
              <w:rPr>
                <w:rFonts w:ascii="Calibri" w:cs="Calibri" w:eastAsia="Calibri" w:hAnsi="Calibri"/>
                <w:sz w:val="18"/>
                <w:szCs w:val="18"/>
                <w:color w:val="0000FF"/>
              </w:rPr>
              <w:t>Certfcaton of Principal Executve Ofcer Pursuant</w:t>
            </w:r>
          </w:p>
        </w:tc>
        <w:tc>
          <w:tcPr>
            <w:tcW w:w="1080" w:type="dxa"/>
            <w:vAlign w:val="bottom"/>
          </w:tcPr>
          <w:p>
            <w:pPr>
              <w:spacing w:after="0"/>
              <w:rPr>
                <w:sz w:val="15"/>
                <w:szCs w:val="15"/>
                <w:color w:val="auto"/>
              </w:rPr>
            </w:pPr>
          </w:p>
        </w:tc>
        <w:tc>
          <w:tcPr>
            <w:tcW w:w="2360" w:type="dxa"/>
            <w:vAlign w:val="bottom"/>
          </w:tcPr>
          <w:p>
            <w:pPr>
              <w:jc w:val="center"/>
              <w:ind w:left="20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820" w:type="dxa"/>
            <w:vAlign w:val="bottom"/>
            <w:tcBorders>
              <w:top w:val="single" w:sz="8" w:color="0000FF"/>
            </w:tcBorders>
            <w:gridSpan w:val="7"/>
          </w:tcPr>
          <w:p>
            <w:pPr>
              <w:spacing w:after="0"/>
              <w:rPr>
                <w:sz w:val="14"/>
                <w:szCs w:val="14"/>
                <w:color w:val="auto"/>
              </w:rPr>
            </w:pPr>
          </w:p>
        </w:tc>
        <w:tc>
          <w:tcPr>
            <w:tcW w:w="74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32.2</w:t>
            </w:r>
          </w:p>
        </w:tc>
        <w:tc>
          <w:tcPr>
            <w:tcW w:w="4400" w:type="dxa"/>
            <w:vAlign w:val="bottom"/>
            <w:gridSpan w:val="12"/>
          </w:tcPr>
          <w:p>
            <w:pPr>
              <w:spacing w:after="0" w:line="183" w:lineRule="exact"/>
              <w:rPr>
                <w:sz w:val="20"/>
                <w:szCs w:val="20"/>
                <w:color w:val="auto"/>
              </w:rPr>
            </w:pPr>
            <w:r>
              <w:rPr>
                <w:rFonts w:ascii="Calibri" w:cs="Calibri" w:eastAsia="Calibri" w:hAnsi="Calibri"/>
                <w:sz w:val="18"/>
                <w:szCs w:val="18"/>
                <w:color w:val="0000FF"/>
              </w:rPr>
              <w:t>Certfcaton of Principal Financial Ofcer Pursuant</w:t>
            </w:r>
          </w:p>
        </w:tc>
        <w:tc>
          <w:tcPr>
            <w:tcW w:w="1080" w:type="dxa"/>
            <w:vAlign w:val="bottom"/>
          </w:tcPr>
          <w:p>
            <w:pPr>
              <w:spacing w:after="0"/>
              <w:rPr>
                <w:sz w:val="15"/>
                <w:szCs w:val="15"/>
                <w:color w:val="auto"/>
              </w:rPr>
            </w:pPr>
          </w:p>
        </w:tc>
        <w:tc>
          <w:tcPr>
            <w:tcW w:w="2360" w:type="dxa"/>
            <w:vAlign w:val="bottom"/>
          </w:tcPr>
          <w:p>
            <w:pPr>
              <w:jc w:val="center"/>
              <w:ind w:left="20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6"/>
          </w:tcPr>
          <w:p>
            <w:pPr>
              <w:spacing w:after="0"/>
              <w:rPr>
                <w:sz w:val="14"/>
                <w:szCs w:val="14"/>
                <w:color w:val="auto"/>
              </w:rPr>
            </w:pPr>
          </w:p>
        </w:tc>
        <w:tc>
          <w:tcPr>
            <w:tcW w:w="76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87"/>
        </w:trPr>
        <w:tc>
          <w:tcPr>
            <w:tcW w:w="900" w:type="dxa"/>
            <w:vAlign w:val="bottom"/>
          </w:tcPr>
          <w:p>
            <w:pPr>
              <w:spacing w:after="0" w:line="187" w:lineRule="exact"/>
              <w:rPr>
                <w:sz w:val="20"/>
                <w:szCs w:val="20"/>
                <w:color w:val="auto"/>
              </w:rPr>
            </w:pPr>
            <w:r>
              <w:rPr>
                <w:rFonts w:ascii="Calibri" w:cs="Calibri" w:eastAsia="Calibri" w:hAnsi="Calibri"/>
                <w:sz w:val="18"/>
                <w:szCs w:val="18"/>
                <w:color w:val="auto"/>
              </w:rPr>
              <w:t>101.INS</w:t>
            </w:r>
          </w:p>
        </w:tc>
        <w:tc>
          <w:tcPr>
            <w:tcW w:w="4400" w:type="dxa"/>
            <w:vAlign w:val="bottom"/>
            <w:gridSpan w:val="12"/>
          </w:tcPr>
          <w:p>
            <w:pPr>
              <w:spacing w:after="0" w:line="187" w:lineRule="exact"/>
              <w:rPr>
                <w:sz w:val="20"/>
                <w:szCs w:val="20"/>
                <w:color w:val="auto"/>
              </w:rPr>
            </w:pPr>
            <w:r>
              <w:rPr>
                <w:rFonts w:ascii="Calibri" w:cs="Calibri" w:eastAsia="Calibri" w:hAnsi="Calibri"/>
                <w:sz w:val="18"/>
                <w:szCs w:val="18"/>
                <w:color w:val="auto"/>
              </w:rPr>
              <w:t>Inline XBRL Instance Document – the instance</w:t>
            </w:r>
          </w:p>
        </w:tc>
        <w:tc>
          <w:tcPr>
            <w:tcW w:w="1080" w:type="dxa"/>
            <w:vAlign w:val="bottom"/>
          </w:tcPr>
          <w:p>
            <w:pPr>
              <w:spacing w:after="0"/>
              <w:rPr>
                <w:sz w:val="16"/>
                <w:szCs w:val="16"/>
                <w:color w:val="auto"/>
              </w:rPr>
            </w:pPr>
          </w:p>
        </w:tc>
        <w:tc>
          <w:tcPr>
            <w:tcW w:w="2360" w:type="dxa"/>
            <w:vAlign w:val="bottom"/>
          </w:tcPr>
          <w:p>
            <w:pPr>
              <w:jc w:val="center"/>
              <w:ind w:left="2110"/>
              <w:spacing w:after="0" w:line="187"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rPr>
                <w:sz w:val="16"/>
                <w:szCs w:val="16"/>
                <w:color w:val="auto"/>
              </w:rPr>
            </w:pP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document does not appear in the Interactve Data</w:t>
            </w:r>
          </w:p>
        </w:tc>
        <w:tc>
          <w:tcPr>
            <w:tcW w:w="10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File because XBRL tags are embedded within the</w:t>
            </w:r>
          </w:p>
        </w:tc>
        <w:tc>
          <w:tcPr>
            <w:tcW w:w="10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03"/>
        </w:trPr>
        <w:tc>
          <w:tcPr>
            <w:tcW w:w="900" w:type="dxa"/>
            <w:vAlign w:val="bottom"/>
          </w:tcPr>
          <w:p>
            <w:pPr>
              <w:spacing w:after="0"/>
              <w:rPr>
                <w:sz w:val="17"/>
                <w:szCs w:val="17"/>
                <w:color w:val="auto"/>
              </w:rPr>
            </w:pP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Inline XBRL document.</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alibri" w:cs="Calibri" w:eastAsia="Calibri" w:hAnsi="Calibri"/>
                <w:sz w:val="18"/>
                <w:szCs w:val="18"/>
                <w:color w:val="auto"/>
              </w:rPr>
              <w:t>101.SCH</w:t>
            </w: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Inline XBRL Taxonomy Extension Schema Document</w:t>
            </w:r>
          </w:p>
        </w:tc>
        <w:tc>
          <w:tcPr>
            <w:tcW w:w="1080" w:type="dxa"/>
            <w:vAlign w:val="bottom"/>
          </w:tcPr>
          <w:p>
            <w:pPr>
              <w:spacing w:after="0"/>
              <w:rPr>
                <w:sz w:val="17"/>
                <w:szCs w:val="17"/>
                <w:color w:val="auto"/>
              </w:rPr>
            </w:pPr>
          </w:p>
        </w:tc>
        <w:tc>
          <w:tcPr>
            <w:tcW w:w="2360" w:type="dxa"/>
            <w:vAlign w:val="bottom"/>
          </w:tcPr>
          <w:p>
            <w:pPr>
              <w:jc w:val="center"/>
              <w:ind w:left="2110"/>
              <w:spacing w:after="0" w:line="203"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101.CAL</w:t>
            </w: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Inline XBRL Taxonomy Extension Calculaton</w:t>
            </w:r>
          </w:p>
        </w:tc>
        <w:tc>
          <w:tcPr>
            <w:tcW w:w="1080" w:type="dxa"/>
            <w:vAlign w:val="bottom"/>
          </w:tcPr>
          <w:p>
            <w:pPr>
              <w:spacing w:after="0"/>
              <w:rPr>
                <w:sz w:val="16"/>
                <w:szCs w:val="16"/>
                <w:color w:val="auto"/>
              </w:rPr>
            </w:pPr>
          </w:p>
        </w:tc>
        <w:tc>
          <w:tcPr>
            <w:tcW w:w="2360" w:type="dxa"/>
            <w:vAlign w:val="bottom"/>
          </w:tcPr>
          <w:p>
            <w:pPr>
              <w:jc w:val="center"/>
              <w:ind w:left="21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Linkbase Document</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101.DEF</w:t>
            </w: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Inline XBRL Taxonomy Extension Defniton Linkbase</w:t>
            </w:r>
          </w:p>
        </w:tc>
        <w:tc>
          <w:tcPr>
            <w:tcW w:w="1080" w:type="dxa"/>
            <w:vAlign w:val="bottom"/>
          </w:tcPr>
          <w:p>
            <w:pPr>
              <w:spacing w:after="0"/>
              <w:rPr>
                <w:sz w:val="16"/>
                <w:szCs w:val="16"/>
                <w:color w:val="auto"/>
              </w:rPr>
            </w:pPr>
          </w:p>
        </w:tc>
        <w:tc>
          <w:tcPr>
            <w:tcW w:w="2360" w:type="dxa"/>
            <w:vAlign w:val="bottom"/>
          </w:tcPr>
          <w:p>
            <w:pPr>
              <w:jc w:val="center"/>
              <w:ind w:left="21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Document</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101.LAB</w:t>
            </w: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Inline XBRL Taxonomy Extension Label Linkbase</w:t>
            </w:r>
          </w:p>
        </w:tc>
        <w:tc>
          <w:tcPr>
            <w:tcW w:w="1080" w:type="dxa"/>
            <w:vAlign w:val="bottom"/>
          </w:tcPr>
          <w:p>
            <w:pPr>
              <w:spacing w:after="0"/>
              <w:rPr>
                <w:sz w:val="16"/>
                <w:szCs w:val="16"/>
                <w:color w:val="auto"/>
              </w:rPr>
            </w:pPr>
          </w:p>
        </w:tc>
        <w:tc>
          <w:tcPr>
            <w:tcW w:w="2360" w:type="dxa"/>
            <w:vAlign w:val="bottom"/>
          </w:tcPr>
          <w:p>
            <w:pPr>
              <w:jc w:val="center"/>
              <w:ind w:left="21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Document</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101.PRE</w:t>
            </w: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Inline XBRL Taxonomy Extension Presentaton</w:t>
            </w:r>
          </w:p>
        </w:tc>
        <w:tc>
          <w:tcPr>
            <w:tcW w:w="1080" w:type="dxa"/>
            <w:vAlign w:val="bottom"/>
          </w:tcPr>
          <w:p>
            <w:pPr>
              <w:spacing w:after="0"/>
              <w:rPr>
                <w:sz w:val="16"/>
                <w:szCs w:val="16"/>
                <w:color w:val="auto"/>
              </w:rPr>
            </w:pPr>
          </w:p>
        </w:tc>
        <w:tc>
          <w:tcPr>
            <w:tcW w:w="2360" w:type="dxa"/>
            <w:vAlign w:val="bottom"/>
          </w:tcPr>
          <w:p>
            <w:pPr>
              <w:jc w:val="center"/>
              <w:ind w:left="21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4400" w:type="dxa"/>
            <w:vAlign w:val="bottom"/>
            <w:gridSpan w:val="12"/>
          </w:tcPr>
          <w:p>
            <w:pPr>
              <w:spacing w:after="0" w:line="203" w:lineRule="exact"/>
              <w:rPr>
                <w:sz w:val="20"/>
                <w:szCs w:val="20"/>
                <w:color w:val="auto"/>
              </w:rPr>
            </w:pPr>
            <w:r>
              <w:rPr>
                <w:rFonts w:ascii="Calibri" w:cs="Calibri" w:eastAsia="Calibri" w:hAnsi="Calibri"/>
                <w:sz w:val="18"/>
                <w:szCs w:val="18"/>
                <w:color w:val="auto"/>
              </w:rPr>
              <w:t>Linkbase Document</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104</w:t>
            </w:r>
          </w:p>
        </w:tc>
        <w:tc>
          <w:tcPr>
            <w:tcW w:w="4400" w:type="dxa"/>
            <w:vAlign w:val="bottom"/>
            <w:gridSpan w:val="12"/>
          </w:tcPr>
          <w:p>
            <w:pPr>
              <w:spacing w:after="0" w:line="189" w:lineRule="exact"/>
              <w:rPr>
                <w:sz w:val="20"/>
                <w:szCs w:val="20"/>
                <w:color w:val="auto"/>
              </w:rPr>
            </w:pPr>
            <w:r>
              <w:rPr>
                <w:rFonts w:ascii="Calibri" w:cs="Calibri" w:eastAsia="Calibri" w:hAnsi="Calibri"/>
                <w:sz w:val="18"/>
                <w:szCs w:val="18"/>
                <w:color w:val="auto"/>
              </w:rPr>
              <w:t>Cover Page Interactve Data File (embedded within</w:t>
            </w:r>
          </w:p>
        </w:tc>
        <w:tc>
          <w:tcPr>
            <w:tcW w:w="1080" w:type="dxa"/>
            <w:vAlign w:val="bottom"/>
          </w:tcPr>
          <w:p>
            <w:pPr>
              <w:spacing w:after="0"/>
              <w:rPr>
                <w:sz w:val="16"/>
                <w:szCs w:val="16"/>
                <w:color w:val="auto"/>
              </w:rPr>
            </w:pPr>
          </w:p>
        </w:tc>
        <w:tc>
          <w:tcPr>
            <w:tcW w:w="2360" w:type="dxa"/>
            <w:vAlign w:val="bottom"/>
          </w:tcPr>
          <w:p>
            <w:pPr>
              <w:jc w:val="center"/>
              <w:ind w:left="2110"/>
              <w:spacing w:after="0" w:line="189" w:lineRule="exact"/>
              <w:rPr>
                <w:sz w:val="20"/>
                <w:szCs w:val="20"/>
                <w:color w:val="auto"/>
              </w:rPr>
            </w:pPr>
            <w:r>
              <w:rPr>
                <w:rFonts w:ascii="Calibri" w:cs="Calibri" w:eastAsia="Calibri" w:hAnsi="Calibri"/>
                <w:sz w:val="18"/>
                <w:szCs w:val="18"/>
                <w:color w:val="auto"/>
                <w:w w:val="88"/>
              </w:rPr>
              <w:t>*</w:t>
            </w:r>
          </w:p>
        </w:tc>
      </w:tr>
      <w:tr>
        <w:trPr>
          <w:trHeight w:val="215"/>
        </w:trPr>
        <w:tc>
          <w:tcPr>
            <w:tcW w:w="900" w:type="dxa"/>
            <w:vAlign w:val="bottom"/>
          </w:tcPr>
          <w:p>
            <w:pPr>
              <w:spacing w:after="0"/>
              <w:rPr>
                <w:sz w:val="18"/>
                <w:szCs w:val="18"/>
                <w:color w:val="auto"/>
              </w:rPr>
            </w:pPr>
          </w:p>
        </w:tc>
        <w:tc>
          <w:tcPr>
            <w:tcW w:w="4400" w:type="dxa"/>
            <w:vAlign w:val="bottom"/>
            <w:gridSpan w:val="12"/>
          </w:tcPr>
          <w:p>
            <w:pPr>
              <w:spacing w:after="0" w:line="215" w:lineRule="exact"/>
              <w:rPr>
                <w:sz w:val="20"/>
                <w:szCs w:val="20"/>
                <w:color w:val="auto"/>
              </w:rPr>
            </w:pPr>
            <w:r>
              <w:rPr>
                <w:rFonts w:ascii="Calibri" w:cs="Calibri" w:eastAsia="Calibri" w:hAnsi="Calibri"/>
                <w:sz w:val="18"/>
                <w:szCs w:val="18"/>
                <w:color w:val="auto"/>
              </w:rPr>
              <w:t>the Inline XBRL document)</w:t>
            </w:r>
          </w:p>
        </w:tc>
        <w:tc>
          <w:tcPr>
            <w:tcW w:w="1080" w:type="dxa"/>
            <w:vAlign w:val="bottom"/>
          </w:tcPr>
          <w:p>
            <w:pPr>
              <w:spacing w:after="0"/>
              <w:rPr>
                <w:sz w:val="18"/>
                <w:szCs w:val="18"/>
                <w:color w:val="auto"/>
              </w:rPr>
            </w:pPr>
          </w:p>
        </w:tc>
        <w:tc>
          <w:tcPr>
            <w:tcW w:w="2360" w:type="dxa"/>
            <w:vAlign w:val="bottom"/>
          </w:tcPr>
          <w:p>
            <w:pPr>
              <w:spacing w:after="0"/>
              <w:rPr>
                <w:sz w:val="18"/>
                <w:szCs w:val="18"/>
                <w:color w:val="auto"/>
              </w:rPr>
            </w:pPr>
          </w:p>
        </w:tc>
      </w:tr>
    </w:tbl>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Filed herewith.</w:t>
      </w:r>
    </w:p>
    <w:p>
      <w:pPr>
        <w:spacing w:after="0" w:line="221" w:lineRule="auto"/>
        <w:rPr>
          <w:sz w:val="20"/>
          <w:szCs w:val="20"/>
          <w:color w:val="auto"/>
        </w:rPr>
      </w:pPr>
      <w:r>
        <w:rPr>
          <w:rFonts w:ascii="Calibri" w:cs="Calibri" w:eastAsia="Calibri" w:hAnsi="Calibri"/>
          <w:sz w:val="18"/>
          <w:szCs w:val="18"/>
          <w:color w:val="auto"/>
        </w:rPr>
        <w:t>** Furnished herewith.</w:t>
      </w:r>
    </w:p>
    <w:p>
      <w:pPr>
        <w:ind w:firstLine="8"/>
        <w:spacing w:after="0" w:line="228" w:lineRule="auto"/>
        <w:tabs>
          <w:tab w:leader="none" w:pos="127"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Certain of the exhibits and schedules to this Exhibit have been omited in accordance with Regulaton S-K Item 601(a)(5). We agree to provide a copy of all omited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71" w:right="499"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04"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87"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12"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ind w:left="6120"/>
        <w:spacing w:after="0" w:line="235" w:lineRule="auto"/>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line="236" w:lineRule="auto"/>
        <w:rPr>
          <w:sz w:val="20"/>
          <w:szCs w:val="20"/>
          <w:color w:val="auto"/>
        </w:rPr>
      </w:pPr>
      <w:r>
        <w:rPr>
          <w:rFonts w:ascii="Calibri" w:cs="Calibri" w:eastAsia="Calibri" w:hAnsi="Calibri"/>
          <w:sz w:val="18"/>
          <w:szCs w:val="18"/>
          <w:color w:val="auto"/>
        </w:rPr>
        <w:t>Chief Executve Ofcer</w:t>
      </w:r>
    </w:p>
    <w:p>
      <w:pPr>
        <w:ind w:left="6120"/>
        <w:spacing w:after="0" w:line="236" w:lineRule="auto"/>
        <w:rPr>
          <w:sz w:val="20"/>
          <w:szCs w:val="20"/>
          <w:color w:val="auto"/>
        </w:rPr>
      </w:pPr>
      <w:r>
        <w:rPr>
          <w:rFonts w:ascii="Calibri" w:cs="Calibri" w:eastAsia="Calibri" w:hAnsi="Calibri"/>
          <w:sz w:val="18"/>
          <w:szCs w:val="18"/>
          <w:color w:val="auto"/>
        </w:rPr>
        <w:t>May 10, 2022</w:t>
      </w:r>
    </w:p>
    <w:p>
      <w:pPr>
        <w:spacing w:after="0" w:line="186"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ind w:left="6120"/>
        <w:spacing w:after="0" w:line="235" w:lineRule="auto"/>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ind w:left="6120"/>
        <w:spacing w:after="0" w:line="222" w:lineRule="auto"/>
        <w:rPr>
          <w:sz w:val="20"/>
          <w:szCs w:val="20"/>
          <w:color w:val="auto"/>
        </w:rPr>
      </w:pPr>
      <w:r>
        <w:rPr>
          <w:rFonts w:ascii="Calibri" w:cs="Calibri" w:eastAsia="Calibri" w:hAnsi="Calibri"/>
          <w:sz w:val="18"/>
          <w:szCs w:val="18"/>
          <w:color w:val="auto"/>
        </w:rPr>
        <w:t>Chief Financial Ofcer</w:t>
      </w:r>
    </w:p>
    <w:p>
      <w:pPr>
        <w:ind w:left="6120"/>
        <w:spacing w:after="0" w:line="221" w:lineRule="auto"/>
        <w:rPr>
          <w:sz w:val="20"/>
          <w:szCs w:val="20"/>
          <w:color w:val="auto"/>
        </w:rPr>
      </w:pPr>
      <w:r>
        <w:rPr>
          <w:rFonts w:ascii="Calibri" w:cs="Calibri" w:eastAsia="Calibri" w:hAnsi="Calibri"/>
          <w:sz w:val="18"/>
          <w:szCs w:val="18"/>
          <w:color w:val="auto"/>
        </w:rPr>
        <w:t>May 10, 2022</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18"/>
          <w:szCs w:val="18"/>
          <w:b w:val="1"/>
          <w:bCs w:val="1"/>
          <w:color w:val="auto"/>
        </w:rPr>
        <w:t>Exhibit 3.2</w:t>
      </w:r>
    </w:p>
    <w:p>
      <w:pPr>
        <w:ind w:left="4880"/>
        <w:spacing w:after="0" w:line="221" w:lineRule="auto"/>
        <w:rPr>
          <w:sz w:val="20"/>
          <w:szCs w:val="20"/>
          <w:color w:val="auto"/>
        </w:rPr>
      </w:pPr>
      <w:r>
        <w:rPr>
          <w:rFonts w:ascii="Calibri" w:cs="Calibri" w:eastAsia="Calibri" w:hAnsi="Calibri"/>
          <w:sz w:val="18"/>
          <w:szCs w:val="18"/>
          <w:b w:val="1"/>
          <w:bCs w:val="1"/>
          <w:color w:val="auto"/>
        </w:rPr>
        <w:t>FIRST AMENDMENT</w:t>
      </w:r>
    </w:p>
    <w:p>
      <w:pPr>
        <w:ind w:left="5340"/>
        <w:spacing w:after="0" w:line="236" w:lineRule="auto"/>
        <w:rPr>
          <w:sz w:val="20"/>
          <w:szCs w:val="20"/>
          <w:color w:val="auto"/>
        </w:rPr>
      </w:pPr>
      <w:r>
        <w:rPr>
          <w:rFonts w:ascii="Calibri" w:cs="Calibri" w:eastAsia="Calibri" w:hAnsi="Calibri"/>
          <w:sz w:val="18"/>
          <w:szCs w:val="18"/>
          <w:b w:val="1"/>
          <w:bCs w:val="1"/>
          <w:color w:val="auto"/>
        </w:rPr>
        <w:t>TO THE</w:t>
      </w:r>
    </w:p>
    <w:p>
      <w:pPr>
        <w:jc w:val="center"/>
        <w:ind w:right="40"/>
        <w:spacing w:after="0" w:line="221" w:lineRule="auto"/>
        <w:rPr>
          <w:sz w:val="20"/>
          <w:szCs w:val="20"/>
          <w:color w:val="auto"/>
        </w:rPr>
      </w:pPr>
      <w:r>
        <w:rPr>
          <w:rFonts w:ascii="Calibri" w:cs="Calibri" w:eastAsia="Calibri" w:hAnsi="Calibri"/>
          <w:sz w:val="18"/>
          <w:szCs w:val="18"/>
          <w:b w:val="1"/>
          <w:bCs w:val="1"/>
          <w:color w:val="auto"/>
        </w:rPr>
        <w:t>AMENDED AND RESTATED</w:t>
      </w:r>
    </w:p>
    <w:p>
      <w:pPr>
        <w:jc w:val="center"/>
        <w:ind w:right="40"/>
        <w:spacing w:after="0" w:line="221" w:lineRule="auto"/>
        <w:rPr>
          <w:sz w:val="20"/>
          <w:szCs w:val="20"/>
          <w:color w:val="auto"/>
        </w:rPr>
      </w:pPr>
      <w:r>
        <w:rPr>
          <w:rFonts w:ascii="Calibri" w:cs="Calibri" w:eastAsia="Calibri" w:hAnsi="Calibri"/>
          <w:sz w:val="18"/>
          <w:szCs w:val="18"/>
          <w:b w:val="1"/>
          <w:bCs w:val="1"/>
          <w:color w:val="auto"/>
        </w:rPr>
        <w:t>BYLAWS OF</w:t>
      </w:r>
    </w:p>
    <w:p>
      <w:pPr>
        <w:jc w:val="center"/>
        <w:spacing w:after="0" w:line="236" w:lineRule="auto"/>
        <w:rPr>
          <w:sz w:val="20"/>
          <w:szCs w:val="20"/>
          <w:color w:val="auto"/>
        </w:rPr>
      </w:pPr>
      <w:r>
        <w:rPr>
          <w:rFonts w:ascii="Calibri" w:cs="Calibri" w:eastAsia="Calibri" w:hAnsi="Calibri"/>
          <w:sz w:val="18"/>
          <w:szCs w:val="18"/>
          <w:b w:val="1"/>
          <w:bCs w:val="1"/>
          <w:color w:val="auto"/>
        </w:rPr>
        <w:t>VIVID SEATS INC.</w:t>
      </w:r>
    </w:p>
    <w:p>
      <w:pPr>
        <w:spacing w:after="0" w:line="199" w:lineRule="exact"/>
        <w:rPr>
          <w:sz w:val="20"/>
          <w:szCs w:val="20"/>
          <w:color w:val="auto"/>
        </w:rPr>
      </w:pPr>
    </w:p>
    <w:p>
      <w:pPr>
        <w:ind w:left="4760"/>
        <w:spacing w:after="0"/>
        <w:rPr>
          <w:sz w:val="20"/>
          <w:szCs w:val="20"/>
          <w:color w:val="auto"/>
        </w:rPr>
      </w:pPr>
      <w:r>
        <w:rPr>
          <w:rFonts w:ascii="Calibri" w:cs="Calibri" w:eastAsia="Calibri" w:hAnsi="Calibri"/>
          <w:sz w:val="18"/>
          <w:szCs w:val="18"/>
          <w:i w:val="1"/>
          <w:iCs w:val="1"/>
          <w:color w:val="auto"/>
        </w:rPr>
        <w:t>A Delaware corporaton</w:t>
      </w:r>
    </w:p>
    <w:p>
      <w:pPr>
        <w:ind w:left="4460"/>
        <w:spacing w:after="0" w:line="221" w:lineRule="auto"/>
        <w:rPr>
          <w:sz w:val="20"/>
          <w:szCs w:val="20"/>
          <w:color w:val="auto"/>
        </w:rPr>
      </w:pPr>
      <w:r>
        <w:rPr>
          <w:rFonts w:ascii="Calibri" w:cs="Calibri" w:eastAsia="Calibri" w:hAnsi="Calibri"/>
          <w:sz w:val="18"/>
          <w:szCs w:val="18"/>
          <w:i w:val="1"/>
          <w:iCs w:val="1"/>
          <w:color w:val="auto"/>
        </w:rPr>
        <w:t>(Adopted as of February 3, 2022)</w:t>
      </w:r>
    </w:p>
    <w:p>
      <w:pPr>
        <w:spacing w:after="0" w:line="217" w:lineRule="exact"/>
        <w:rPr>
          <w:sz w:val="20"/>
          <w:szCs w:val="20"/>
          <w:color w:val="auto"/>
        </w:rPr>
      </w:pPr>
    </w:p>
    <w:p>
      <w:pPr>
        <w:jc w:val="both"/>
        <w:ind w:firstLine="503"/>
        <w:spacing w:after="0" w:line="224" w:lineRule="auto"/>
        <w:rPr>
          <w:sz w:val="20"/>
          <w:szCs w:val="20"/>
          <w:color w:val="auto"/>
        </w:rPr>
      </w:pPr>
      <w:r>
        <w:rPr>
          <w:rFonts w:ascii="Calibri" w:cs="Calibri" w:eastAsia="Calibri" w:hAnsi="Calibri"/>
          <w:sz w:val="18"/>
          <w:szCs w:val="18"/>
          <w:color w:val="auto"/>
        </w:rPr>
        <w:t>The Amended and Restated Bylaws (the “</w:t>
      </w:r>
      <w:r>
        <w:rPr>
          <w:rFonts w:ascii="Calibri" w:cs="Calibri" w:eastAsia="Calibri" w:hAnsi="Calibri"/>
          <w:sz w:val="18"/>
          <w:szCs w:val="18"/>
          <w:u w:val="single" w:color="auto"/>
          <w:color w:val="auto"/>
        </w:rPr>
        <w:t>Bylaws</w:t>
      </w:r>
      <w:r>
        <w:rPr>
          <w:rFonts w:ascii="Calibri" w:cs="Calibri" w:eastAsia="Calibri" w:hAnsi="Calibri"/>
          <w:sz w:val="18"/>
          <w:szCs w:val="18"/>
          <w:color w:val="auto"/>
        </w:rPr>
        <w:t>”) of Vivid Seats Inc., a Delaware corporaton (the “</w:t>
      </w:r>
      <w:r>
        <w:rPr>
          <w:rFonts w:ascii="Calibri" w:cs="Calibri" w:eastAsia="Calibri" w:hAnsi="Calibri"/>
          <w:sz w:val="18"/>
          <w:szCs w:val="18"/>
          <w:u w:val="single" w:color="auto"/>
          <w:color w:val="auto"/>
        </w:rPr>
        <w:t>Corporaton</w:t>
      </w:r>
      <w:r>
        <w:rPr>
          <w:rFonts w:ascii="Calibri" w:cs="Calibri" w:eastAsia="Calibri" w:hAnsi="Calibri"/>
          <w:sz w:val="18"/>
          <w:szCs w:val="18"/>
          <w:color w:val="auto"/>
        </w:rPr>
        <w:t>”), adopted as of October 18, 2021, are hereby amended, efectve as of February 3, 2022, to change the Registered Agent and the Registered Ofce of the Corporaton from (i) The Corporaton Trust Company to Cogency Global Inc. and (ii) the ofce of the registered agent in the State of Delaware from 1209 Orange Street, Wilmington, New Castle County, Delaware 19801 to 850 New Burton Road, Suite 201, Dover, Kent County, Delaware 19904.</w:t>
      </w:r>
    </w:p>
    <w:p>
      <w:pPr>
        <w:spacing w:after="0" w:line="214" w:lineRule="exact"/>
        <w:rPr>
          <w:sz w:val="20"/>
          <w:szCs w:val="20"/>
          <w:color w:val="auto"/>
        </w:rPr>
      </w:pPr>
    </w:p>
    <w:p>
      <w:pPr>
        <w:ind w:left="480"/>
        <w:spacing w:after="0"/>
        <w:rPr>
          <w:sz w:val="20"/>
          <w:szCs w:val="20"/>
          <w:color w:val="auto"/>
        </w:rPr>
      </w:pPr>
      <w:r>
        <w:rPr>
          <w:rFonts w:ascii="Calibri" w:cs="Calibri" w:eastAsia="Calibri" w:hAnsi="Calibri"/>
          <w:sz w:val="18"/>
          <w:szCs w:val="18"/>
          <w:color w:val="auto"/>
        </w:rPr>
        <w:t>Except to the extent amended by this First Amendment, the Bylaws of the Corporaton shall remain in full force and efect.</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[Remainder of Page Lef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center"/>
        <w:ind w:right="40"/>
        <w:spacing w:after="0"/>
        <w:rPr>
          <w:sz w:val="20"/>
          <w:szCs w:val="20"/>
          <w:color w:val="auto"/>
        </w:rPr>
      </w:pPr>
      <w:r>
        <w:rPr>
          <w:rFonts w:ascii="Calibri" w:cs="Calibri" w:eastAsia="Calibri" w:hAnsi="Calibri"/>
          <w:sz w:val="18"/>
          <w:szCs w:val="18"/>
          <w:b w:val="1"/>
          <w:bCs w:val="1"/>
          <w:color w:val="auto"/>
        </w:rPr>
        <w:t>CERTIFICATE OF OFFICER</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I, the undersigned, do hereby certfy:</w:t>
      </w:r>
    </w:p>
    <w:p>
      <w:pPr>
        <w:spacing w:after="0" w:line="212" w:lineRule="exact"/>
        <w:rPr>
          <w:sz w:val="20"/>
          <w:szCs w:val="20"/>
          <w:color w:val="auto"/>
        </w:rPr>
      </w:pPr>
    </w:p>
    <w:p>
      <w:pPr>
        <w:ind w:left="520" w:hanging="512"/>
        <w:spacing w:after="0"/>
        <w:tabs>
          <w:tab w:leader="none" w:pos="5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That I am duly elected and actng Chief Executve ofcer and President of the Corporaton;</w:t>
      </w:r>
    </w:p>
    <w:p>
      <w:pPr>
        <w:spacing w:after="0" w:line="203" w:lineRule="exact"/>
        <w:rPr>
          <w:rFonts w:ascii="Calibri" w:cs="Calibri" w:eastAsia="Calibri" w:hAnsi="Calibri"/>
          <w:sz w:val="18"/>
          <w:szCs w:val="18"/>
          <w:color w:val="auto"/>
        </w:rPr>
      </w:pPr>
    </w:p>
    <w:p>
      <w:pPr>
        <w:ind w:firstLine="8"/>
        <w:spacing w:after="0" w:line="227" w:lineRule="auto"/>
        <w:tabs>
          <w:tab w:leader="none" w:pos="549"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That the Amended and Restated Bylaws of the Corporaton, as amended by the First Amendment on February 3, 2022, consttute the Bylaws of the Corporaton; and</w:t>
      </w:r>
    </w:p>
    <w:p>
      <w:pPr>
        <w:spacing w:after="0" w:line="214" w:lineRule="exact"/>
        <w:rPr>
          <w:rFonts w:ascii="Calibri" w:cs="Calibri" w:eastAsia="Calibri" w:hAnsi="Calibri"/>
          <w:sz w:val="18"/>
          <w:szCs w:val="18"/>
          <w:color w:val="auto"/>
        </w:rPr>
      </w:pPr>
    </w:p>
    <w:p>
      <w:pPr>
        <w:ind w:left="500" w:hanging="492"/>
        <w:spacing w:after="0"/>
        <w:tabs>
          <w:tab w:leader="none" w:pos="50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That the foregoing amendment was approved by resolutons of the Board of Directors of the Corporaton.</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IN WITNESS WHEREOF, I have hereunto subscribed my name as of this 3rd day of February, 2022.</w:t>
      </w:r>
    </w:p>
    <w:p>
      <w:pPr>
        <w:spacing w:after="0" w:line="200" w:lineRule="exact"/>
        <w:rPr>
          <w:sz w:val="20"/>
          <w:szCs w:val="20"/>
          <w:color w:val="auto"/>
        </w:rPr>
      </w:pPr>
    </w:p>
    <w:p>
      <w:pPr>
        <w:spacing w:after="0" w:line="228" w:lineRule="exact"/>
        <w:rPr>
          <w:sz w:val="20"/>
          <w:szCs w:val="20"/>
          <w:color w:val="auto"/>
        </w:rPr>
      </w:pPr>
    </w:p>
    <w:p>
      <w:pPr>
        <w:ind w:left="9220"/>
        <w:spacing w:after="0"/>
        <w:rPr>
          <w:sz w:val="20"/>
          <w:szCs w:val="20"/>
          <w:color w:val="auto"/>
        </w:rPr>
      </w:pPr>
      <w:r>
        <w:rPr>
          <w:rFonts w:ascii="Calibri" w:cs="Calibri" w:eastAsia="Calibri" w:hAnsi="Calibri"/>
          <w:sz w:val="18"/>
          <w:szCs w:val="18"/>
          <w:u w:val="single" w:color="auto"/>
          <w:color w:val="auto"/>
        </w:rPr>
        <w:t>/s/ Stanley Chia</w:t>
      </w:r>
    </w:p>
    <w:p>
      <w:pPr>
        <w:ind w:left="9200"/>
        <w:spacing w:after="0" w:line="234" w:lineRule="auto"/>
        <w:rPr>
          <w:sz w:val="20"/>
          <w:szCs w:val="20"/>
          <w:color w:val="auto"/>
        </w:rPr>
      </w:pPr>
      <w:r>
        <w:rPr>
          <w:rFonts w:ascii="Calibri" w:cs="Calibri" w:eastAsia="Calibri" w:hAnsi="Calibri"/>
          <w:sz w:val="17"/>
          <w:szCs w:val="17"/>
          <w:color w:val="auto"/>
        </w:rPr>
        <w:t>Stanley Chia, Chief Executve</w:t>
      </w:r>
    </w:p>
    <w:p>
      <w:pPr>
        <w:ind w:left="9220"/>
        <w:spacing w:after="0" w:line="221" w:lineRule="auto"/>
        <w:rPr>
          <w:sz w:val="20"/>
          <w:szCs w:val="20"/>
          <w:color w:val="auto"/>
        </w:rPr>
      </w:pPr>
      <w:r>
        <w:rPr>
          <w:rFonts w:ascii="Calibri" w:cs="Calibri" w:eastAsia="Calibri" w:hAnsi="Calibri"/>
          <w:sz w:val="18"/>
          <w:szCs w:val="18"/>
          <w:color w:val="auto"/>
        </w:rPr>
        <w:t>Ofcer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212"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March 31,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13"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May 10,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3" w:name="page44"/>
    <w:bookmarkEnd w:id="43"/>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21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March 31,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72"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May 10,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March 31, 2022 as fled with the Securites and Exchange Commission on the date hereof (the “Report”), I, Stanley Chia, Chief Executve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228"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May 10,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March 31, 2022 as fled with the Securites and Exchange Commission on the date hereof (the “Report”), I, Lawrence Fey, Chief Financial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87"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May 10,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02" Type="http://schemas.openxmlformats.org/officeDocument/2006/relationships/hyperlink" Target="https://www.sec.gov/Archives/edgar/data/0001856031/000119312521175583/d447259ds4.htm#ii447259_10" TargetMode="External"/><Relationship Id="rId203" Type="http://schemas.openxmlformats.org/officeDocument/2006/relationships/hyperlink" Target="https://www.sec.gov/Archives/edgar/data/1856031/000119312521175583/d447259dex22.htm" TargetMode="External"/><Relationship Id="rId204" Type="http://schemas.openxmlformats.org/officeDocument/2006/relationships/hyperlink" Target="https://www.sec.gov/Archives/edgar/data/0001856031/000095017021004585/seat-ex2_3.htm" TargetMode="External"/><Relationship Id="rId205" Type="http://schemas.openxmlformats.org/officeDocument/2006/relationships/hyperlink" Target="https://www.sec.gov/Archives/edgar/data/0001856031/000119312521305506/d216055dex31.htm" TargetMode="External"/><Relationship Id="rId206" Type="http://schemas.openxmlformats.org/officeDocument/2006/relationships/hyperlink" Target="https://www.sec.gov/Archives/edgar/data/0001856031/000119312521305506/d216055dex32.htm" TargetMode="External"/><Relationship Id="rId207" Type="http://schemas.openxmlformats.org/officeDocument/2006/relationships/hyperlink" Target="https://www.sec.gov/Archives/edgar/data/0001856031/000119312521305506/d216055dex107.htm" TargetMode="External"/><Relationship Id="rId208" Type="http://schemas.openxmlformats.org/officeDocument/2006/relationships/hyperlink" Target="https://www.sec.gov/Archives/edgar/data/1856031/000095017022003749/seat-ex4_2.htm" TargetMode="External"/><Relationship Id="rId209" Type="http://schemas.openxmlformats.org/officeDocument/2006/relationships/hyperlink" Target="https://www.sec.gov/Archives/edgar/data/1856031/000095017022003749/seat-ex4_3.htm" TargetMode="External"/><Relationship Id="rId212" Type="http://schemas.openxmlformats.org/officeDocument/2006/relationships/hyperlink" Target="https://www.sec.gov/Archives/edgar/data/0001856031/000095017022000833/sea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2022-05-10T06:04:07Z</dcterms:created>
  <dcterms:modified xsi:type="dcterms:W3CDTF">2022-05-10T06:04:07Z</dcterms:modified>
</cp:coreProperties>
</file>