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QUARTERLY REPORT PURSUANT TO SECTION 13 OR 15(d) OF THE SECURITIES EXCHANGE ACT OF 1934</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September 30, 2023</w:t>
      </w:r>
    </w:p>
    <w:p>
      <w:pPr>
        <w:jc w:val="center"/>
        <w:spacing w:after="0"/>
        <w:rPr>
          <w:sz w:val="20"/>
          <w:szCs w:val="20"/>
          <w:color w:val="auto"/>
        </w:rPr>
      </w:pPr>
      <w:r>
        <w:rPr>
          <w:rFonts w:ascii="Arial" w:cs="Arial" w:eastAsia="Arial" w:hAnsi="Arial"/>
          <w:sz w:val="14"/>
          <w:szCs w:val="14"/>
          <w:b w:val="1"/>
          <w:bCs w:val="1"/>
          <w:color w:val="auto"/>
        </w:rPr>
        <w:t>OR</w:t>
      </w:r>
    </w:p>
    <w:p>
      <w:pPr>
        <w:spacing w:after="0" w:line="15" w:lineRule="exact"/>
        <w:rPr>
          <w:sz w:val="24"/>
          <w:szCs w:val="24"/>
          <w:color w:val="auto"/>
        </w:rPr>
      </w:pPr>
    </w:p>
    <w:p>
      <w:pPr>
        <w:ind w:left="20"/>
        <w:spacing w:after="0"/>
        <w:tabs>
          <w:tab w:leader="none" w:pos="460" w:val="left"/>
        </w:tabs>
        <w:rPr>
          <w:sz w:val="20"/>
          <w:szCs w:val="20"/>
          <w:color w:val="auto"/>
        </w:rPr>
      </w:pPr>
      <w:r>
        <w:rPr>
          <w:rFonts w:ascii="MS PGothic" w:cs="MS PGothic" w:eastAsia="MS PGothic" w:hAnsi="MS PGothic"/>
          <w:sz w:val="14"/>
          <w:szCs w:val="14"/>
          <w:color w:val="auto"/>
          <w:highlight w:val="black"/>
        </w:rPr>
        <w:t>☐</w:t>
      </w:r>
      <w:r>
        <w:rPr>
          <w:sz w:val="20"/>
          <w:szCs w:val="20"/>
          <w:color w:val="auto"/>
        </w:rPr>
        <w:tab/>
      </w:r>
      <w:r>
        <w:rPr>
          <w:rFonts w:ascii="Arial" w:cs="Arial" w:eastAsia="Arial" w:hAnsi="Arial"/>
          <w:sz w:val="14"/>
          <w:szCs w:val="14"/>
          <w:b w:val="1"/>
          <w:bCs w:val="1"/>
          <w:color w:val="auto"/>
        </w:rPr>
        <w:t>TRANSITION REPORT PURSUANT TO SECTION 13 OR 15(d) OF THE SECURITIES EXCHANGE ACT OF 1934</w:t>
      </w:r>
    </w:p>
    <w:p>
      <w:pPr>
        <w:spacing w:after="0" w:line="56" w:lineRule="exact"/>
        <w:rPr>
          <w:sz w:val="24"/>
          <w:szCs w:val="24"/>
          <w:color w:val="auto"/>
        </w:rPr>
      </w:pPr>
    </w:p>
    <w:p>
      <w:pPr>
        <w:ind w:left="3900"/>
        <w:spacing w:after="0"/>
        <w:rPr>
          <w:sz w:val="20"/>
          <w:szCs w:val="20"/>
          <w:color w:val="auto"/>
        </w:rPr>
      </w:pPr>
      <w:r>
        <w:rPr>
          <w:rFonts w:ascii="Arial" w:cs="Arial" w:eastAsia="Arial" w:hAnsi="Arial"/>
          <w:sz w:val="14"/>
          <w:szCs w:val="14"/>
          <w:b w:val="1"/>
          <w:bCs w:val="1"/>
          <w:color w:val="auto"/>
        </w:rPr>
        <w:t>For the transiton period from __________ to __________</w:t>
      </w:r>
    </w:p>
    <w:p>
      <w:pPr>
        <w:jc w:val="center"/>
        <w:spacing w:after="0"/>
        <w:rPr>
          <w:sz w:val="20"/>
          <w:szCs w:val="20"/>
          <w:color w:val="auto"/>
        </w:rPr>
      </w:pPr>
      <w:r>
        <w:rPr>
          <w:rFonts w:ascii="Arial" w:cs="Arial" w:eastAsia="Arial" w:hAnsi="Arial"/>
          <w:sz w:val="14"/>
          <w:szCs w:val="14"/>
          <w:b w:val="1"/>
          <w:bCs w:val="1"/>
          <w:color w:val="auto"/>
        </w:rPr>
        <w:t>Commission File Number: 001-40926</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462"/>
        </w:trPr>
        <w:tc>
          <w:tcPr>
            <w:tcW w:w="4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3"/>
          </w:tcPr>
          <w:p>
            <w:pPr>
              <w:jc w:val="center"/>
              <w:ind w:right="460"/>
              <w:spacing w:after="0"/>
              <w:rPr>
                <w:sz w:val="20"/>
                <w:szCs w:val="20"/>
                <w:color w:val="auto"/>
              </w:rPr>
            </w:pPr>
            <w:r>
              <w:rPr>
                <w:rFonts w:ascii="Arial" w:cs="Arial" w:eastAsia="Arial" w:hAnsi="Arial"/>
                <w:sz w:val="36"/>
                <w:szCs w:val="36"/>
                <w:b w:val="1"/>
                <w:bCs w:val="1"/>
                <w:color w:val="auto"/>
                <w:w w:val="84"/>
              </w:rPr>
              <w:t>Vivid Seats Inc.</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020" w:type="dxa"/>
            <w:vAlign w:val="bottom"/>
          </w:tcPr>
          <w:p>
            <w:pPr>
              <w:spacing w:after="0"/>
              <w:rPr>
                <w:sz w:val="17"/>
                <w:szCs w:val="17"/>
                <w:color w:val="auto"/>
              </w:rPr>
            </w:pPr>
          </w:p>
        </w:tc>
        <w:tc>
          <w:tcPr>
            <w:tcW w:w="32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8"/>
              </w:rPr>
              <w:t>(Exact Name of Registrant as Specifed in its Charter)</w:t>
            </w:r>
          </w:p>
        </w:tc>
        <w:tc>
          <w:tcPr>
            <w:tcW w:w="3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0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28"/>
        </w:trPr>
        <w:tc>
          <w:tcPr>
            <w:tcW w:w="4020" w:type="dxa"/>
            <w:vAlign w:val="bottom"/>
          </w:tcPr>
          <w:p>
            <w:pPr>
              <w:jc w:val="center"/>
              <w:ind w:left="1548"/>
              <w:spacing w:after="0"/>
              <w:rPr>
                <w:sz w:val="20"/>
                <w:szCs w:val="20"/>
                <w:color w:val="auto"/>
              </w:rPr>
            </w:pPr>
            <w:r>
              <w:rPr>
                <w:rFonts w:ascii="Arial" w:cs="Arial" w:eastAsia="Arial" w:hAnsi="Arial"/>
                <w:sz w:val="14"/>
                <w:szCs w:val="14"/>
                <w:b w:val="1"/>
                <w:bCs w:val="1"/>
                <w:color w:val="auto"/>
                <w:w w:val="91"/>
              </w:rPr>
              <w:t>Delaware</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940" w:type="dxa"/>
            <w:vAlign w:val="bottom"/>
          </w:tcPr>
          <w:p>
            <w:pPr>
              <w:jc w:val="right"/>
              <w:ind w:right="2388"/>
              <w:spacing w:after="0"/>
              <w:rPr>
                <w:sz w:val="20"/>
                <w:szCs w:val="20"/>
                <w:color w:val="auto"/>
              </w:rPr>
            </w:pPr>
            <w:r>
              <w:rPr>
                <w:rFonts w:ascii="Arial" w:cs="Arial" w:eastAsia="Arial" w:hAnsi="Arial"/>
                <w:sz w:val="14"/>
                <w:szCs w:val="14"/>
                <w:b w:val="1"/>
                <w:bCs w:val="1"/>
                <w:color w:val="auto"/>
              </w:rPr>
              <w:t>86-3355184</w:t>
            </w:r>
          </w:p>
        </w:tc>
        <w:tc>
          <w:tcPr>
            <w:tcW w:w="0" w:type="dxa"/>
            <w:vAlign w:val="bottom"/>
          </w:tcPr>
          <w:p>
            <w:pPr>
              <w:spacing w:after="0"/>
              <w:rPr>
                <w:sz w:val="1"/>
                <w:szCs w:val="1"/>
                <w:color w:val="auto"/>
              </w:rPr>
            </w:pPr>
          </w:p>
        </w:tc>
      </w:tr>
      <w:tr>
        <w:trPr>
          <w:trHeight w:val="181"/>
        </w:trPr>
        <w:tc>
          <w:tcPr>
            <w:tcW w:w="4020" w:type="dxa"/>
            <w:vAlign w:val="bottom"/>
          </w:tcPr>
          <w:p>
            <w:pPr>
              <w:jc w:val="center"/>
              <w:ind w:left="1548"/>
              <w:spacing w:after="0"/>
              <w:rPr>
                <w:sz w:val="20"/>
                <w:szCs w:val="20"/>
                <w:color w:val="auto"/>
              </w:rPr>
            </w:pPr>
            <w:r>
              <w:rPr>
                <w:rFonts w:ascii="Arial" w:cs="Arial" w:eastAsia="Arial" w:hAnsi="Arial"/>
                <w:sz w:val="14"/>
                <w:szCs w:val="14"/>
                <w:b w:val="1"/>
                <w:bCs w:val="1"/>
                <w:color w:val="auto"/>
                <w:w w:val="91"/>
              </w:rPr>
              <w:t>(State or other jurisdicton of</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940" w:type="dxa"/>
            <w:vAlign w:val="bottom"/>
          </w:tcPr>
          <w:p>
            <w:pPr>
              <w:jc w:val="center"/>
              <w:ind w:right="1608"/>
              <w:spacing w:after="0"/>
              <w:rPr>
                <w:sz w:val="20"/>
                <w:szCs w:val="20"/>
                <w:color w:val="auto"/>
              </w:rPr>
            </w:pPr>
            <w:r>
              <w:rPr>
                <w:rFonts w:ascii="Arial" w:cs="Arial" w:eastAsia="Arial" w:hAnsi="Arial"/>
                <w:sz w:val="14"/>
                <w:szCs w:val="14"/>
                <w:b w:val="1"/>
                <w:bCs w:val="1"/>
                <w:color w:val="auto"/>
                <w:w w:val="87"/>
              </w:rPr>
              <w:t>(I.R.S. Employer</w:t>
            </w:r>
          </w:p>
        </w:tc>
        <w:tc>
          <w:tcPr>
            <w:tcW w:w="0" w:type="dxa"/>
            <w:vAlign w:val="bottom"/>
          </w:tcPr>
          <w:p>
            <w:pPr>
              <w:spacing w:after="0"/>
              <w:rPr>
                <w:sz w:val="1"/>
                <w:szCs w:val="1"/>
                <w:color w:val="auto"/>
              </w:rPr>
            </w:pPr>
          </w:p>
        </w:tc>
      </w:tr>
      <w:tr>
        <w:trPr>
          <w:trHeight w:val="184"/>
        </w:trPr>
        <w:tc>
          <w:tcPr>
            <w:tcW w:w="4020" w:type="dxa"/>
            <w:vAlign w:val="bottom"/>
          </w:tcPr>
          <w:p>
            <w:pPr>
              <w:jc w:val="center"/>
              <w:ind w:left="1548"/>
              <w:spacing w:after="0"/>
              <w:rPr>
                <w:sz w:val="20"/>
                <w:szCs w:val="20"/>
                <w:color w:val="auto"/>
              </w:rPr>
            </w:pPr>
            <w:r>
              <w:rPr>
                <w:rFonts w:ascii="Arial" w:cs="Arial" w:eastAsia="Arial" w:hAnsi="Arial"/>
                <w:sz w:val="14"/>
                <w:szCs w:val="14"/>
                <w:b w:val="1"/>
                <w:bCs w:val="1"/>
                <w:color w:val="auto"/>
                <w:w w:val="93"/>
              </w:rPr>
              <w:t>incorporaton or organizaton)</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940" w:type="dxa"/>
            <w:vAlign w:val="bottom"/>
          </w:tcPr>
          <w:p>
            <w:pPr>
              <w:jc w:val="center"/>
              <w:ind w:right="1588"/>
              <w:spacing w:after="0"/>
              <w:rPr>
                <w:sz w:val="20"/>
                <w:szCs w:val="20"/>
                <w:color w:val="auto"/>
              </w:rPr>
            </w:pPr>
            <w:r>
              <w:rPr>
                <w:rFonts w:ascii="Arial" w:cs="Arial" w:eastAsia="Arial" w:hAnsi="Arial"/>
                <w:sz w:val="14"/>
                <w:szCs w:val="14"/>
                <w:b w:val="1"/>
                <w:bCs w:val="1"/>
                <w:color w:val="auto"/>
              </w:rPr>
              <w:t>Identfcaton No.)</w:t>
            </w:r>
          </w:p>
        </w:tc>
        <w:tc>
          <w:tcPr>
            <w:tcW w:w="0" w:type="dxa"/>
            <w:vAlign w:val="bottom"/>
          </w:tcPr>
          <w:p>
            <w:pPr>
              <w:spacing w:after="0"/>
              <w:rPr>
                <w:sz w:val="1"/>
                <w:szCs w:val="1"/>
                <w:color w:val="auto"/>
              </w:rPr>
            </w:pPr>
          </w:p>
        </w:tc>
      </w:tr>
      <w:tr>
        <w:trPr>
          <w:trHeight w:val="181"/>
        </w:trPr>
        <w:tc>
          <w:tcPr>
            <w:tcW w:w="4020" w:type="dxa"/>
            <w:vAlign w:val="bottom"/>
          </w:tcPr>
          <w:p>
            <w:pPr>
              <w:jc w:val="center"/>
              <w:ind w:left="1528"/>
              <w:spacing w:after="0"/>
              <w:rPr>
                <w:sz w:val="20"/>
                <w:szCs w:val="20"/>
                <w:color w:val="auto"/>
              </w:rPr>
            </w:pPr>
            <w:r>
              <w:rPr>
                <w:rFonts w:ascii="Arial" w:cs="Arial" w:eastAsia="Arial" w:hAnsi="Arial"/>
                <w:sz w:val="14"/>
                <w:szCs w:val="14"/>
                <w:b w:val="1"/>
                <w:bCs w:val="1"/>
                <w:color w:val="auto"/>
                <w:w w:val="88"/>
              </w:rPr>
              <w:t>24 E. Washington Street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20" w:type="dxa"/>
            <w:vAlign w:val="bottom"/>
          </w:tcPr>
          <w:p>
            <w:pPr>
              <w:jc w:val="center"/>
              <w:ind w:left="1548"/>
              <w:spacing w:after="0"/>
              <w:rPr>
                <w:sz w:val="20"/>
                <w:szCs w:val="20"/>
                <w:color w:val="auto"/>
              </w:rPr>
            </w:pPr>
            <w:r>
              <w:rPr>
                <w:rFonts w:ascii="Arial" w:cs="Arial" w:eastAsia="Arial" w:hAnsi="Arial"/>
                <w:sz w:val="14"/>
                <w:szCs w:val="14"/>
                <w:b w:val="1"/>
                <w:bCs w:val="1"/>
                <w:color w:val="auto"/>
                <w:w w:val="91"/>
              </w:rPr>
              <w:t>Suite 900</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20" w:type="dxa"/>
            <w:vAlign w:val="bottom"/>
          </w:tcPr>
          <w:p>
            <w:pPr>
              <w:jc w:val="center"/>
              <w:ind w:left="1548"/>
              <w:spacing w:after="0"/>
              <w:rPr>
                <w:sz w:val="20"/>
                <w:szCs w:val="20"/>
                <w:color w:val="auto"/>
              </w:rPr>
            </w:pPr>
            <w:r>
              <w:rPr>
                <w:rFonts w:ascii="Arial" w:cs="Arial" w:eastAsia="Arial" w:hAnsi="Arial"/>
                <w:sz w:val="14"/>
                <w:szCs w:val="14"/>
                <w:b w:val="1"/>
                <w:bCs w:val="1"/>
                <w:color w:val="auto"/>
                <w:w w:val="85"/>
              </w:rPr>
              <w:t>Chicago, Illinois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940" w:type="dxa"/>
            <w:vAlign w:val="bottom"/>
          </w:tcPr>
          <w:p>
            <w:pPr>
              <w:jc w:val="right"/>
              <w:ind w:right="2548"/>
              <w:spacing w:after="0"/>
              <w:rPr>
                <w:sz w:val="20"/>
                <w:szCs w:val="20"/>
                <w:color w:val="auto"/>
              </w:rPr>
            </w:pPr>
            <w:r>
              <w:rPr>
                <w:rFonts w:ascii="Arial" w:cs="Arial" w:eastAsia="Arial" w:hAnsi="Arial"/>
                <w:sz w:val="14"/>
                <w:szCs w:val="14"/>
                <w:b w:val="1"/>
                <w:bCs w:val="1"/>
                <w:color w:val="auto"/>
              </w:rPr>
              <w:t>60602</w:t>
            </w:r>
          </w:p>
        </w:tc>
        <w:tc>
          <w:tcPr>
            <w:tcW w:w="0" w:type="dxa"/>
            <w:vAlign w:val="bottom"/>
          </w:tcPr>
          <w:p>
            <w:pPr>
              <w:spacing w:after="0"/>
              <w:rPr>
                <w:sz w:val="1"/>
                <w:szCs w:val="1"/>
                <w:color w:val="auto"/>
              </w:rPr>
            </w:pPr>
          </w:p>
        </w:tc>
      </w:tr>
      <w:tr>
        <w:trPr>
          <w:trHeight w:val="189"/>
        </w:trPr>
        <w:tc>
          <w:tcPr>
            <w:tcW w:w="4020" w:type="dxa"/>
            <w:vAlign w:val="bottom"/>
          </w:tcPr>
          <w:p>
            <w:pPr>
              <w:jc w:val="center"/>
              <w:ind w:left="1528"/>
              <w:spacing w:after="0"/>
              <w:rPr>
                <w:sz w:val="20"/>
                <w:szCs w:val="20"/>
                <w:color w:val="auto"/>
              </w:rPr>
            </w:pPr>
            <w:r>
              <w:rPr>
                <w:rFonts w:ascii="Arial" w:cs="Arial" w:eastAsia="Arial" w:hAnsi="Arial"/>
                <w:sz w:val="14"/>
                <w:szCs w:val="14"/>
                <w:b w:val="1"/>
                <w:bCs w:val="1"/>
                <w:color w:val="auto"/>
                <w:w w:val="92"/>
              </w:rPr>
              <w:t>(Address of principal executve ofces)</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940" w:type="dxa"/>
            <w:vAlign w:val="bottom"/>
          </w:tcPr>
          <w:p>
            <w:pPr>
              <w:jc w:val="center"/>
              <w:ind w:right="1608"/>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r>
        <w:trPr>
          <w:trHeight w:val="181"/>
        </w:trPr>
        <w:tc>
          <w:tcPr>
            <w:tcW w:w="4020" w:type="dxa"/>
            <w:vAlign w:val="bottom"/>
          </w:tcPr>
          <w:p>
            <w:pPr>
              <w:spacing w:after="0"/>
              <w:rPr>
                <w:sz w:val="15"/>
                <w:szCs w:val="15"/>
                <w:color w:val="auto"/>
              </w:rPr>
            </w:pPr>
          </w:p>
        </w:tc>
        <w:tc>
          <w:tcPr>
            <w:tcW w:w="2060" w:type="dxa"/>
            <w:vAlign w:val="bottom"/>
            <w:gridSpan w:val="3"/>
          </w:tcPr>
          <w:p>
            <w:pPr>
              <w:jc w:val="center"/>
              <w:ind w:left="1088"/>
              <w:spacing w:after="0"/>
              <w:rPr>
                <w:sz w:val="20"/>
                <w:szCs w:val="20"/>
                <w:color w:val="auto"/>
              </w:rPr>
            </w:pPr>
            <w:r>
              <w:rPr>
                <w:rFonts w:ascii="Arial" w:cs="Arial" w:eastAsia="Arial" w:hAnsi="Arial"/>
                <w:sz w:val="14"/>
                <w:szCs w:val="14"/>
                <w:b w:val="1"/>
                <w:bCs w:val="1"/>
                <w:color w:val="auto"/>
                <w:w w:val="93"/>
              </w:rPr>
              <w:t>(312) 291-9966</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20" w:type="dxa"/>
            <w:vAlign w:val="bottom"/>
          </w:tcPr>
          <w:p>
            <w:pPr>
              <w:spacing w:after="0"/>
              <w:rPr>
                <w:sz w:val="15"/>
                <w:szCs w:val="15"/>
                <w:color w:val="auto"/>
              </w:rPr>
            </w:pPr>
          </w:p>
        </w:tc>
        <w:tc>
          <w:tcPr>
            <w:tcW w:w="32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8"/>
              </w:rPr>
              <w:t>Registrant’s telephone number, including area code</w:t>
            </w:r>
          </w:p>
        </w:tc>
        <w:tc>
          <w:tcPr>
            <w:tcW w:w="3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0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020" w:type="dxa"/>
            <w:vAlign w:val="bottom"/>
          </w:tcPr>
          <w:p>
            <w:pPr>
              <w:spacing w:after="0"/>
              <w:rPr>
                <w:sz w:val="20"/>
                <w:szCs w:val="20"/>
                <w:color w:val="auto"/>
              </w:rPr>
            </w:pPr>
            <w:r>
              <w:rPr>
                <w:rFonts w:ascii="Arial" w:cs="Arial" w:eastAsia="Arial" w:hAnsi="Arial"/>
                <w:sz w:val="14"/>
                <w:szCs w:val="14"/>
                <w:color w:val="auto"/>
              </w:rPr>
              <w:t>Securites registered pursuant to Secton 12(b) of the Act: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7"/>
        </w:trPr>
        <w:tc>
          <w:tcPr>
            <w:tcW w:w="4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3"/>
          </w:tcPr>
          <w:p>
            <w:pPr>
              <w:jc w:val="center"/>
              <w:ind w:right="1220"/>
              <w:spacing w:after="0"/>
              <w:rPr>
                <w:sz w:val="20"/>
                <w:szCs w:val="20"/>
                <w:color w:val="auto"/>
              </w:rPr>
            </w:pPr>
            <w:r>
              <w:rPr>
                <w:rFonts w:ascii="Arial" w:cs="Arial" w:eastAsia="Arial" w:hAnsi="Arial"/>
                <w:sz w:val="14"/>
                <w:szCs w:val="14"/>
                <w:b w:val="1"/>
                <w:bCs w:val="1"/>
                <w:color w:val="auto"/>
                <w:w w:val="85"/>
              </w:rPr>
              <w:t>Trading</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020" w:type="dxa"/>
            <w:vAlign w:val="bottom"/>
          </w:tcPr>
          <w:p>
            <w:pPr>
              <w:jc w:val="center"/>
              <w:ind w:left="208"/>
              <w:spacing w:after="0"/>
              <w:rPr>
                <w:sz w:val="20"/>
                <w:szCs w:val="20"/>
                <w:color w:val="auto"/>
              </w:rPr>
            </w:pPr>
            <w:r>
              <w:rPr>
                <w:rFonts w:ascii="Arial" w:cs="Arial" w:eastAsia="Arial" w:hAnsi="Arial"/>
                <w:sz w:val="14"/>
                <w:szCs w:val="14"/>
                <w:b w:val="1"/>
                <w:bCs w:val="1"/>
                <w:color w:val="auto"/>
                <w:w w:val="87"/>
              </w:rPr>
              <w:t>Title of each class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0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85"/>
              </w:rPr>
              <w:t>Symbol(s)</w:t>
            </w:r>
          </w:p>
        </w:tc>
        <w:tc>
          <w:tcPr>
            <w:tcW w:w="3940" w:type="dxa"/>
            <w:vAlign w:val="bottom"/>
          </w:tcPr>
          <w:p>
            <w:pPr>
              <w:jc w:val="center"/>
              <w:ind w:right="1048"/>
              <w:spacing w:after="0"/>
              <w:rPr>
                <w:sz w:val="20"/>
                <w:szCs w:val="20"/>
                <w:color w:val="auto"/>
              </w:rPr>
            </w:pPr>
            <w:r>
              <w:rPr>
                <w:rFonts w:ascii="Arial" w:cs="Arial" w:eastAsia="Arial" w:hAnsi="Arial"/>
                <w:sz w:val="14"/>
                <w:szCs w:val="14"/>
                <w:b w:val="1"/>
                <w:bCs w:val="1"/>
                <w:color w:val="auto"/>
                <w:w w:val="88"/>
              </w:rPr>
              <w:t>Name of each exchange on which registered</w:t>
            </w:r>
          </w:p>
        </w:tc>
        <w:tc>
          <w:tcPr>
            <w:tcW w:w="0" w:type="dxa"/>
            <w:vAlign w:val="bottom"/>
          </w:tcPr>
          <w:p>
            <w:pPr>
              <w:spacing w:after="0"/>
              <w:rPr>
                <w:sz w:val="1"/>
                <w:szCs w:val="1"/>
                <w:color w:val="auto"/>
              </w:rPr>
            </w:pPr>
          </w:p>
        </w:tc>
      </w:tr>
      <w:tr>
        <w:trPr>
          <w:trHeight w:val="30"/>
        </w:trPr>
        <w:tc>
          <w:tcPr>
            <w:tcW w:w="4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020" w:type="dxa"/>
            <w:vAlign w:val="bottom"/>
          </w:tcPr>
          <w:p>
            <w:pPr>
              <w:jc w:val="center"/>
              <w:ind w:left="228"/>
              <w:spacing w:after="0" w:line="158" w:lineRule="exact"/>
              <w:rPr>
                <w:sz w:val="20"/>
                <w:szCs w:val="20"/>
                <w:color w:val="auto"/>
              </w:rPr>
            </w:pPr>
            <w:r>
              <w:rPr>
                <w:rFonts w:ascii="Arial" w:cs="Arial" w:eastAsia="Arial" w:hAnsi="Arial"/>
                <w:sz w:val="14"/>
                <w:szCs w:val="14"/>
                <w:color w:val="auto"/>
                <w:w w:val="92"/>
              </w:rPr>
              <w:t>Class A common stock, par value $0.0001 per share</w:t>
            </w:r>
          </w:p>
        </w:tc>
        <w:tc>
          <w:tcPr>
            <w:tcW w:w="26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1680" w:type="dxa"/>
            <w:vAlign w:val="bottom"/>
          </w:tcPr>
          <w:p>
            <w:pPr>
              <w:jc w:val="center"/>
              <w:spacing w:after="0" w:line="158" w:lineRule="exact"/>
              <w:rPr>
                <w:sz w:val="20"/>
                <w:szCs w:val="20"/>
                <w:color w:val="auto"/>
              </w:rPr>
            </w:pPr>
            <w:r>
              <w:rPr>
                <w:rFonts w:ascii="Arial" w:cs="Arial" w:eastAsia="Arial" w:hAnsi="Arial"/>
                <w:sz w:val="14"/>
                <w:szCs w:val="14"/>
                <w:color w:val="auto"/>
                <w:w w:val="70"/>
              </w:rPr>
              <w:t>SEAT</w:t>
            </w:r>
          </w:p>
        </w:tc>
        <w:tc>
          <w:tcPr>
            <w:tcW w:w="12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3940" w:type="dxa"/>
            <w:vAlign w:val="bottom"/>
          </w:tcPr>
          <w:p>
            <w:pPr>
              <w:jc w:val="center"/>
              <w:ind w:right="1068"/>
              <w:spacing w:after="0" w:line="158" w:lineRule="exact"/>
              <w:rPr>
                <w:sz w:val="20"/>
                <w:szCs w:val="20"/>
                <w:color w:val="auto"/>
              </w:rPr>
            </w:pPr>
            <w:r>
              <w:rPr>
                <w:rFonts w:ascii="Arial" w:cs="Arial" w:eastAsia="Arial" w:hAnsi="Arial"/>
                <w:sz w:val="14"/>
                <w:szCs w:val="14"/>
                <w:color w:val="auto"/>
                <w:w w:val="89"/>
              </w:rPr>
              <w:t>The Nasdaq Stock Market LLC</w:t>
            </w:r>
          </w:p>
        </w:tc>
        <w:tc>
          <w:tcPr>
            <w:tcW w:w="0" w:type="dxa"/>
            <w:vAlign w:val="bottom"/>
          </w:tcPr>
          <w:p>
            <w:pPr>
              <w:spacing w:after="0"/>
              <w:rPr>
                <w:sz w:val="1"/>
                <w:szCs w:val="1"/>
                <w:color w:val="auto"/>
              </w:rPr>
            </w:pPr>
          </w:p>
        </w:tc>
      </w:tr>
      <w:tr>
        <w:trPr>
          <w:trHeight w:val="182"/>
        </w:trPr>
        <w:tc>
          <w:tcPr>
            <w:tcW w:w="4020" w:type="dxa"/>
            <w:vAlign w:val="bottom"/>
          </w:tcPr>
          <w:p>
            <w:pPr>
              <w:jc w:val="center"/>
              <w:ind w:left="208"/>
              <w:spacing w:after="0"/>
              <w:rPr>
                <w:sz w:val="20"/>
                <w:szCs w:val="20"/>
                <w:color w:val="auto"/>
              </w:rPr>
            </w:pPr>
            <w:r>
              <w:rPr>
                <w:rFonts w:ascii="Arial" w:cs="Arial" w:eastAsia="Arial" w:hAnsi="Arial"/>
                <w:sz w:val="14"/>
                <w:szCs w:val="14"/>
                <w:color w:val="auto"/>
                <w:w w:val="92"/>
              </w:rPr>
              <w:t>Warrants to purchase one share of Class A common stock</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00" w:type="dxa"/>
            <w:vAlign w:val="bottom"/>
            <w:gridSpan w:val="3"/>
          </w:tcPr>
          <w:p>
            <w:pPr>
              <w:jc w:val="center"/>
              <w:ind w:right="1220"/>
              <w:spacing w:after="0"/>
              <w:rPr>
                <w:sz w:val="20"/>
                <w:szCs w:val="20"/>
                <w:color w:val="auto"/>
              </w:rPr>
            </w:pPr>
            <w:r>
              <w:rPr>
                <w:rFonts w:ascii="Arial" w:cs="Arial" w:eastAsia="Arial" w:hAnsi="Arial"/>
                <w:sz w:val="14"/>
                <w:szCs w:val="14"/>
                <w:color w:val="auto"/>
                <w:w w:val="80"/>
              </w:rPr>
              <w:t>SEATW</w:t>
            </w:r>
          </w:p>
        </w:tc>
        <w:tc>
          <w:tcPr>
            <w:tcW w:w="3940" w:type="dxa"/>
            <w:vAlign w:val="bottom"/>
          </w:tcPr>
          <w:p>
            <w:pPr>
              <w:jc w:val="center"/>
              <w:ind w:right="1068"/>
              <w:spacing w:after="0"/>
              <w:rPr>
                <w:sz w:val="20"/>
                <w:szCs w:val="20"/>
                <w:color w:val="auto"/>
              </w:rPr>
            </w:pPr>
            <w:r>
              <w:rPr>
                <w:rFonts w:ascii="Arial" w:cs="Arial" w:eastAsia="Arial" w:hAnsi="Arial"/>
                <w:sz w:val="14"/>
                <w:szCs w:val="14"/>
                <w:color w:val="auto"/>
                <w:w w:val="89"/>
              </w:rPr>
              <w:t>The Nasdaq Stock Market LLC</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-2499360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3" w:lineRule="exact"/>
        <w:rPr>
          <w:sz w:val="24"/>
          <w:szCs w:val="24"/>
          <w:color w:val="auto"/>
        </w:rPr>
      </w:pPr>
    </w:p>
    <w:p>
      <w:pPr>
        <w:jc w:val="both"/>
        <w:spacing w:after="0" w:line="200" w:lineRule="exact"/>
        <w:rPr>
          <w:sz w:val="20"/>
          <w:szCs w:val="20"/>
          <w:color w:val="auto"/>
        </w:rPr>
      </w:pPr>
      <w:r>
        <w:rPr>
          <w:rFonts w:ascii="Arial" w:cs="Arial" w:eastAsia="Arial" w:hAnsi="Arial"/>
          <w:sz w:val="14"/>
          <w:szCs w:val="14"/>
          <w:color w:val="auto"/>
        </w:rPr>
        <w:t xml:space="preserve">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jc w:val="both"/>
        <w:spacing w:after="0" w:line="200" w:lineRule="exact"/>
        <w:rPr>
          <w:sz w:val="20"/>
          <w:szCs w:val="20"/>
          <w:color w:val="auto"/>
        </w:rPr>
      </w:pPr>
      <w:r>
        <w:rPr>
          <w:rFonts w:ascii="Arial" w:cs="Arial" w:eastAsia="Arial" w:hAnsi="Arial"/>
          <w:sz w:val="14"/>
          <w:szCs w:val="14"/>
          <w:color w:val="auto"/>
        </w:rPr>
        <w:t xml:space="preserve">Indicate by check mark whether the registrant has submited electronically every Interactve Data File required to be submited pursuant to Rule 405 of Regulaton S-T (§232.405 of this chapter) during the preceding 12 months (or for such shorter period that the registrant was required to submit such fles).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jc w:val="both"/>
        <w:spacing w:after="0" w:line="292" w:lineRule="auto"/>
        <w:rPr>
          <w:sz w:val="20"/>
          <w:szCs w:val="20"/>
          <w:color w:val="auto"/>
        </w:rPr>
      </w:pPr>
      <w:r>
        <w:rPr>
          <w:rFonts w:ascii="Arial" w:cs="Arial" w:eastAsia="Arial" w:hAnsi="Arial"/>
          <w:sz w:val="14"/>
          <w:szCs w:val="14"/>
          <w:color w:val="auto"/>
        </w:rPr>
        <w:t>Indicate by check mark whether the registrant is a large accelerated fler, an accelerated fler, a non-accelerated fler, smaller reportng company, or an emerging growth company. See the defnitons of “large accelerated fler,” “accelerated fler,” “smaller reportng company,” and “emerging growth company” in Rule 12b-2 of the Exchange Act.</w:t>
      </w:r>
    </w:p>
    <w:p>
      <w:pPr>
        <w:spacing w:after="0" w:line="119"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100" w:type="dxa"/>
            <w:vAlign w:val="bottom"/>
          </w:tcPr>
          <w:p>
            <w:pPr>
              <w:spacing w:after="0"/>
              <w:rPr>
                <w:sz w:val="20"/>
                <w:szCs w:val="20"/>
                <w:color w:val="auto"/>
              </w:rPr>
            </w:pPr>
            <w:r>
              <w:rPr>
                <w:rFonts w:ascii="Arial" w:cs="Arial" w:eastAsia="Arial" w:hAnsi="Arial"/>
                <w:sz w:val="14"/>
                <w:szCs w:val="14"/>
                <w:color w:val="auto"/>
              </w:rPr>
              <w:t>Large accelerated fler</w:t>
            </w:r>
          </w:p>
        </w:tc>
        <w:tc>
          <w:tcPr>
            <w:tcW w:w="328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ind w:left="2600"/>
              <w:spacing w:after="0"/>
              <w:rPr>
                <w:sz w:val="20"/>
                <w:szCs w:val="20"/>
                <w:color w:val="auto"/>
              </w:rPr>
            </w:pPr>
            <w:r>
              <w:rPr>
                <w:rFonts w:ascii="Arial" w:cs="Arial" w:eastAsia="Arial" w:hAnsi="Arial"/>
                <w:sz w:val="14"/>
                <w:szCs w:val="14"/>
                <w:color w:val="auto"/>
              </w:rPr>
              <w:t>Accelerated fler</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2100" w:type="dxa"/>
            <w:vAlign w:val="bottom"/>
          </w:tcPr>
          <w:p>
            <w:pPr>
              <w:spacing w:after="0"/>
              <w:rPr>
                <w:sz w:val="20"/>
                <w:szCs w:val="20"/>
                <w:color w:val="auto"/>
              </w:rPr>
            </w:pPr>
            <w:r>
              <w:rPr>
                <w:rFonts w:ascii="Arial" w:cs="Arial" w:eastAsia="Arial" w:hAnsi="Arial"/>
                <w:sz w:val="14"/>
                <w:szCs w:val="14"/>
                <w:color w:val="auto"/>
              </w:rPr>
              <w:t>Non-accelerated fler</w:t>
            </w:r>
          </w:p>
        </w:tc>
        <w:tc>
          <w:tcPr>
            <w:tcW w:w="328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ind w:left="2600"/>
              <w:spacing w:after="0"/>
              <w:rPr>
                <w:sz w:val="20"/>
                <w:szCs w:val="20"/>
                <w:color w:val="auto"/>
              </w:rPr>
            </w:pPr>
            <w:r>
              <w:rPr>
                <w:rFonts w:ascii="Arial" w:cs="Arial" w:eastAsia="Arial" w:hAnsi="Arial"/>
                <w:sz w:val="14"/>
                <w:szCs w:val="14"/>
                <w:color w:val="auto"/>
              </w:rPr>
              <w:t>Smaller reportng company</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21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28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spacing w:after="0"/>
              <w:rPr>
                <w:sz w:val="21"/>
                <w:szCs w:val="21"/>
                <w:color w:val="auto"/>
              </w:rPr>
            </w:pPr>
          </w:p>
        </w:tc>
        <w:tc>
          <w:tcPr>
            <w:tcW w:w="860" w:type="dxa"/>
            <w:vAlign w:val="bottom"/>
          </w:tcPr>
          <w:p>
            <w:pPr>
              <w:spacing w:after="0"/>
              <w:rPr>
                <w:sz w:val="21"/>
                <w:szCs w:val="21"/>
                <w:color w:val="auto"/>
              </w:rPr>
            </w:pPr>
          </w:p>
        </w:tc>
      </w:tr>
    </w:tbl>
    <w:p>
      <w:pPr>
        <w:spacing w:after="0" w:line="220" w:lineRule="exact"/>
        <w:rPr>
          <w:sz w:val="24"/>
          <w:szCs w:val="24"/>
          <w:color w:val="auto"/>
        </w:rPr>
      </w:pPr>
    </w:p>
    <w:p>
      <w:pPr>
        <w:spacing w:after="0" w:line="20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4"/>
          <w:szCs w:val="14"/>
          <w:color w:val="auto"/>
        </w:rPr>
        <w:t>☐</w:t>
      </w:r>
    </w:p>
    <w:p>
      <w:pPr>
        <w:spacing w:after="0" w:line="57" w:lineRule="exact"/>
        <w:rPr>
          <w:sz w:val="24"/>
          <w:szCs w:val="24"/>
          <w:color w:val="auto"/>
        </w:rPr>
      </w:pPr>
    </w:p>
    <w:p>
      <w:pPr>
        <w:spacing w:after="0" w:line="161" w:lineRule="exact"/>
        <w:tabs>
          <w:tab w:leader="none" w:pos="6640" w:val="left"/>
          <w:tab w:leader="none" w:pos="7160" w:val="left"/>
        </w:tabs>
        <w:rPr>
          <w:sz w:val="20"/>
          <w:szCs w:val="20"/>
          <w:color w:val="auto"/>
        </w:rPr>
      </w:pPr>
      <w:r>
        <w:rPr>
          <w:rFonts w:ascii="Arial" w:cs="Arial" w:eastAsia="Arial" w:hAnsi="Arial"/>
          <w:sz w:val="14"/>
          <w:szCs w:val="14"/>
          <w:color w:val="auto"/>
        </w:rPr>
        <w:t>Indicate by check mark whether the registrant is a shell company (as defned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79" w:lineRule="exact"/>
        <w:rPr>
          <w:sz w:val="24"/>
          <w:szCs w:val="24"/>
          <w:color w:val="auto"/>
        </w:rPr>
      </w:pPr>
    </w:p>
    <w:p>
      <w:pPr>
        <w:spacing w:after="0" w:line="292" w:lineRule="auto"/>
        <w:rPr>
          <w:sz w:val="20"/>
          <w:szCs w:val="20"/>
          <w:color w:val="auto"/>
        </w:rPr>
      </w:pPr>
      <w:r>
        <w:rPr>
          <w:rFonts w:ascii="Arial" w:cs="Arial" w:eastAsia="Arial" w:hAnsi="Arial"/>
          <w:sz w:val="14"/>
          <w:szCs w:val="14"/>
          <w:color w:val="auto"/>
        </w:rPr>
        <w:t>As of October 31, 2023, the registrant had outstanding 96,609,670 shares of Class A common stock, $0.0001 par value per share, net of treasury shares, and 99,800,000 shares of Class B 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120" w:type="dxa"/>
            <w:vAlign w:val="bottom"/>
            <w:gridSpan w:val="7"/>
          </w:tcPr>
          <w:p>
            <w:pPr>
              <w:ind w:left="30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520" w:type="dxa"/>
            <w:vAlign w:val="bottom"/>
            <w:gridSpan w:val="19"/>
          </w:tcPr>
          <w:p>
            <w:pPr>
              <w:spacing w:after="0"/>
              <w:rPr>
                <w:sz w:val="20"/>
                <w:szCs w:val="20"/>
                <w:color w:val="auto"/>
              </w:rPr>
            </w:pPr>
            <w:r>
              <w:rPr>
                <w:rFonts w:ascii="Arial" w:cs="Arial" w:eastAsia="Arial" w:hAnsi="Arial"/>
                <w:sz w:val="18"/>
                <w:szCs w:val="18"/>
                <w:color w:val="0000FF"/>
              </w:rPr>
              <w:t>Forward-Looking Statements</w:t>
            </w: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560" w:type="dxa"/>
            <w:vAlign w:val="bottom"/>
            <w:tcBorders>
              <w:left w:val="single" w:sz="8" w:color="0000EE"/>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60" w:type="dxa"/>
            <w:vAlign w:val="bottom"/>
            <w:gridSpan w:val="3"/>
            <w:vMerge w:val="continue"/>
          </w:tcPr>
          <w:p>
            <w:pPr>
              <w:spacing w:after="0"/>
              <w:rPr>
                <w:sz w:val="24"/>
                <w:szCs w:val="24"/>
                <w:color w:val="auto"/>
              </w:rPr>
            </w:pPr>
          </w:p>
        </w:tc>
        <w:tc>
          <w:tcPr>
            <w:tcW w:w="9520" w:type="dxa"/>
            <w:vAlign w:val="bottom"/>
            <w:gridSpan w:val="19"/>
          </w:tcPr>
          <w:p>
            <w:pPr>
              <w:spacing w:after="0"/>
              <w:rPr>
                <w:sz w:val="20"/>
                <w:szCs w:val="20"/>
                <w:color w:val="auto"/>
              </w:rPr>
            </w:pPr>
            <w:r>
              <w:rPr>
                <w:rFonts w:ascii="Arial" w:cs="Arial" w:eastAsia="Arial" w:hAnsi="Arial"/>
                <w:sz w:val="18"/>
                <w:szCs w:val="18"/>
                <w:color w:val="0000FF"/>
              </w:rPr>
              <w:t>FINANCIAL INFORMATION</w:t>
            </w: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left w:val="single" w:sz="8" w:color="0000EE"/>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9520" w:type="dxa"/>
            <w:vAlign w:val="bottom"/>
            <w:gridSpan w:val="19"/>
          </w:tcPr>
          <w:p>
            <w:pPr>
              <w:spacing w:after="0"/>
              <w:rPr>
                <w:sz w:val="20"/>
                <w:szCs w:val="20"/>
                <w:color w:val="auto"/>
              </w:rPr>
            </w:pPr>
            <w:r>
              <w:rPr>
                <w:rFonts w:ascii="Arial" w:cs="Arial" w:eastAsia="Arial" w:hAnsi="Arial"/>
                <w:sz w:val="18"/>
                <w:szCs w:val="18"/>
                <w:color w:val="0000FF"/>
              </w:rPr>
              <w:t>Financial Statements (Unaudited)</w:t>
            </w: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left w:val="single" w:sz="8" w:color="0000EE"/>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520" w:type="dxa"/>
            <w:vAlign w:val="bottom"/>
            <w:gridSpan w:val="19"/>
          </w:tcPr>
          <w:p>
            <w:pPr>
              <w:spacing w:after="0"/>
              <w:rPr>
                <w:sz w:val="20"/>
                <w:szCs w:val="20"/>
                <w:color w:val="auto"/>
              </w:rPr>
            </w:pPr>
            <w:r>
              <w:rPr>
                <w:rFonts w:ascii="Arial" w:cs="Arial" w:eastAsia="Arial" w:hAnsi="Arial"/>
                <w:sz w:val="18"/>
                <w:szCs w:val="18"/>
                <w:color w:val="0000FF"/>
              </w:rPr>
              <w:t>Condensed Consolidated Balance Sheets</w:t>
            </w: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left w:val="single" w:sz="8" w:color="0000EE"/>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660" w:type="dxa"/>
            <w:vAlign w:val="bottom"/>
            <w:tcBorders>
              <w:right w:val="single" w:sz="8" w:color="0000EE"/>
            </w:tcBorders>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52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Operatons</w:t>
            </w: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left w:val="single" w:sz="8" w:color="0000EE"/>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52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Comprehensive Income</w:t>
            </w: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left w:val="single" w:sz="8" w:color="0000EE"/>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52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Defcit</w:t>
            </w: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left w:val="single" w:sz="8" w:color="0000EE"/>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1100" w:type="dxa"/>
            <w:vAlign w:val="bottom"/>
            <w:tcBorders>
              <w:right w:val="single" w:sz="8" w:color="0000EE"/>
            </w:tcBorders>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52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Cash Flows</w:t>
            </w: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left w:val="single" w:sz="8" w:color="0000EE"/>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1440" w:type="dxa"/>
            <w:vAlign w:val="bottom"/>
            <w:tcBorders>
              <w:right w:val="single" w:sz="8" w:color="0000EE"/>
            </w:tcBorders>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520" w:type="dxa"/>
            <w:vAlign w:val="bottom"/>
            <w:gridSpan w:val="19"/>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left w:val="single" w:sz="8" w:color="0000EE"/>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1740" w:type="dxa"/>
            <w:vAlign w:val="bottom"/>
            <w:tcBorders>
              <w:right w:val="single" w:sz="8" w:color="0000EE"/>
            </w:tcBorders>
            <w:gridSpan w:val="5"/>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9520" w:type="dxa"/>
            <w:vAlign w:val="bottom"/>
            <w:gridSpan w:val="19"/>
          </w:tcPr>
          <w:p>
            <w:pPr>
              <w:spacing w:after="0"/>
              <w:rPr>
                <w:sz w:val="20"/>
                <w:szCs w:val="20"/>
                <w:color w:val="auto"/>
              </w:rPr>
            </w:pPr>
            <w:r>
              <w:rPr>
                <w:rFonts w:ascii="Arial" w:cs="Arial" w:eastAsia="Arial" w:hAnsi="Arial"/>
                <w:sz w:val="18"/>
                <w:szCs w:val="18"/>
                <w:color w:val="0000FF"/>
              </w:rPr>
              <w:t>Management’s Discussion and Analysis of Financial Conditon and Results of Operatons</w:t>
            </w: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left w:val="single" w:sz="8" w:color="0000EE"/>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2000" w:type="dxa"/>
            <w:vAlign w:val="bottom"/>
            <w:gridSpan w:val="6"/>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9520" w:type="dxa"/>
            <w:vAlign w:val="bottom"/>
            <w:gridSpan w:val="19"/>
          </w:tcPr>
          <w:p>
            <w:pPr>
              <w:spacing w:after="0"/>
              <w:rPr>
                <w:sz w:val="20"/>
                <w:szCs w:val="20"/>
                <w:color w:val="auto"/>
              </w:rPr>
            </w:pPr>
            <w:r>
              <w:rPr>
                <w:rFonts w:ascii="Arial" w:cs="Arial" w:eastAsia="Arial" w:hAnsi="Arial"/>
                <w:sz w:val="18"/>
                <w:szCs w:val="18"/>
                <w:color w:val="0000FF"/>
              </w:rPr>
              <w:t>Quanttatve and Qualitatve Disclosures About Market Risk</w:t>
            </w: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left w:val="single" w:sz="8" w:color="0000EE"/>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2000" w:type="dxa"/>
            <w:vAlign w:val="bottom"/>
            <w:gridSpan w:val="6"/>
            <w:shd w:val="clear" w:color="auto" w:fill="0000FF"/>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9520" w:type="dxa"/>
            <w:vAlign w:val="bottom"/>
            <w:gridSpan w:val="19"/>
          </w:tcPr>
          <w:p>
            <w:pPr>
              <w:spacing w:after="0"/>
              <w:rPr>
                <w:sz w:val="20"/>
                <w:szCs w:val="20"/>
                <w:color w:val="auto"/>
              </w:rPr>
            </w:pPr>
            <w:r>
              <w:rPr>
                <w:rFonts w:ascii="Arial" w:cs="Arial" w:eastAsia="Arial" w:hAnsi="Arial"/>
                <w:sz w:val="18"/>
                <w:szCs w:val="18"/>
                <w:color w:val="0000FF"/>
              </w:rPr>
              <w:t>Controls and Procedures</w:t>
            </w: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PART II.</w:t>
            </w:r>
          </w:p>
        </w:tc>
        <w:tc>
          <w:tcPr>
            <w:tcW w:w="560" w:type="dxa"/>
            <w:vAlign w:val="bottom"/>
            <w:tcBorders>
              <w:left w:val="single" w:sz="8" w:color="0000EE"/>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3"/>
          </w:tcPr>
          <w:p>
            <w:pPr>
              <w:spacing w:after="0" w:line="20" w:lineRule="exact"/>
              <w:rPr>
                <w:sz w:val="1"/>
                <w:szCs w:val="1"/>
                <w:color w:val="auto"/>
              </w:rPr>
            </w:pPr>
          </w:p>
        </w:tc>
        <w:tc>
          <w:tcPr>
            <w:tcW w:w="4800" w:type="dxa"/>
            <w:vAlign w:val="bottom"/>
            <w:gridSpan w:val="9"/>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60" w:type="dxa"/>
            <w:vAlign w:val="bottom"/>
            <w:gridSpan w:val="3"/>
            <w:vMerge w:val="continue"/>
          </w:tcPr>
          <w:p>
            <w:pPr>
              <w:spacing w:after="0"/>
              <w:rPr>
                <w:sz w:val="24"/>
                <w:szCs w:val="24"/>
                <w:color w:val="auto"/>
              </w:rPr>
            </w:pPr>
          </w:p>
        </w:tc>
        <w:tc>
          <w:tcPr>
            <w:tcW w:w="9520" w:type="dxa"/>
            <w:vAlign w:val="bottom"/>
            <w:gridSpan w:val="19"/>
          </w:tcPr>
          <w:p>
            <w:pPr>
              <w:spacing w:after="0"/>
              <w:rPr>
                <w:sz w:val="20"/>
                <w:szCs w:val="20"/>
                <w:color w:val="auto"/>
              </w:rPr>
            </w:pPr>
            <w:r>
              <w:rPr>
                <w:rFonts w:ascii="Arial" w:cs="Arial" w:eastAsia="Arial" w:hAnsi="Arial"/>
                <w:sz w:val="18"/>
                <w:szCs w:val="18"/>
                <w:color w:val="0000FF"/>
              </w:rPr>
              <w:t>OTHER INFORMATION</w:t>
            </w:r>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left w:val="single" w:sz="8" w:color="0000EE"/>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800" w:type="dxa"/>
            <w:vAlign w:val="bottom"/>
            <w:gridSpan w:val="9"/>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9520" w:type="dxa"/>
            <w:vAlign w:val="bottom"/>
            <w:gridSpan w:val="19"/>
          </w:tcPr>
          <w:p>
            <w:pPr>
              <w:spacing w:after="0"/>
              <w:rPr>
                <w:sz w:val="20"/>
                <w:szCs w:val="20"/>
                <w:color w:val="auto"/>
              </w:rPr>
            </w:pPr>
            <w:r>
              <w:rPr>
                <w:rFonts w:ascii="Arial" w:cs="Arial" w:eastAsia="Arial" w:hAnsi="Arial"/>
                <w:sz w:val="18"/>
                <w:szCs w:val="18"/>
                <w:color w:val="0000FF"/>
              </w:rPr>
              <w:t>Legal Proceedings</w:t>
            </w:r>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left w:val="single" w:sz="8" w:color="0000EE"/>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800" w:type="dxa"/>
            <w:vAlign w:val="bottom"/>
            <w:gridSpan w:val="9"/>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1A.</w:t>
            </w:r>
          </w:p>
        </w:tc>
        <w:tc>
          <w:tcPr>
            <w:tcW w:w="9520" w:type="dxa"/>
            <w:vAlign w:val="bottom"/>
            <w:gridSpan w:val="19"/>
          </w:tcPr>
          <w:p>
            <w:pPr>
              <w:spacing w:after="0"/>
              <w:rPr>
                <w:sz w:val="20"/>
                <w:szCs w:val="20"/>
                <w:color w:val="auto"/>
              </w:rPr>
            </w:pPr>
            <w:r>
              <w:rPr>
                <w:rFonts w:ascii="Arial" w:cs="Arial" w:eastAsia="Arial" w:hAnsi="Arial"/>
                <w:sz w:val="18"/>
                <w:szCs w:val="18"/>
                <w:color w:val="0000FF"/>
              </w:rPr>
              <w:t>Risk Factors</w:t>
            </w:r>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left w:val="single" w:sz="8" w:color="0000EE"/>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800" w:type="dxa"/>
            <w:vAlign w:val="bottom"/>
            <w:gridSpan w:val="9"/>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9520" w:type="dxa"/>
            <w:vAlign w:val="bottom"/>
            <w:gridSpan w:val="19"/>
          </w:tcPr>
          <w:p>
            <w:pPr>
              <w:spacing w:after="0"/>
              <w:rPr>
                <w:sz w:val="20"/>
                <w:szCs w:val="20"/>
                <w:color w:val="auto"/>
              </w:rPr>
            </w:pPr>
            <w:r>
              <w:rPr>
                <w:rFonts w:ascii="Arial" w:cs="Arial" w:eastAsia="Arial" w:hAnsi="Arial"/>
                <w:sz w:val="18"/>
                <w:szCs w:val="18"/>
                <w:color w:val="0000FF"/>
              </w:rPr>
              <w:t>Unregistered Sales of Equity Securites, Use of Proceeds, and Issuer Purchases of Equity Securites</w:t>
            </w:r>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left w:val="single" w:sz="8" w:color="0000EE"/>
            </w:tcBorders>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4800" w:type="dxa"/>
            <w:vAlign w:val="bottom"/>
            <w:gridSpan w:val="9"/>
            <w:shd w:val="clear" w:color="auto" w:fill="0000FF"/>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9520" w:type="dxa"/>
            <w:vAlign w:val="bottom"/>
            <w:gridSpan w:val="19"/>
          </w:tcPr>
          <w:p>
            <w:pPr>
              <w:spacing w:after="0"/>
              <w:rPr>
                <w:sz w:val="20"/>
                <w:szCs w:val="20"/>
                <w:color w:val="auto"/>
              </w:rPr>
            </w:pPr>
            <w:r>
              <w:rPr>
                <w:rFonts w:ascii="Arial" w:cs="Arial" w:eastAsia="Arial" w:hAnsi="Arial"/>
                <w:sz w:val="18"/>
                <w:szCs w:val="18"/>
                <w:color w:val="0000FF"/>
              </w:rPr>
              <w:t>Defaults Upon Senior Securites</w:t>
            </w:r>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left w:val="single" w:sz="8" w:color="0000EE"/>
            </w:tcBorders>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722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9520" w:type="dxa"/>
            <w:vAlign w:val="bottom"/>
            <w:gridSpan w:val="19"/>
          </w:tcPr>
          <w:p>
            <w:pPr>
              <w:spacing w:after="0"/>
              <w:rPr>
                <w:sz w:val="20"/>
                <w:szCs w:val="20"/>
                <w:color w:val="auto"/>
              </w:rPr>
            </w:pPr>
            <w:r>
              <w:rPr>
                <w:rFonts w:ascii="Arial" w:cs="Arial" w:eastAsia="Arial" w:hAnsi="Arial"/>
                <w:sz w:val="18"/>
                <w:szCs w:val="18"/>
                <w:color w:val="0000FF"/>
              </w:rPr>
              <w:t>Mine Safety Disclosures</w:t>
            </w: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left w:val="single" w:sz="8" w:color="0000EE"/>
            </w:tcBorders>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7800" w:type="dxa"/>
            <w:vAlign w:val="bottom"/>
            <w:gridSpan w:val="1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5.</w:t>
            </w:r>
          </w:p>
        </w:tc>
        <w:tc>
          <w:tcPr>
            <w:tcW w:w="9520" w:type="dxa"/>
            <w:vAlign w:val="bottom"/>
            <w:gridSpan w:val="19"/>
          </w:tcPr>
          <w:p>
            <w:pPr>
              <w:spacing w:after="0"/>
              <w:rPr>
                <w:sz w:val="20"/>
                <w:szCs w:val="20"/>
                <w:color w:val="auto"/>
              </w:rPr>
            </w:pPr>
            <w:r>
              <w:rPr>
                <w:rFonts w:ascii="Arial" w:cs="Arial" w:eastAsia="Arial" w:hAnsi="Arial"/>
                <w:sz w:val="18"/>
                <w:szCs w:val="18"/>
                <w:color w:val="0000FF"/>
              </w:rPr>
              <w:t>Other Informaton</w:t>
            </w: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left w:val="single" w:sz="8" w:color="0000EE"/>
            </w:tcBorders>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8200" w:type="dxa"/>
            <w:vAlign w:val="bottom"/>
            <w:gridSpan w:val="1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6.</w:t>
            </w:r>
          </w:p>
        </w:tc>
        <w:tc>
          <w:tcPr>
            <w:tcW w:w="9520" w:type="dxa"/>
            <w:vAlign w:val="bottom"/>
            <w:gridSpan w:val="19"/>
          </w:tcPr>
          <w:p>
            <w:pPr>
              <w:spacing w:after="0"/>
              <w:rPr>
                <w:sz w:val="20"/>
                <w:szCs w:val="20"/>
                <w:color w:val="auto"/>
              </w:rPr>
            </w:pPr>
            <w:r>
              <w:rPr>
                <w:rFonts w:ascii="Arial" w:cs="Arial" w:eastAsia="Arial" w:hAnsi="Arial"/>
                <w:sz w:val="18"/>
                <w:szCs w:val="18"/>
                <w:color w:val="0000FF"/>
              </w:rPr>
              <w:t>Exhibits</w:t>
            </w: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39"/>
        </w:trPr>
        <w:tc>
          <w:tcPr>
            <w:tcW w:w="1160" w:type="dxa"/>
            <w:vAlign w:val="bottom"/>
            <w:gridSpan w:val="3"/>
          </w:tcPr>
          <w:p>
            <w:pPr>
              <w:ind w:left="20"/>
              <w:spacing w:after="0"/>
              <w:rPr>
                <w:sz w:val="20"/>
                <w:szCs w:val="20"/>
                <w:color w:val="auto"/>
              </w:rPr>
            </w:pPr>
            <w:r>
              <w:rPr>
                <w:rFonts w:ascii="Arial" w:cs="Arial" w:eastAsia="Arial" w:hAnsi="Arial"/>
                <w:sz w:val="18"/>
                <w:szCs w:val="18"/>
                <w:color w:val="0000FF"/>
              </w:rPr>
              <w:t>Signatures</w:t>
            </w:r>
          </w:p>
        </w:tc>
        <w:tc>
          <w:tcPr>
            <w:tcW w:w="56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595"/>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3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Quarterly Report on Form 10-Q (this "Report") contains forward-looking statements regarding future events and the future results of Vivid Seats Inc. and its subsidiaries (collectvely, “us,” “we” and “our”) that are based on our current expectatons, estmates, forecasts and projectons about our business and the industries in which we operate and the beliefs and assumptons of our management. We intend such forward-looking statements to be covered by the safe harbor provisions for forward-looking statements contained in Secton 27A of the Securites Act of 1933, as amended, and Secton 21E of the Securites Exchange Act of 1934, as amended (the "Exchange Act"). Words such as “expect,” “antcipate,” “target,” “goal,” “project,” “intend,” “plan,” “believe,” “seek,” “estmate,” “will,” “likely,” “may,” “designed,” “would,” “future,” “can” and “could,” as well as similar expressions which predict or indicate future events and trends or which do not relate to historical maters, are intended to identfy such forward-looking statements.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For example, we may use forward-looking statements when addressing topics such as:</w:t>
      </w:r>
    </w:p>
    <w:p>
      <w:pPr>
        <w:spacing w:after="0" w:line="171" w:lineRule="exact"/>
        <w:rPr>
          <w:sz w:val="20"/>
          <w:szCs w:val="20"/>
          <w:color w:val="auto"/>
        </w:rPr>
      </w:pPr>
    </w:p>
    <w:p>
      <w:pPr>
        <w:ind w:left="1020" w:hanging="503"/>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raise fnancing in the future;</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fnancial performance;</w:t>
      </w:r>
    </w:p>
    <w:p>
      <w:pPr>
        <w:spacing w:after="0" w:line="157" w:lineRule="exact"/>
        <w:rPr>
          <w:rFonts w:ascii="Arial" w:cs="Arial" w:eastAsia="Arial" w:hAnsi="Arial"/>
          <w:sz w:val="18"/>
          <w:szCs w:val="18"/>
          <w:color w:val="auto"/>
        </w:rPr>
      </w:pPr>
    </w:p>
    <w:p>
      <w:pPr>
        <w:ind w:left="1020" w:hanging="503"/>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success in retaining or recruitng, or changes required in, our ofcers, key employees or directors;</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pay dividends on our Class A common stock on the terms currently contemplated or at all; and</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factors relatng to our business, operatons and fnancial performance, including, but not limited to:</w:t>
      </w:r>
    </w:p>
    <w:p>
      <w:pPr>
        <w:spacing w:after="0" w:line="157"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7"/>
          <w:szCs w:val="17"/>
          <w:color w:val="auto"/>
        </w:rPr>
        <w:t>our ability to compete in the tcketng industry;</w:t>
      </w:r>
    </w:p>
    <w:p>
      <w:pPr>
        <w:spacing w:after="0" w:line="171"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7"/>
          <w:szCs w:val="17"/>
          <w:color w:val="auto"/>
        </w:rPr>
        <w:t>our ability to maintain relatonships with tcket buyers, sellers and distributon partners;</w:t>
      </w:r>
    </w:p>
    <w:p>
      <w:pPr>
        <w:spacing w:after="0" w:line="171"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7"/>
          <w:szCs w:val="17"/>
          <w:color w:val="auto"/>
        </w:rPr>
        <w:t>our ability to contnue to improve our platorm and maintain and enhance our brand;</w:t>
      </w:r>
    </w:p>
    <w:p>
      <w:pPr>
        <w:spacing w:after="0" w:line="157" w:lineRule="exact"/>
        <w:rPr>
          <w:rFonts w:ascii="Arial" w:cs="Arial" w:eastAsia="Arial" w:hAnsi="Arial"/>
          <w:sz w:val="18"/>
          <w:szCs w:val="18"/>
          <w:color w:val="auto"/>
        </w:rPr>
      </w:pPr>
    </w:p>
    <w:p>
      <w:pPr>
        <w:ind w:left="1540" w:hanging="509"/>
        <w:spacing w:after="0" w:line="273" w:lineRule="auto"/>
        <w:rPr>
          <w:rFonts w:ascii="Arial" w:cs="Arial" w:eastAsia="Arial" w:hAnsi="Arial"/>
          <w:sz w:val="18"/>
          <w:szCs w:val="18"/>
          <w:color w:val="auto"/>
        </w:rPr>
      </w:pPr>
      <w:r>
        <w:rPr>
          <w:rFonts w:ascii="Arial" w:cs="Arial" w:eastAsia="Arial" w:hAnsi="Arial"/>
          <w:sz w:val="18"/>
          <w:szCs w:val="18"/>
          <w:color w:val="auto"/>
        </w:rPr>
        <w:t>othe impact of extraordinary events or adverse economic conditons on discretonary consumer and corporate spending or on the supply and demand of live events;</w:t>
      </w:r>
    </w:p>
    <w:p>
      <w:pPr>
        <w:spacing w:after="0" w:line="123"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our ability to identfy suitable acquisiton targets, and to complete and realize the expected benefts of planned acquisitons;</w:t>
      </w:r>
    </w:p>
    <w:p>
      <w:pPr>
        <w:spacing w:after="0" w:line="171"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our ability to comply with applicable regulatory regimes;</w:t>
      </w:r>
    </w:p>
    <w:p>
      <w:pPr>
        <w:spacing w:after="0" w:line="157"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our ability to successfully defend against litgaton;</w:t>
      </w:r>
    </w:p>
    <w:p>
      <w:pPr>
        <w:spacing w:after="0" w:line="171"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our ability to maintain the integrity of our informaton systems and infrastructure, and to mitgate possible cyber security risks;</w:t>
      </w:r>
    </w:p>
    <w:p>
      <w:pPr>
        <w:spacing w:after="0" w:line="171" w:lineRule="exact"/>
        <w:rPr>
          <w:sz w:val="20"/>
          <w:szCs w:val="20"/>
          <w:color w:val="auto"/>
        </w:rPr>
      </w:pPr>
    </w:p>
    <w:p>
      <w:pPr>
        <w:ind w:left="1540" w:hanging="514"/>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sufcient cash fows or raise additonal capital necessary to fund our operatons; and</w:t>
      </w:r>
    </w:p>
    <w:p>
      <w:pPr>
        <w:spacing w:after="0" w:line="157" w:lineRule="exact"/>
        <w:rPr>
          <w:rFonts w:ascii="Arial" w:cs="Arial" w:eastAsia="Arial" w:hAnsi="Arial"/>
          <w:sz w:val="18"/>
          <w:szCs w:val="18"/>
          <w:color w:val="auto"/>
        </w:rPr>
      </w:pPr>
    </w:p>
    <w:p>
      <w:pPr>
        <w:ind w:left="1540" w:hanging="514"/>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pandemics on our business and the industries in which we operate.</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based these forward-looking statements largely on our current expectatons and projectons about future events and fnancial trends that we believe may afect our business, fnancial conditon and results of operatons. Forward-looking statements are not guarantees of future performance, conditons or results, and are subject to risks, uncertaintes and assumptons that are difcult to predict. Therefore, actual results may difer materially and adversely from those antcipated in any forward-looking statements. You are cautoned not to place undue reliance on these forward-looking statements, which speak only as of the date of this Report or, in the case of statements incorporated herein by reference, as of the date of the incorporated document. While we believe such informaton forms a reasonable basis for such statements, such informaton may be limited or incomplete, and our statements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should not be read to indicate that we have conducted an exhaustve inquiry into, or review of, all potentally available relevant informaton.</w:t>
      </w:r>
    </w:p>
    <w:p>
      <w:pPr>
        <w:spacing w:after="0" w:line="14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Important factors that could cause or contribute to such diferences include, but are not limited to, those discussed under the “Risk Factors” and “Management’s Discussion and Analysis of Financial Conditon and Results of Operatons” sectons of this Report and our Annual Report on Form 10-K for the fscal year ended December 31, 2022 (together with Amendment No. 1 thereto, our “2022 Form 10-K”), as well as in our press releases and other flings with the Securites and Exchange Commission (the “SEC”).</w:t>
      </w:r>
    </w:p>
    <w:p>
      <w:pPr>
        <w:spacing w:after="0" w:line="12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Except as required by applicable law, we undertake no obligaton to update or revise any forward-looking statements contained in this Report, whether as a result of new informaton, future events or otherwise.</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gridSpan w:val="2"/>
          </w:tcPr>
          <w:p>
            <w:pPr>
              <w:jc w:val="right"/>
              <w:ind w:right="588"/>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5"/>
                <w:szCs w:val="15"/>
                <w:color w:val="auto"/>
              </w:rPr>
            </w:pPr>
          </w:p>
        </w:tc>
        <w:tc>
          <w:tcPr>
            <w:tcW w:w="1480" w:type="dxa"/>
            <w:vAlign w:val="bottom"/>
            <w:gridSpan w:val="2"/>
          </w:tcPr>
          <w:p>
            <w:pPr>
              <w:jc w:val="right"/>
              <w:ind w:right="459"/>
              <w:spacing w:after="0"/>
              <w:rPr>
                <w:sz w:val="20"/>
                <w:szCs w:val="20"/>
                <w:color w:val="auto"/>
              </w:rPr>
            </w:pPr>
            <w:r>
              <w:rPr>
                <w:rFonts w:ascii="Arial" w:cs="Arial" w:eastAsia="Arial" w:hAnsi="Arial"/>
                <w:sz w:val="14"/>
                <w:szCs w:val="14"/>
                <w:b w:val="1"/>
                <w:bCs w:val="1"/>
                <w:color w:val="auto"/>
              </w:rPr>
              <w:t>December 31,</w:t>
            </w:r>
          </w:p>
        </w:tc>
      </w:tr>
      <w:tr>
        <w:trPr>
          <w:trHeight w:val="203"/>
        </w:trPr>
        <w:tc>
          <w:tcPr>
            <w:tcW w:w="7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r>
      <w:tr>
        <w:trPr>
          <w:trHeight w:val="29"/>
        </w:trPr>
        <w:tc>
          <w:tcPr>
            <w:tcW w:w="7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6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2"/>
        </w:trPr>
        <w:tc>
          <w:tcPr>
            <w:tcW w:w="76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7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Cash and cash equivalents</w:t>
            </w:r>
          </w:p>
        </w:tc>
        <w:tc>
          <w:tcPr>
            <w:tcW w:w="24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268,678</w:t>
            </w:r>
          </w:p>
        </w:tc>
        <w:tc>
          <w:tcPr>
            <w:tcW w:w="2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251,542</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2"/>
        </w:trPr>
        <w:tc>
          <w:tcPr>
            <w:tcW w:w="7600" w:type="dxa"/>
            <w:vAlign w:val="bottom"/>
          </w:tcPr>
          <w:p>
            <w:pPr>
              <w:ind w:left="120"/>
              <w:spacing w:after="0"/>
              <w:rPr>
                <w:sz w:val="20"/>
                <w:szCs w:val="20"/>
                <w:color w:val="auto"/>
              </w:rPr>
            </w:pPr>
            <w:r>
              <w:rPr>
                <w:rFonts w:ascii="Arial" w:cs="Arial" w:eastAsia="Arial" w:hAnsi="Arial"/>
                <w:sz w:val="14"/>
                <w:szCs w:val="14"/>
                <w:color w:val="auto"/>
              </w:rPr>
              <w:t>Restricted cash</w:t>
            </w: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1,056</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748</w:t>
            </w:r>
          </w:p>
        </w:tc>
        <w:tc>
          <w:tcPr>
            <w:tcW w:w="100" w:type="dxa"/>
            <w:vAlign w:val="bottom"/>
          </w:tcPr>
          <w:p>
            <w:pPr>
              <w:spacing w:after="0"/>
              <w:rPr>
                <w:sz w:val="15"/>
                <w:szCs w:val="15"/>
                <w:color w:val="auto"/>
              </w:rPr>
            </w:pPr>
          </w:p>
        </w:tc>
      </w:tr>
      <w:tr>
        <w:trPr>
          <w:trHeight w:val="21"/>
        </w:trPr>
        <w:tc>
          <w:tcPr>
            <w:tcW w:w="7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Accounts receivable – net</w:t>
            </w:r>
          </w:p>
        </w:tc>
        <w:tc>
          <w:tcPr>
            <w:tcW w:w="24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64,829</w:t>
            </w:r>
          </w:p>
        </w:tc>
        <w:tc>
          <w:tcPr>
            <w:tcW w:w="2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36,531</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2"/>
        </w:trPr>
        <w:tc>
          <w:tcPr>
            <w:tcW w:w="7600" w:type="dxa"/>
            <w:vAlign w:val="bottom"/>
          </w:tcPr>
          <w:p>
            <w:pPr>
              <w:ind w:left="120"/>
              <w:spacing w:after="0"/>
              <w:rPr>
                <w:sz w:val="20"/>
                <w:szCs w:val="20"/>
                <w:color w:val="auto"/>
              </w:rPr>
            </w:pPr>
            <w:r>
              <w:rPr>
                <w:rFonts w:ascii="Arial" w:cs="Arial" w:eastAsia="Arial" w:hAnsi="Arial"/>
                <w:sz w:val="14"/>
                <w:szCs w:val="14"/>
                <w:color w:val="auto"/>
              </w:rPr>
              <w:t>Inventory – net</w:t>
            </w: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21,533</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12,783</w:t>
            </w:r>
          </w:p>
        </w:tc>
        <w:tc>
          <w:tcPr>
            <w:tcW w:w="100" w:type="dxa"/>
            <w:vAlign w:val="bottom"/>
          </w:tcPr>
          <w:p>
            <w:pPr>
              <w:spacing w:after="0"/>
              <w:rPr>
                <w:sz w:val="15"/>
                <w:szCs w:val="15"/>
                <w:color w:val="auto"/>
              </w:rPr>
            </w:pPr>
          </w:p>
        </w:tc>
      </w:tr>
      <w:tr>
        <w:trPr>
          <w:trHeight w:val="21"/>
        </w:trPr>
        <w:tc>
          <w:tcPr>
            <w:tcW w:w="7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49,407</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29,912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3"/>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Total current assets</w:t>
            </w: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405,503</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331,516</w:t>
            </w:r>
          </w:p>
        </w:tc>
        <w:tc>
          <w:tcPr>
            <w:tcW w:w="100" w:type="dxa"/>
            <w:vAlign w:val="bottom"/>
          </w:tcPr>
          <w:p>
            <w:pPr>
              <w:spacing w:after="0"/>
              <w:rPr>
                <w:sz w:val="16"/>
                <w:szCs w:val="16"/>
                <w:color w:val="auto"/>
              </w:rPr>
            </w:pPr>
          </w:p>
        </w:tc>
      </w:tr>
      <w:tr>
        <w:trPr>
          <w:trHeight w:val="192"/>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Property and equipment – net</w:t>
            </w:r>
          </w:p>
        </w:tc>
        <w:tc>
          <w:tcPr>
            <w:tcW w:w="240" w:type="dxa"/>
            <w:vAlign w:val="bottom"/>
            <w:tcBorders>
              <w:bottom w:val="single" w:sz="8" w:color="CFF0FC"/>
            </w:tcBorders>
            <w:shd w:val="clear" w:color="auto" w:fill="CFF0FC"/>
          </w:tcPr>
          <w:p>
            <w:pPr>
              <w:spacing w:after="0"/>
              <w:rPr>
                <w:sz w:val="16"/>
                <w:szCs w:val="16"/>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10,240</w:t>
            </w:r>
          </w:p>
        </w:tc>
        <w:tc>
          <w:tcPr>
            <w:tcW w:w="2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10,431</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2"/>
        </w:trPr>
        <w:tc>
          <w:tcPr>
            <w:tcW w:w="7600" w:type="dxa"/>
            <w:vAlign w:val="bottom"/>
          </w:tcPr>
          <w:p>
            <w:pPr>
              <w:ind w:left="20"/>
              <w:spacing w:after="0"/>
              <w:rPr>
                <w:sz w:val="20"/>
                <w:szCs w:val="20"/>
                <w:color w:val="auto"/>
              </w:rPr>
            </w:pPr>
            <w:r>
              <w:rPr>
                <w:rFonts w:ascii="Arial" w:cs="Arial" w:eastAsia="Arial" w:hAnsi="Arial"/>
                <w:sz w:val="14"/>
                <w:szCs w:val="14"/>
                <w:color w:val="auto"/>
              </w:rPr>
              <w:t>Right-of-use assets – net</w:t>
            </w: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9,291</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7,859</w:t>
            </w:r>
          </w:p>
        </w:tc>
        <w:tc>
          <w:tcPr>
            <w:tcW w:w="100" w:type="dxa"/>
            <w:vAlign w:val="bottom"/>
          </w:tcPr>
          <w:p>
            <w:pPr>
              <w:spacing w:after="0"/>
              <w:rPr>
                <w:sz w:val="15"/>
                <w:szCs w:val="15"/>
                <w:color w:val="auto"/>
              </w:rPr>
            </w:pPr>
          </w:p>
        </w:tc>
      </w:tr>
      <w:tr>
        <w:trPr>
          <w:trHeight w:val="21"/>
        </w:trPr>
        <w:tc>
          <w:tcPr>
            <w:tcW w:w="7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Intangible assets – net</w:t>
            </w:r>
          </w:p>
        </w:tc>
        <w:tc>
          <w:tcPr>
            <w:tcW w:w="24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113,873</w:t>
            </w:r>
          </w:p>
        </w:tc>
        <w:tc>
          <w:tcPr>
            <w:tcW w:w="2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81,976</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2"/>
        </w:trPr>
        <w:tc>
          <w:tcPr>
            <w:tcW w:w="7600" w:type="dxa"/>
            <w:vAlign w:val="bottom"/>
          </w:tcPr>
          <w:p>
            <w:pPr>
              <w:ind w:left="2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759,971</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715,258</w:t>
            </w:r>
          </w:p>
        </w:tc>
        <w:tc>
          <w:tcPr>
            <w:tcW w:w="100" w:type="dxa"/>
            <w:vAlign w:val="bottom"/>
          </w:tcPr>
          <w:p>
            <w:pPr>
              <w:spacing w:after="0"/>
              <w:rPr>
                <w:sz w:val="15"/>
                <w:szCs w:val="15"/>
                <w:color w:val="auto"/>
              </w:rPr>
            </w:pPr>
          </w:p>
        </w:tc>
      </w:tr>
      <w:tr>
        <w:trPr>
          <w:trHeight w:val="21"/>
        </w:trPr>
        <w:tc>
          <w:tcPr>
            <w:tcW w:w="7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Deferred tax assets</w:t>
            </w:r>
          </w:p>
        </w:tc>
        <w:tc>
          <w:tcPr>
            <w:tcW w:w="24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77,376</w:t>
            </w:r>
          </w:p>
        </w:tc>
        <w:tc>
          <w:tcPr>
            <w:tcW w:w="2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1,853</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2"/>
        </w:trPr>
        <w:tc>
          <w:tcPr>
            <w:tcW w:w="7600" w:type="dxa"/>
            <w:vAlign w:val="bottom"/>
          </w:tcPr>
          <w:p>
            <w:pPr>
              <w:ind w:left="20"/>
              <w:spacing w:after="0"/>
              <w:rPr>
                <w:sz w:val="20"/>
                <w:szCs w:val="20"/>
                <w:color w:val="auto"/>
              </w:rPr>
            </w:pPr>
            <w:r>
              <w:rPr>
                <w:rFonts w:ascii="Arial" w:cs="Arial" w:eastAsia="Arial" w:hAnsi="Arial"/>
                <w:sz w:val="14"/>
                <w:szCs w:val="14"/>
                <w:color w:val="auto"/>
              </w:rPr>
              <w:t>Investments</w:t>
            </w: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6,042</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r>
      <w:tr>
        <w:trPr>
          <w:trHeight w:val="21"/>
        </w:trPr>
        <w:tc>
          <w:tcPr>
            <w:tcW w:w="7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Other non-current assets</w:t>
            </w:r>
          </w:p>
        </w:tc>
        <w:tc>
          <w:tcPr>
            <w:tcW w:w="24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2,780</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2,538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3"/>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1,385,076</w:t>
            </w:r>
          </w:p>
        </w:tc>
        <w:tc>
          <w:tcPr>
            <w:tcW w:w="28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1,151,431</w:t>
            </w:r>
          </w:p>
        </w:tc>
        <w:tc>
          <w:tcPr>
            <w:tcW w:w="100" w:type="dxa"/>
            <w:vAlign w:val="bottom"/>
          </w:tcPr>
          <w:p>
            <w:pPr>
              <w:spacing w:after="0"/>
              <w:rPr>
                <w:sz w:val="17"/>
                <w:szCs w:val="17"/>
                <w:color w:val="auto"/>
              </w:rPr>
            </w:pPr>
          </w:p>
        </w:tc>
      </w:tr>
      <w:tr>
        <w:trPr>
          <w:trHeight w:val="20"/>
        </w:trPr>
        <w:tc>
          <w:tcPr>
            <w:tcW w:w="7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6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Liabilites and shareholders’ defcit</w:t>
            </w:r>
          </w:p>
        </w:tc>
        <w:tc>
          <w:tcPr>
            <w:tcW w:w="2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2"/>
        </w:trPr>
        <w:tc>
          <w:tcPr>
            <w:tcW w:w="7600" w:type="dxa"/>
            <w:vAlign w:val="bottom"/>
          </w:tcPr>
          <w:p>
            <w:pPr>
              <w:ind w:left="20"/>
              <w:spacing w:after="0"/>
              <w:rPr>
                <w:sz w:val="20"/>
                <w:szCs w:val="20"/>
                <w:color w:val="auto"/>
              </w:rPr>
            </w:pPr>
            <w:r>
              <w:rPr>
                <w:rFonts w:ascii="Arial" w:cs="Arial" w:eastAsia="Arial" w:hAnsi="Arial"/>
                <w:sz w:val="14"/>
                <w:szCs w:val="14"/>
                <w:color w:val="auto"/>
              </w:rPr>
              <w:t>Current liabilites:</w:t>
            </w: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7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Accounts payable</w:t>
            </w:r>
          </w:p>
        </w:tc>
        <w:tc>
          <w:tcPr>
            <w:tcW w:w="24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219,118</w:t>
            </w:r>
          </w:p>
        </w:tc>
        <w:tc>
          <w:tcPr>
            <w:tcW w:w="2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161,312</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2"/>
        </w:trPr>
        <w:tc>
          <w:tcPr>
            <w:tcW w:w="7600" w:type="dxa"/>
            <w:vAlign w:val="bottom"/>
          </w:tcPr>
          <w:p>
            <w:pPr>
              <w:ind w:left="120"/>
              <w:spacing w:after="0"/>
              <w:rPr>
                <w:sz w:val="20"/>
                <w:szCs w:val="20"/>
                <w:color w:val="auto"/>
              </w:rPr>
            </w:pPr>
            <w:r>
              <w:rPr>
                <w:rFonts w:ascii="Arial" w:cs="Arial" w:eastAsia="Arial" w:hAnsi="Arial"/>
                <w:sz w:val="14"/>
                <w:szCs w:val="14"/>
                <w:color w:val="auto"/>
              </w:rPr>
              <w:t>Accrued expenses and other current liabilites</w:t>
            </w: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197,247</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181,970</w:t>
            </w:r>
          </w:p>
        </w:tc>
        <w:tc>
          <w:tcPr>
            <w:tcW w:w="100" w:type="dxa"/>
            <w:vAlign w:val="bottom"/>
          </w:tcPr>
          <w:p>
            <w:pPr>
              <w:spacing w:after="0"/>
              <w:rPr>
                <w:sz w:val="15"/>
                <w:szCs w:val="15"/>
                <w:color w:val="auto"/>
              </w:rPr>
            </w:pPr>
          </w:p>
        </w:tc>
      </w:tr>
      <w:tr>
        <w:trPr>
          <w:trHeight w:val="21"/>
        </w:trPr>
        <w:tc>
          <w:tcPr>
            <w:tcW w:w="7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Deferred revenue</w:t>
            </w:r>
          </w:p>
        </w:tc>
        <w:tc>
          <w:tcPr>
            <w:tcW w:w="24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34,447</w:t>
            </w:r>
          </w:p>
        </w:tc>
        <w:tc>
          <w:tcPr>
            <w:tcW w:w="2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31,983</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96"/>
        </w:trPr>
        <w:tc>
          <w:tcPr>
            <w:tcW w:w="7600" w:type="dxa"/>
            <w:vAlign w:val="bottom"/>
          </w:tcPr>
          <w:p>
            <w:pPr>
              <w:ind w:left="120"/>
              <w:spacing w:after="0"/>
              <w:rPr>
                <w:sz w:val="20"/>
                <w:szCs w:val="20"/>
                <w:color w:val="auto"/>
              </w:rPr>
            </w:pPr>
            <w:r>
              <w:rPr>
                <w:rFonts w:ascii="Arial" w:cs="Arial" w:eastAsia="Arial" w:hAnsi="Arial"/>
                <w:sz w:val="14"/>
                <w:szCs w:val="14"/>
                <w:color w:val="auto"/>
              </w:rPr>
              <w:t>Current maturites of long-term debt</w:t>
            </w: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3,308</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2,750</w:t>
            </w:r>
          </w:p>
        </w:tc>
        <w:tc>
          <w:tcPr>
            <w:tcW w:w="100" w:type="dxa"/>
            <w:vAlign w:val="bottom"/>
          </w:tcPr>
          <w:p>
            <w:pPr>
              <w:spacing w:after="0"/>
              <w:rPr>
                <w:sz w:val="17"/>
                <w:szCs w:val="17"/>
                <w:color w:val="auto"/>
              </w:rPr>
            </w:pPr>
          </w:p>
        </w:tc>
      </w:tr>
      <w:tr>
        <w:trPr>
          <w:trHeight w:val="203"/>
        </w:trPr>
        <w:tc>
          <w:tcPr>
            <w:tcW w:w="76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Total current liabilites</w:t>
            </w: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454,120</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378,015</w:t>
            </w:r>
          </w:p>
        </w:tc>
        <w:tc>
          <w:tcPr>
            <w:tcW w:w="100" w:type="dxa"/>
            <w:vAlign w:val="bottom"/>
            <w:shd w:val="clear" w:color="auto" w:fill="CFF0FC"/>
          </w:tcPr>
          <w:p>
            <w:pPr>
              <w:spacing w:after="0"/>
              <w:rPr>
                <w:sz w:val="17"/>
                <w:szCs w:val="17"/>
                <w:color w:val="auto"/>
              </w:rPr>
            </w:pPr>
          </w:p>
        </w:tc>
      </w:tr>
      <w:tr>
        <w:trPr>
          <w:trHeight w:val="182"/>
        </w:trPr>
        <w:tc>
          <w:tcPr>
            <w:tcW w:w="7600" w:type="dxa"/>
            <w:vAlign w:val="bottom"/>
          </w:tcPr>
          <w:p>
            <w:pPr>
              <w:ind w:left="20"/>
              <w:spacing w:after="0"/>
              <w:rPr>
                <w:sz w:val="20"/>
                <w:szCs w:val="20"/>
                <w:color w:val="auto"/>
              </w:rPr>
            </w:pPr>
            <w:r>
              <w:rPr>
                <w:rFonts w:ascii="Arial" w:cs="Arial" w:eastAsia="Arial" w:hAnsi="Arial"/>
                <w:sz w:val="14"/>
                <w:szCs w:val="14"/>
                <w:color w:val="auto"/>
              </w:rPr>
              <w:t>Long-term debt – net</w:t>
            </w: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265,875</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264,898</w:t>
            </w:r>
          </w:p>
        </w:tc>
        <w:tc>
          <w:tcPr>
            <w:tcW w:w="100" w:type="dxa"/>
            <w:vAlign w:val="bottom"/>
          </w:tcPr>
          <w:p>
            <w:pPr>
              <w:spacing w:after="0"/>
              <w:rPr>
                <w:sz w:val="15"/>
                <w:szCs w:val="15"/>
                <w:color w:val="auto"/>
              </w:rPr>
            </w:pPr>
          </w:p>
        </w:tc>
      </w:tr>
      <w:tr>
        <w:trPr>
          <w:trHeight w:val="21"/>
        </w:trPr>
        <w:tc>
          <w:tcPr>
            <w:tcW w:w="7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Long-term lease liabilites</w:t>
            </w:r>
          </w:p>
        </w:tc>
        <w:tc>
          <w:tcPr>
            <w:tcW w:w="24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15,931</w:t>
            </w:r>
          </w:p>
        </w:tc>
        <w:tc>
          <w:tcPr>
            <w:tcW w:w="2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14,911</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2"/>
        </w:trPr>
        <w:tc>
          <w:tcPr>
            <w:tcW w:w="7600" w:type="dxa"/>
            <w:vAlign w:val="bottom"/>
          </w:tcPr>
          <w:p>
            <w:pPr>
              <w:ind w:left="20"/>
              <w:spacing w:after="0"/>
              <w:rPr>
                <w:sz w:val="20"/>
                <w:szCs w:val="20"/>
                <w:color w:val="auto"/>
              </w:rPr>
            </w:pPr>
            <w:r>
              <w:rPr>
                <w:rFonts w:ascii="Arial" w:cs="Arial" w:eastAsia="Arial" w:hAnsi="Arial"/>
                <w:sz w:val="14"/>
                <w:szCs w:val="14"/>
                <w:color w:val="auto"/>
              </w:rPr>
              <w:t>Tax Receivable Agreement liability</w:t>
            </w: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98,977</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r>
      <w:tr>
        <w:trPr>
          <w:trHeight w:val="21"/>
        </w:trPr>
        <w:tc>
          <w:tcPr>
            <w:tcW w:w="7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Other non-current liabilites</w:t>
            </w:r>
          </w:p>
        </w:tc>
        <w:tc>
          <w:tcPr>
            <w:tcW w:w="24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29,745</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13,445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3"/>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Total long-term liabilites</w:t>
            </w: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410,528</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293,254</w:t>
            </w:r>
          </w:p>
        </w:tc>
        <w:tc>
          <w:tcPr>
            <w:tcW w:w="100" w:type="dxa"/>
            <w:vAlign w:val="bottom"/>
          </w:tcPr>
          <w:p>
            <w:pPr>
              <w:spacing w:after="0"/>
              <w:rPr>
                <w:sz w:val="16"/>
                <w:szCs w:val="16"/>
                <w:color w:val="auto"/>
              </w:rPr>
            </w:pPr>
          </w:p>
        </w:tc>
      </w:tr>
      <w:tr>
        <w:trPr>
          <w:trHeight w:val="212"/>
        </w:trPr>
        <w:tc>
          <w:tcPr>
            <w:tcW w:w="76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Commitments and contngencies (Note 14)</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82"/>
        </w:trPr>
        <w:tc>
          <w:tcPr>
            <w:tcW w:w="7600" w:type="dxa"/>
            <w:vAlign w:val="bottom"/>
          </w:tcPr>
          <w:p>
            <w:pPr>
              <w:ind w:left="20"/>
              <w:spacing w:after="0"/>
              <w:rPr>
                <w:sz w:val="20"/>
                <w:szCs w:val="20"/>
                <w:color w:val="auto"/>
              </w:rPr>
            </w:pPr>
            <w:r>
              <w:rPr>
                <w:rFonts w:ascii="Arial" w:cs="Arial" w:eastAsia="Arial" w:hAnsi="Arial"/>
                <w:sz w:val="14"/>
                <w:szCs w:val="14"/>
                <w:color w:val="auto"/>
              </w:rPr>
              <w:t>Redeemable noncontrolling interests</w:t>
            </w: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640,717</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862,860</w:t>
            </w:r>
          </w:p>
        </w:tc>
        <w:tc>
          <w:tcPr>
            <w:tcW w:w="100" w:type="dxa"/>
            <w:vAlign w:val="bottom"/>
          </w:tcPr>
          <w:p>
            <w:pPr>
              <w:spacing w:after="0"/>
              <w:rPr>
                <w:sz w:val="15"/>
                <w:szCs w:val="15"/>
                <w:color w:val="auto"/>
              </w:rPr>
            </w:pPr>
          </w:p>
        </w:tc>
      </w:tr>
      <w:tr>
        <w:trPr>
          <w:trHeight w:val="21"/>
        </w:trPr>
        <w:tc>
          <w:tcPr>
            <w:tcW w:w="7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76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3"/>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Shareholders' defcit</w:t>
            </w: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4"/>
        </w:trPr>
        <w:tc>
          <w:tcPr>
            <w:tcW w:w="7600" w:type="dxa"/>
            <w:vAlign w:val="bottom"/>
            <w:shd w:val="clear" w:color="auto" w:fill="CFF0FC"/>
          </w:tcPr>
          <w:p>
            <w:pPr>
              <w:ind w:left="120"/>
              <w:spacing w:after="0"/>
              <w:rPr>
                <w:sz w:val="20"/>
                <w:szCs w:val="20"/>
                <w:color w:val="auto"/>
              </w:rPr>
            </w:pPr>
            <w:r>
              <w:rPr>
                <w:rFonts w:ascii="Arial" w:cs="Arial" w:eastAsia="Arial" w:hAnsi="Arial"/>
                <w:sz w:val="14"/>
                <w:szCs w:val="14"/>
                <w:color w:val="auto"/>
                <w:w w:val="97"/>
              </w:rPr>
              <w:t>Class A common stock, $0.0001 par value; 500,000,000 shares authorized at September 30, 2023 and December 31, 2022;</w:t>
            </w:r>
          </w:p>
        </w:tc>
        <w:tc>
          <w:tcPr>
            <w:tcW w:w="2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93"/>
        </w:trPr>
        <w:tc>
          <w:tcPr>
            <w:tcW w:w="7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101,803,392 and 82,410,774 issued and outstanding at September 30, 2023 and December 31, 2022, respectvely</w:t>
            </w:r>
          </w:p>
        </w:tc>
        <w:tc>
          <w:tcPr>
            <w:tcW w:w="240" w:type="dxa"/>
            <w:vAlign w:val="bottom"/>
            <w:tcBorders>
              <w:bottom w:val="single" w:sz="8" w:color="CFF0FC"/>
            </w:tcBorders>
            <w:shd w:val="clear" w:color="auto" w:fill="CFF0FC"/>
          </w:tcPr>
          <w:p>
            <w:pPr>
              <w:spacing w:after="0"/>
              <w:rPr>
                <w:sz w:val="16"/>
                <w:szCs w:val="16"/>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2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65"/>
        </w:trPr>
        <w:tc>
          <w:tcPr>
            <w:tcW w:w="7600" w:type="dxa"/>
            <w:vAlign w:val="bottom"/>
          </w:tcPr>
          <w:p>
            <w:pPr>
              <w:ind w:left="120"/>
              <w:spacing w:after="0"/>
              <w:rPr>
                <w:sz w:val="20"/>
                <w:szCs w:val="20"/>
                <w:color w:val="auto"/>
              </w:rPr>
            </w:pPr>
            <w:r>
              <w:rPr>
                <w:rFonts w:ascii="Arial" w:cs="Arial" w:eastAsia="Arial" w:hAnsi="Arial"/>
                <w:sz w:val="14"/>
                <w:szCs w:val="14"/>
                <w:color w:val="auto"/>
              </w:rPr>
              <w:t>Class B common stock, $0.0001 par value; 250,000,000 shares authorized, 99,800,000 and 118,200,000 issued and</w:t>
            </w: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2"/>
        </w:trPr>
        <w:tc>
          <w:tcPr>
            <w:tcW w:w="7600" w:type="dxa"/>
            <w:vAlign w:val="bottom"/>
          </w:tcPr>
          <w:p>
            <w:pPr>
              <w:ind w:left="120"/>
              <w:spacing w:after="0"/>
              <w:rPr>
                <w:sz w:val="20"/>
                <w:szCs w:val="20"/>
                <w:color w:val="auto"/>
              </w:rPr>
            </w:pPr>
            <w:r>
              <w:rPr>
                <w:rFonts w:ascii="Arial" w:cs="Arial" w:eastAsia="Arial" w:hAnsi="Arial"/>
                <w:sz w:val="14"/>
                <w:szCs w:val="14"/>
                <w:color w:val="auto"/>
              </w:rPr>
              <w:t>outstanding at September 30, 2023 and December 31, 2022, respectvely</w:t>
            </w: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r>
      <w:tr>
        <w:trPr>
          <w:trHeight w:val="32"/>
        </w:trPr>
        <w:tc>
          <w:tcPr>
            <w:tcW w:w="7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7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Additonal paid-in capital</w:t>
            </w:r>
          </w:p>
        </w:tc>
        <w:tc>
          <w:tcPr>
            <w:tcW w:w="24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884,523</w:t>
            </w:r>
          </w:p>
        </w:tc>
        <w:tc>
          <w:tcPr>
            <w:tcW w:w="2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663,908</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2"/>
        </w:trPr>
        <w:tc>
          <w:tcPr>
            <w:tcW w:w="7600" w:type="dxa"/>
            <w:vAlign w:val="bottom"/>
          </w:tcPr>
          <w:p>
            <w:pPr>
              <w:ind w:left="120"/>
              <w:spacing w:after="0"/>
              <w:rPr>
                <w:sz w:val="20"/>
                <w:szCs w:val="20"/>
                <w:color w:val="auto"/>
              </w:rPr>
            </w:pPr>
            <w:r>
              <w:rPr>
                <w:rFonts w:ascii="Arial" w:cs="Arial" w:eastAsia="Arial" w:hAnsi="Arial"/>
                <w:sz w:val="14"/>
                <w:szCs w:val="14"/>
                <w:color w:val="auto"/>
              </w:rPr>
              <w:t>Treasury stock, at cost, 5,291,497 and 4,342,477 shares at September 30, 2023 and December 31, 2022, respectvely</w:t>
            </w:r>
          </w:p>
        </w:tc>
        <w:tc>
          <w:tcPr>
            <w:tcW w:w="240" w:type="dxa"/>
            <w:vAlign w:val="bottom"/>
          </w:tcPr>
          <w:p>
            <w:pPr>
              <w:spacing w:after="0"/>
              <w:rPr>
                <w:sz w:val="15"/>
                <w:szCs w:val="15"/>
                <w:color w:val="auto"/>
              </w:rPr>
            </w:pPr>
          </w:p>
        </w:tc>
        <w:tc>
          <w:tcPr>
            <w:tcW w:w="1680" w:type="dxa"/>
            <w:vAlign w:val="bottom"/>
            <w:gridSpan w:val="2"/>
          </w:tcPr>
          <w:p>
            <w:pPr>
              <w:jc w:val="right"/>
              <w:ind w:right="148"/>
              <w:spacing w:after="0"/>
              <w:rPr>
                <w:sz w:val="20"/>
                <w:szCs w:val="20"/>
                <w:color w:val="auto"/>
              </w:rPr>
            </w:pPr>
            <w:r>
              <w:rPr>
                <w:rFonts w:ascii="Arial" w:cs="Arial" w:eastAsia="Arial" w:hAnsi="Arial"/>
                <w:sz w:val="14"/>
                <w:szCs w:val="14"/>
                <w:color w:val="auto"/>
              </w:rPr>
              <w:t>(40,106 )</w:t>
            </w:r>
          </w:p>
        </w:tc>
        <w:tc>
          <w:tcPr>
            <w:tcW w:w="240" w:type="dxa"/>
            <w:vAlign w:val="bottom"/>
          </w:tcPr>
          <w:p>
            <w:pPr>
              <w:spacing w:after="0"/>
              <w:rPr>
                <w:sz w:val="15"/>
                <w:szCs w:val="15"/>
                <w:color w:val="auto"/>
              </w:rPr>
            </w:pPr>
          </w:p>
        </w:tc>
        <w:tc>
          <w:tcPr>
            <w:tcW w:w="1480" w:type="dxa"/>
            <w:vAlign w:val="bottom"/>
            <w:gridSpan w:val="2"/>
          </w:tcPr>
          <w:p>
            <w:pPr>
              <w:jc w:val="right"/>
              <w:ind w:right="19"/>
              <w:spacing w:after="0"/>
              <w:rPr>
                <w:sz w:val="20"/>
                <w:szCs w:val="20"/>
                <w:color w:val="auto"/>
              </w:rPr>
            </w:pPr>
            <w:r>
              <w:rPr>
                <w:rFonts w:ascii="Arial" w:cs="Arial" w:eastAsia="Arial" w:hAnsi="Arial"/>
                <w:sz w:val="14"/>
                <w:szCs w:val="14"/>
                <w:color w:val="auto"/>
              </w:rPr>
              <w:t>(32,494 )</w:t>
            </w:r>
          </w:p>
        </w:tc>
      </w:tr>
      <w:tr>
        <w:trPr>
          <w:trHeight w:val="21"/>
        </w:trPr>
        <w:tc>
          <w:tcPr>
            <w:tcW w:w="7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r>
      <w:tr>
        <w:trPr>
          <w:trHeight w:val="183"/>
        </w:trPr>
        <w:tc>
          <w:tcPr>
            <w:tcW w:w="7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Accumulated defcit</w:t>
            </w:r>
          </w:p>
        </w:tc>
        <w:tc>
          <w:tcPr>
            <w:tcW w:w="240" w:type="dxa"/>
            <w:vAlign w:val="bottom"/>
            <w:tcBorders>
              <w:bottom w:val="single" w:sz="8" w:color="CFF0FC"/>
            </w:tcBorders>
            <w:shd w:val="clear" w:color="auto" w:fill="CFF0FC"/>
          </w:tcPr>
          <w:p>
            <w:pPr>
              <w:spacing w:after="0"/>
              <w:rPr>
                <w:sz w:val="15"/>
                <w:szCs w:val="15"/>
                <w:color w:val="auto"/>
              </w:rPr>
            </w:pPr>
          </w:p>
        </w:tc>
        <w:tc>
          <w:tcPr>
            <w:tcW w:w="1680" w:type="dxa"/>
            <w:vAlign w:val="bottom"/>
            <w:tcBorders>
              <w:bottom w:val="single" w:sz="8" w:color="CFF0FC"/>
            </w:tcBorders>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(964,561 )</w:t>
            </w:r>
          </w:p>
        </w:tc>
        <w:tc>
          <w:tcPr>
            <w:tcW w:w="240" w:type="dxa"/>
            <w:vAlign w:val="bottom"/>
            <w:tcBorders>
              <w:bottom w:val="single" w:sz="8" w:color="CFF0FC"/>
            </w:tcBorders>
            <w:shd w:val="clear" w:color="auto" w:fill="CFF0FC"/>
          </w:tcPr>
          <w:p>
            <w:pPr>
              <w:spacing w:after="0"/>
              <w:rPr>
                <w:sz w:val="15"/>
                <w:szCs w:val="15"/>
                <w:color w:val="auto"/>
              </w:rPr>
            </w:pPr>
          </w:p>
        </w:tc>
        <w:tc>
          <w:tcPr>
            <w:tcW w:w="1480" w:type="dxa"/>
            <w:vAlign w:val="bottom"/>
            <w:tcBorders>
              <w:bottom w:val="single" w:sz="8" w:color="CFF0FC"/>
            </w:tcBorders>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(1,014,132 )</w:t>
            </w:r>
          </w:p>
        </w:tc>
      </w:tr>
      <w:tr>
        <w:trPr>
          <w:trHeight w:val="196"/>
        </w:trPr>
        <w:tc>
          <w:tcPr>
            <w:tcW w:w="7600" w:type="dxa"/>
            <w:vAlign w:val="bottom"/>
          </w:tcPr>
          <w:p>
            <w:pPr>
              <w:ind w:left="120"/>
              <w:spacing w:after="0"/>
              <w:rPr>
                <w:sz w:val="20"/>
                <w:szCs w:val="20"/>
                <w:color w:val="auto"/>
              </w:rPr>
            </w:pPr>
            <w:r>
              <w:rPr>
                <w:rFonts w:ascii="Arial" w:cs="Arial" w:eastAsia="Arial" w:hAnsi="Arial"/>
                <w:sz w:val="14"/>
                <w:szCs w:val="14"/>
                <w:color w:val="auto"/>
              </w:rPr>
              <w:t>Accumulated other comprehensive loss</w:t>
            </w:r>
          </w:p>
        </w:tc>
        <w:tc>
          <w:tcPr>
            <w:tcW w:w="240" w:type="dxa"/>
            <w:vAlign w:val="bottom"/>
          </w:tcPr>
          <w:p>
            <w:pPr>
              <w:spacing w:after="0"/>
              <w:rPr>
                <w:sz w:val="17"/>
                <w:szCs w:val="17"/>
                <w:color w:val="auto"/>
              </w:rPr>
            </w:pPr>
          </w:p>
        </w:tc>
        <w:tc>
          <w:tcPr>
            <w:tcW w:w="1680" w:type="dxa"/>
            <w:vAlign w:val="bottom"/>
            <w:gridSpan w:val="2"/>
          </w:tcPr>
          <w:p>
            <w:pPr>
              <w:jc w:val="right"/>
              <w:ind w:right="148"/>
              <w:spacing w:after="0"/>
              <w:rPr>
                <w:sz w:val="20"/>
                <w:szCs w:val="20"/>
                <w:color w:val="auto"/>
              </w:rPr>
            </w:pPr>
            <w:r>
              <w:rPr>
                <w:rFonts w:ascii="Arial" w:cs="Arial" w:eastAsia="Arial" w:hAnsi="Arial"/>
                <w:sz w:val="14"/>
                <w:szCs w:val="14"/>
                <w:color w:val="auto"/>
              </w:rPr>
              <w:t>(166 )</w:t>
            </w:r>
          </w:p>
        </w:tc>
        <w:tc>
          <w:tcPr>
            <w:tcW w:w="240" w:type="dxa"/>
            <w:vAlign w:val="bottom"/>
          </w:tcPr>
          <w:p>
            <w:pPr>
              <w:spacing w:after="0"/>
              <w:rPr>
                <w:sz w:val="17"/>
                <w:szCs w:val="17"/>
                <w:color w:val="auto"/>
              </w:rPr>
            </w:pPr>
          </w:p>
        </w:tc>
        <w:tc>
          <w:tcPr>
            <w:tcW w:w="148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r>
      <w:tr>
        <w:trPr>
          <w:trHeight w:val="196"/>
        </w:trPr>
        <w:tc>
          <w:tcPr>
            <w:tcW w:w="7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Total Shareholders' defcit</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(120,289</w:t>
            </w:r>
          </w:p>
        </w:tc>
        <w:tc>
          <w:tcPr>
            <w:tcW w:w="280" w:type="dxa"/>
            <w:vAlign w:val="bottom"/>
            <w:tcBorders>
              <w:bottom w:val="single" w:sz="8" w:color="CFF0FC"/>
            </w:tcBorders>
            <w:shd w:val="clear" w:color="auto" w:fill="CFF0FC"/>
          </w:tcPr>
          <w:p>
            <w:pPr>
              <w:jc w:val="right"/>
              <w:ind w:right="148"/>
              <w:spacing w:after="0"/>
              <w:rPr>
                <w:sz w:val="20"/>
                <w:szCs w:val="20"/>
                <w:color w:val="auto"/>
              </w:rPr>
            </w:pPr>
            <w:r>
              <w:rPr>
                <w:rFonts w:ascii="Arial" w:cs="Arial" w:eastAsia="Arial" w:hAnsi="Arial"/>
                <w:sz w:val="14"/>
                <w:szCs w:val="14"/>
                <w:color w:val="auto"/>
                <w:w w:val="84"/>
              </w:rPr>
              <w:t>)</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(382,698</w:t>
            </w:r>
          </w:p>
        </w:tc>
        <w:tc>
          <w:tcPr>
            <w:tcW w:w="1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8"/>
                <w:szCs w:val="8"/>
                <w:color w:val="auto"/>
                <w:w w:val="73"/>
              </w:rPr>
              <w:t>)</w:t>
            </w:r>
          </w:p>
        </w:tc>
      </w:tr>
      <w:tr>
        <w:trPr>
          <w:trHeight w:val="203"/>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Total liabilites, Redeemable noncontrolling interests, and Shareholders' defcit</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1,385,076</w:t>
            </w:r>
          </w:p>
        </w:tc>
        <w:tc>
          <w:tcPr>
            <w:tcW w:w="28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1,151,431</w:t>
            </w:r>
          </w:p>
        </w:tc>
        <w:tc>
          <w:tcPr>
            <w:tcW w:w="100" w:type="dxa"/>
            <w:vAlign w:val="bottom"/>
          </w:tcPr>
          <w:p>
            <w:pPr>
              <w:spacing w:after="0"/>
              <w:rPr>
                <w:sz w:val="17"/>
                <w:szCs w:val="17"/>
                <w:color w:val="auto"/>
              </w:rPr>
            </w:pPr>
          </w:p>
        </w:tc>
      </w:tr>
      <w:tr>
        <w:trPr>
          <w:trHeight w:val="20"/>
        </w:trPr>
        <w:tc>
          <w:tcPr>
            <w:tcW w:w="7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-4568190</wp:posOffset>
            </wp:positionV>
            <wp:extent cx="6858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-4568190</wp:posOffset>
            </wp:positionV>
            <wp:extent cx="6858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-3531235</wp:posOffset>
            </wp:positionV>
            <wp:extent cx="68580"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-3531235</wp:posOffset>
            </wp:positionV>
            <wp:extent cx="68580"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-1945005</wp:posOffset>
            </wp:positionV>
            <wp:extent cx="6858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-162560</wp:posOffset>
            </wp:positionV>
            <wp:extent cx="6858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per share data)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2"/>
              </w:rPr>
              <w:t>Three Months Ended September 30,</w:t>
            </w:r>
          </w:p>
        </w:tc>
        <w:tc>
          <w:tcPr>
            <w:tcW w:w="100" w:type="dxa"/>
            <w:vAlign w:val="bottom"/>
          </w:tcPr>
          <w:p>
            <w:pPr>
              <w:spacing w:after="0"/>
              <w:rPr>
                <w:sz w:val="15"/>
                <w:szCs w:val="15"/>
                <w:color w:val="auto"/>
              </w:rPr>
            </w:pPr>
          </w:p>
        </w:tc>
        <w:tc>
          <w:tcPr>
            <w:tcW w:w="230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89"/>
              </w:rPr>
              <w:t>Nine Months Ended September 30,</w:t>
            </w:r>
          </w:p>
        </w:tc>
      </w:tr>
      <w:tr>
        <w:trPr>
          <w:trHeight w:val="29"/>
        </w:trPr>
        <w:tc>
          <w:tcPr>
            <w:tcW w:w="5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90"/>
        </w:trPr>
        <w:tc>
          <w:tcPr>
            <w:tcW w:w="5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183"/>
        </w:trPr>
        <w:tc>
          <w:tcPr>
            <w:tcW w:w="5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Revenues</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188,133</w:t>
            </w: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156,818</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514,576</w:t>
            </w: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435,284</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93"/>
        </w:trPr>
        <w:tc>
          <w:tcPr>
            <w:tcW w:w="5980" w:type="dxa"/>
            <w:vAlign w:val="bottom"/>
          </w:tcPr>
          <w:p>
            <w:pPr>
              <w:ind w:left="20"/>
              <w:spacing w:after="0"/>
              <w:rPr>
                <w:sz w:val="20"/>
                <w:szCs w:val="20"/>
                <w:color w:val="auto"/>
              </w:rPr>
            </w:pPr>
            <w:r>
              <w:rPr>
                <w:rFonts w:ascii="Arial" w:cs="Arial" w:eastAsia="Arial" w:hAnsi="Arial"/>
                <w:sz w:val="14"/>
                <w:szCs w:val="14"/>
                <w:b w:val="1"/>
                <w:bCs w:val="1"/>
                <w:color w:val="auto"/>
              </w:rPr>
              <w:t>Costs and expenses:</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2"/>
        </w:trPr>
        <w:tc>
          <w:tcPr>
            <w:tcW w:w="59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Cost of revenues (exclusive of depreciaton and amortzaton shown separately below)</w:t>
            </w:r>
          </w:p>
        </w:tc>
        <w:tc>
          <w:tcPr>
            <w:tcW w:w="16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50,462</w:t>
            </w: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37,617</w:t>
            </w: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130,838</w:t>
            </w:r>
          </w:p>
        </w:tc>
        <w:tc>
          <w:tcPr>
            <w:tcW w:w="2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102,203</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2"/>
        </w:trPr>
        <w:tc>
          <w:tcPr>
            <w:tcW w:w="5980" w:type="dxa"/>
            <w:vAlign w:val="bottom"/>
          </w:tcPr>
          <w:p>
            <w:pPr>
              <w:ind w:left="120"/>
              <w:spacing w:after="0"/>
              <w:rPr>
                <w:sz w:val="20"/>
                <w:szCs w:val="20"/>
                <w:color w:val="auto"/>
              </w:rPr>
            </w:pPr>
            <w:r>
              <w:rPr>
                <w:rFonts w:ascii="Arial" w:cs="Arial" w:eastAsia="Arial" w:hAnsi="Arial"/>
                <w:sz w:val="14"/>
                <w:szCs w:val="14"/>
                <w:color w:val="auto"/>
              </w:rPr>
              <w:t>Marketng and selling</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77,006</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66,323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196,970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179,963</w:t>
            </w:r>
          </w:p>
        </w:tc>
        <w:tc>
          <w:tcPr>
            <w:tcW w:w="100" w:type="dxa"/>
            <w:vAlign w:val="bottom"/>
          </w:tcPr>
          <w:p>
            <w:pPr>
              <w:spacing w:after="0"/>
              <w:rPr>
                <w:sz w:val="15"/>
                <w:szCs w:val="15"/>
                <w:color w:val="auto"/>
              </w:rPr>
            </w:pPr>
          </w:p>
        </w:tc>
      </w:tr>
      <w:tr>
        <w:trPr>
          <w:trHeight w:val="21"/>
        </w:trPr>
        <w:tc>
          <w:tcPr>
            <w:tcW w:w="5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9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General and administratve</w:t>
            </w:r>
          </w:p>
        </w:tc>
        <w:tc>
          <w:tcPr>
            <w:tcW w:w="16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37,225</w:t>
            </w: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30,239</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107,921</w:t>
            </w: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95,721</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2"/>
        </w:trPr>
        <w:tc>
          <w:tcPr>
            <w:tcW w:w="5980" w:type="dxa"/>
            <w:vAlign w:val="bottom"/>
          </w:tcPr>
          <w:p>
            <w:pPr>
              <w:ind w:left="120"/>
              <w:spacing w:after="0"/>
              <w:rPr>
                <w:sz w:val="20"/>
                <w:szCs w:val="20"/>
                <w:color w:val="auto"/>
              </w:rPr>
            </w:pPr>
            <w:r>
              <w:rPr>
                <w:rFonts w:ascii="Arial" w:cs="Arial" w:eastAsia="Arial" w:hAnsi="Arial"/>
                <w:sz w:val="14"/>
                <w:szCs w:val="14"/>
                <w:color w:val="auto"/>
              </w:rPr>
              <w:t>Depreciaton and amortzaton</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3,301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2,158</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8,603</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5,269</w:t>
            </w:r>
          </w:p>
        </w:tc>
        <w:tc>
          <w:tcPr>
            <w:tcW w:w="100" w:type="dxa"/>
            <w:vAlign w:val="bottom"/>
          </w:tcPr>
          <w:p>
            <w:pPr>
              <w:spacing w:after="0"/>
              <w:rPr>
                <w:sz w:val="15"/>
                <w:szCs w:val="15"/>
                <w:color w:val="auto"/>
              </w:rPr>
            </w:pPr>
          </w:p>
        </w:tc>
      </w:tr>
      <w:tr>
        <w:trPr>
          <w:trHeight w:val="21"/>
        </w:trPr>
        <w:tc>
          <w:tcPr>
            <w:tcW w:w="5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196"/>
        </w:trPr>
        <w:tc>
          <w:tcPr>
            <w:tcW w:w="59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Change in fair value of contngent consideraton</w:t>
            </w: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(1,220 )</w:t>
            </w: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(998 )</w:t>
            </w:r>
          </w:p>
        </w:tc>
        <w:tc>
          <w:tcPr>
            <w:tcW w:w="1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(1,220 )</w:t>
            </w:r>
          </w:p>
        </w:tc>
      </w:tr>
      <w:tr>
        <w:trPr>
          <w:trHeight w:val="193"/>
        </w:trPr>
        <w:tc>
          <w:tcPr>
            <w:tcW w:w="5980" w:type="dxa"/>
            <w:vAlign w:val="bottom"/>
            <w:tcBorders>
              <w:top w:val="single" w:sz="8" w:color="CFF0FC"/>
            </w:tcBorders>
          </w:tcPr>
          <w:p>
            <w:pPr>
              <w:ind w:left="20"/>
              <w:spacing w:after="0"/>
              <w:rPr>
                <w:sz w:val="20"/>
                <w:szCs w:val="20"/>
                <w:color w:val="auto"/>
              </w:rPr>
            </w:pPr>
            <w:r>
              <w:rPr>
                <w:rFonts w:ascii="Arial" w:cs="Arial" w:eastAsia="Arial" w:hAnsi="Arial"/>
                <w:sz w:val="14"/>
                <w:szCs w:val="14"/>
                <w:b w:val="1"/>
                <w:bCs w:val="1"/>
                <w:color w:val="auto"/>
              </w:rPr>
              <w:t>Income from operatons</w:t>
            </w: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20,119</w:t>
            </w:r>
          </w:p>
        </w:tc>
        <w:tc>
          <w:tcPr>
            <w:tcW w:w="240" w:type="dxa"/>
            <w:vAlign w:val="bottom"/>
            <w:tcBorders>
              <w:top w:val="single" w:sz="8" w:color="CFF0FC"/>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21,701</w:t>
            </w:r>
          </w:p>
        </w:tc>
        <w:tc>
          <w:tcPr>
            <w:tcW w:w="24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71,242</w:t>
            </w:r>
          </w:p>
        </w:tc>
        <w:tc>
          <w:tcPr>
            <w:tcW w:w="22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53,348</w:t>
            </w:r>
          </w:p>
        </w:tc>
        <w:tc>
          <w:tcPr>
            <w:tcW w:w="100" w:type="dxa"/>
            <w:vAlign w:val="bottom"/>
            <w:tcBorders>
              <w:top w:val="single" w:sz="8" w:color="CFF0FC"/>
            </w:tcBorders>
          </w:tcPr>
          <w:p>
            <w:pPr>
              <w:spacing w:after="0"/>
              <w:rPr>
                <w:sz w:val="16"/>
                <w:szCs w:val="16"/>
                <w:color w:val="auto"/>
              </w:rPr>
            </w:pPr>
          </w:p>
        </w:tc>
      </w:tr>
      <w:tr>
        <w:trPr>
          <w:trHeight w:val="212"/>
        </w:trPr>
        <w:tc>
          <w:tcPr>
            <w:tcW w:w="59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82"/>
        </w:trPr>
        <w:tc>
          <w:tcPr>
            <w:tcW w:w="5980" w:type="dxa"/>
            <w:vAlign w:val="bottom"/>
          </w:tcPr>
          <w:p>
            <w:pPr>
              <w:ind w:left="120"/>
              <w:spacing w:after="0"/>
              <w:rPr>
                <w:sz w:val="20"/>
                <w:szCs w:val="20"/>
                <w:color w:val="auto"/>
              </w:rPr>
            </w:pPr>
            <w:r>
              <w:rPr>
                <w:rFonts w:ascii="Arial" w:cs="Arial" w:eastAsia="Arial" w:hAnsi="Arial"/>
                <w:sz w:val="14"/>
                <w:szCs w:val="14"/>
                <w:color w:val="auto"/>
              </w:rPr>
              <w:t>Interest expense – net</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2,544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2,901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8,596</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9,542</w:t>
            </w:r>
          </w:p>
        </w:tc>
        <w:tc>
          <w:tcPr>
            <w:tcW w:w="100" w:type="dxa"/>
            <w:vAlign w:val="bottom"/>
          </w:tcPr>
          <w:p>
            <w:pPr>
              <w:spacing w:after="0"/>
              <w:rPr>
                <w:sz w:val="15"/>
                <w:szCs w:val="15"/>
                <w:color w:val="auto"/>
              </w:rPr>
            </w:pPr>
          </w:p>
        </w:tc>
      </w:tr>
      <w:tr>
        <w:trPr>
          <w:trHeight w:val="21"/>
        </w:trPr>
        <w:tc>
          <w:tcPr>
            <w:tcW w:w="5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9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Loss on extnguishment of debt</w:t>
            </w:r>
          </w:p>
        </w:tc>
        <w:tc>
          <w:tcPr>
            <w:tcW w:w="160" w:type="dxa"/>
            <w:vAlign w:val="bottom"/>
            <w:tcBorders>
              <w:bottom w:val="single" w:sz="8" w:color="CFF0FC"/>
            </w:tcBorders>
            <w:shd w:val="clear" w:color="auto" w:fill="CFF0FC"/>
          </w:tcPr>
          <w:p>
            <w:pPr>
              <w:spacing w:after="0"/>
              <w:rPr>
                <w:sz w:val="15"/>
                <w:szCs w:val="15"/>
                <w:color w:val="auto"/>
              </w:rPr>
            </w:pPr>
          </w:p>
        </w:tc>
        <w:tc>
          <w:tcPr>
            <w:tcW w:w="138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16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4,285</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96"/>
        </w:trPr>
        <w:tc>
          <w:tcPr>
            <w:tcW w:w="5980" w:type="dxa"/>
            <w:vAlign w:val="bottom"/>
          </w:tcPr>
          <w:p>
            <w:pPr>
              <w:ind w:left="120"/>
              <w:spacing w:after="0"/>
              <w:rPr>
                <w:sz w:val="20"/>
                <w:szCs w:val="20"/>
                <w:color w:val="auto"/>
              </w:rPr>
            </w:pPr>
            <w:r>
              <w:rPr>
                <w:rFonts w:ascii="Arial" w:cs="Arial" w:eastAsia="Arial" w:hAnsi="Arial"/>
                <w:sz w:val="14"/>
                <w:szCs w:val="14"/>
                <w:color w:val="auto"/>
              </w:rPr>
              <w:t>Other income</w:t>
            </w:r>
          </w:p>
        </w:tc>
        <w:tc>
          <w:tcPr>
            <w:tcW w:w="16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(1,038 )</w:t>
            </w:r>
          </w:p>
        </w:tc>
        <w:tc>
          <w:tcPr>
            <w:tcW w:w="24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(65 )</w:t>
            </w:r>
          </w:p>
        </w:tc>
        <w:tc>
          <w:tcPr>
            <w:tcW w:w="1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(365 )</w:t>
            </w:r>
          </w:p>
        </w:tc>
        <w:tc>
          <w:tcPr>
            <w:tcW w:w="18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(6,618 )</w:t>
            </w:r>
          </w:p>
        </w:tc>
      </w:tr>
      <w:tr>
        <w:trPr>
          <w:trHeight w:val="203"/>
        </w:trPr>
        <w:tc>
          <w:tcPr>
            <w:tcW w:w="59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Income before income taxes</w:t>
            </w:r>
          </w:p>
        </w:tc>
        <w:tc>
          <w:tcPr>
            <w:tcW w:w="16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18,613</w:t>
            </w:r>
          </w:p>
        </w:tc>
        <w:tc>
          <w:tcPr>
            <w:tcW w:w="2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18,865</w:t>
            </w:r>
          </w:p>
        </w:tc>
        <w:tc>
          <w:tcPr>
            <w:tcW w:w="2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63,011</w:t>
            </w: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46,139</w:t>
            </w:r>
          </w:p>
        </w:tc>
        <w:tc>
          <w:tcPr>
            <w:tcW w:w="100" w:type="dxa"/>
            <w:vAlign w:val="bottom"/>
            <w:shd w:val="clear" w:color="auto" w:fill="CFF0FC"/>
          </w:tcPr>
          <w:p>
            <w:pPr>
              <w:spacing w:after="0"/>
              <w:rPr>
                <w:sz w:val="17"/>
                <w:szCs w:val="17"/>
                <w:color w:val="auto"/>
              </w:rPr>
            </w:pPr>
          </w:p>
        </w:tc>
      </w:tr>
      <w:tr>
        <w:trPr>
          <w:trHeight w:val="196"/>
        </w:trPr>
        <w:tc>
          <w:tcPr>
            <w:tcW w:w="5980" w:type="dxa"/>
            <w:vAlign w:val="bottom"/>
          </w:tcPr>
          <w:p>
            <w:pPr>
              <w:ind w:left="20"/>
              <w:spacing w:after="0"/>
              <w:rPr>
                <w:sz w:val="20"/>
                <w:szCs w:val="20"/>
                <w:color w:val="auto"/>
              </w:rPr>
            </w:pPr>
            <w:r>
              <w:rPr>
                <w:rFonts w:ascii="Arial" w:cs="Arial" w:eastAsia="Arial" w:hAnsi="Arial"/>
                <w:sz w:val="14"/>
                <w:szCs w:val="14"/>
                <w:color w:val="auto"/>
              </w:rPr>
              <w:t>Income tax expense (beneft)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2,595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(21,605 )</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17"/>
                <w:szCs w:val="17"/>
                <w:color w:val="auto"/>
              </w:rPr>
            </w:pPr>
          </w:p>
        </w:tc>
      </w:tr>
      <w:tr>
        <w:trPr>
          <w:trHeight w:val="203"/>
        </w:trPr>
        <w:tc>
          <w:tcPr>
            <w:tcW w:w="59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Net income</w:t>
            </w:r>
          </w:p>
        </w:tc>
        <w:tc>
          <w:tcPr>
            <w:tcW w:w="16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16,018</w:t>
            </w:r>
          </w:p>
        </w:tc>
        <w:tc>
          <w:tcPr>
            <w:tcW w:w="2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18,747</w:t>
            </w:r>
          </w:p>
        </w:tc>
        <w:tc>
          <w:tcPr>
            <w:tcW w:w="2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84,616</w:t>
            </w: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45,945</w:t>
            </w:r>
          </w:p>
        </w:tc>
        <w:tc>
          <w:tcPr>
            <w:tcW w:w="100" w:type="dxa"/>
            <w:vAlign w:val="bottom"/>
            <w:shd w:val="clear" w:color="auto" w:fill="CFF0FC"/>
          </w:tcPr>
          <w:p>
            <w:pPr>
              <w:spacing w:after="0"/>
              <w:rPr>
                <w:sz w:val="17"/>
                <w:szCs w:val="17"/>
                <w:color w:val="auto"/>
              </w:rPr>
            </w:pPr>
          </w:p>
        </w:tc>
      </w:tr>
      <w:tr>
        <w:trPr>
          <w:trHeight w:val="196"/>
        </w:trPr>
        <w:tc>
          <w:tcPr>
            <w:tcW w:w="5980" w:type="dxa"/>
            <w:vAlign w:val="bottom"/>
          </w:tcPr>
          <w:p>
            <w:pPr>
              <w:ind w:left="20"/>
              <w:spacing w:after="0"/>
              <w:rPr>
                <w:sz w:val="20"/>
                <w:szCs w:val="20"/>
                <w:color w:val="auto"/>
              </w:rPr>
            </w:pPr>
            <w:r>
              <w:rPr>
                <w:rFonts w:ascii="Arial" w:cs="Arial" w:eastAsia="Arial" w:hAnsi="Arial"/>
                <w:sz w:val="14"/>
                <w:szCs w:val="14"/>
                <w:color w:val="auto"/>
              </w:rPr>
              <w:t>Net income atributable to redeemable noncontrolling interests</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9,341</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11,084</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35,045</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27,368</w:t>
            </w:r>
          </w:p>
        </w:tc>
        <w:tc>
          <w:tcPr>
            <w:tcW w:w="100" w:type="dxa"/>
            <w:vAlign w:val="bottom"/>
          </w:tcPr>
          <w:p>
            <w:pPr>
              <w:spacing w:after="0"/>
              <w:rPr>
                <w:sz w:val="17"/>
                <w:szCs w:val="17"/>
                <w:color w:val="auto"/>
              </w:rPr>
            </w:pPr>
          </w:p>
        </w:tc>
      </w:tr>
      <w:tr>
        <w:trPr>
          <w:trHeight w:val="243"/>
        </w:trPr>
        <w:tc>
          <w:tcPr>
            <w:tcW w:w="5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Net income atributable to Class A Common Stockholders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6,677</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7,663</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49,571</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18,577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83"/>
        </w:trPr>
        <w:tc>
          <w:tcPr>
            <w:tcW w:w="5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59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Net income per Class A common stock:</w:t>
            </w: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2"/>
        </w:trPr>
        <w:tc>
          <w:tcPr>
            <w:tcW w:w="5980" w:type="dxa"/>
            <w:vAlign w:val="bottom"/>
          </w:tcPr>
          <w:p>
            <w:pPr>
              <w:ind w:left="20"/>
              <w:spacing w:after="0"/>
              <w:rPr>
                <w:sz w:val="20"/>
                <w:szCs w:val="20"/>
                <w:color w:val="auto"/>
              </w:rPr>
            </w:pPr>
            <w:r>
              <w:rPr>
                <w:rFonts w:ascii="Arial" w:cs="Arial" w:eastAsia="Arial" w:hAnsi="Arial"/>
                <w:sz w:val="14"/>
                <w:szCs w:val="14"/>
                <w:color w:val="auto"/>
              </w:rPr>
              <w:t>Basic</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0.07</w:t>
            </w:r>
          </w:p>
        </w:tc>
        <w:tc>
          <w:tcPr>
            <w:tcW w:w="24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0.09</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0.57</w:t>
            </w:r>
          </w:p>
        </w:tc>
        <w:tc>
          <w:tcPr>
            <w:tcW w:w="22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0.23</w:t>
            </w:r>
          </w:p>
        </w:tc>
        <w:tc>
          <w:tcPr>
            <w:tcW w:w="100" w:type="dxa"/>
            <w:vAlign w:val="bottom"/>
          </w:tcPr>
          <w:p>
            <w:pPr>
              <w:spacing w:after="0"/>
              <w:rPr>
                <w:sz w:val="15"/>
                <w:szCs w:val="15"/>
                <w:color w:val="auto"/>
              </w:rPr>
            </w:pPr>
          </w:p>
        </w:tc>
      </w:tr>
      <w:tr>
        <w:trPr>
          <w:trHeight w:val="21"/>
        </w:trPr>
        <w:tc>
          <w:tcPr>
            <w:tcW w:w="5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Diluted</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0.07</w:t>
            </w: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0.09</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0.43</w:t>
            </w: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0.23</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93"/>
        </w:trPr>
        <w:tc>
          <w:tcPr>
            <w:tcW w:w="5980" w:type="dxa"/>
            <w:vAlign w:val="bottom"/>
          </w:tcPr>
          <w:p>
            <w:pPr>
              <w:ind w:left="20"/>
              <w:spacing w:after="0"/>
              <w:rPr>
                <w:sz w:val="20"/>
                <w:szCs w:val="20"/>
                <w:color w:val="auto"/>
              </w:rPr>
            </w:pPr>
            <w:r>
              <w:rPr>
                <w:rFonts w:ascii="Arial" w:cs="Arial" w:eastAsia="Arial" w:hAnsi="Arial"/>
                <w:sz w:val="14"/>
                <w:szCs w:val="14"/>
                <w:b w:val="1"/>
                <w:bCs w:val="1"/>
                <w:color w:val="auto"/>
              </w:rPr>
              <w:t>Weighted average Class A common stock outstanding:</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2"/>
        </w:trPr>
        <w:tc>
          <w:tcPr>
            <w:tcW w:w="5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Basic</w:t>
            </w:r>
          </w:p>
        </w:tc>
        <w:tc>
          <w:tcPr>
            <w:tcW w:w="16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96,407,327</w:t>
            </w: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81,996,447</w:t>
            </w: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86,403,617</w:t>
            </w:r>
          </w:p>
        </w:tc>
        <w:tc>
          <w:tcPr>
            <w:tcW w:w="2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80,145,329</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2"/>
        </w:trPr>
        <w:tc>
          <w:tcPr>
            <w:tcW w:w="5980" w:type="dxa"/>
            <w:vAlign w:val="bottom"/>
          </w:tcPr>
          <w:p>
            <w:pPr>
              <w:ind w:left="20"/>
              <w:spacing w:after="0"/>
              <w:rPr>
                <w:sz w:val="20"/>
                <w:szCs w:val="20"/>
                <w:color w:val="auto"/>
              </w:rPr>
            </w:pPr>
            <w:r>
              <w:rPr>
                <w:rFonts w:ascii="Arial" w:cs="Arial" w:eastAsia="Arial" w:hAnsi="Arial"/>
                <w:sz w:val="14"/>
                <w:szCs w:val="14"/>
                <w:color w:val="auto"/>
              </w:rPr>
              <w:t>Diluted</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96,862,899</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82,023,463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196,307,731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198,709,769</w:t>
            </w: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-2232025</wp:posOffset>
            </wp:positionV>
            <wp:extent cx="7747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-2232025</wp:posOffset>
            </wp:positionV>
            <wp:extent cx="7747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-2232025</wp:posOffset>
            </wp:positionV>
            <wp:extent cx="6858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-2232025</wp:posOffset>
            </wp:positionV>
            <wp:extent cx="6858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-911860</wp:posOffset>
            </wp:positionV>
            <wp:extent cx="251142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11425" cy="154305"/>
                    </a:xfrm>
                    <a:prstGeom prst="rect">
                      <a:avLst/>
                    </a:prstGeom>
                    <a:noFill/>
                  </pic:spPr>
                </pic:pic>
              </a:graphicData>
            </a:graphic>
          </wp:anchor>
        </w:drawing>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80" w:type="dxa"/>
            <w:vAlign w:val="bottom"/>
          </w:tcPr>
          <w:p>
            <w:pPr>
              <w:spacing w:after="0"/>
              <w:rPr>
                <w:sz w:val="15"/>
                <w:szCs w:val="15"/>
                <w:color w:val="auto"/>
              </w:rPr>
            </w:pPr>
          </w:p>
        </w:tc>
        <w:tc>
          <w:tcPr>
            <w:tcW w:w="26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20" w:type="dxa"/>
            <w:vAlign w:val="bottom"/>
            <w:gridSpan w:val="4"/>
          </w:tcPr>
          <w:p>
            <w:pPr>
              <w:jc w:val="right"/>
              <w:ind w:right="388"/>
              <w:spacing w:after="0"/>
              <w:rPr>
                <w:sz w:val="20"/>
                <w:szCs w:val="20"/>
                <w:color w:val="auto"/>
              </w:rPr>
            </w:pPr>
            <w:r>
              <w:rPr>
                <w:rFonts w:ascii="Arial" w:cs="Arial" w:eastAsia="Arial" w:hAnsi="Arial"/>
                <w:sz w:val="14"/>
                <w:szCs w:val="14"/>
                <w:b w:val="1"/>
                <w:bCs w:val="1"/>
                <w:color w:val="auto"/>
                <w:w w:val="97"/>
              </w:rPr>
              <w:t>Nine Months Ended September 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2023</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468"/>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48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48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8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Net income</w:t>
            </w:r>
          </w:p>
        </w:tc>
        <w:tc>
          <w:tcPr>
            <w:tcW w:w="920" w:type="dxa"/>
            <w:vAlign w:val="bottom"/>
            <w:shd w:val="clear" w:color="auto" w:fill="CFF0FC"/>
          </w:tcPr>
          <w:p>
            <w:pPr>
              <w:jc w:val="right"/>
              <w:ind w:right="76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16,018</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788"/>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3"/>
              </w:rPr>
              <w:t>18,747</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84,616</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45,945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880" w:type="dxa"/>
            <w:vAlign w:val="bottom"/>
          </w:tcPr>
          <w:p>
            <w:pPr>
              <w:ind w:left="20"/>
              <w:spacing w:after="0"/>
              <w:rPr>
                <w:sz w:val="20"/>
                <w:szCs w:val="20"/>
                <w:color w:val="auto"/>
              </w:rPr>
            </w:pPr>
            <w:r>
              <w:rPr>
                <w:rFonts w:ascii="Arial" w:cs="Arial" w:eastAsia="Arial" w:hAnsi="Arial"/>
                <w:sz w:val="14"/>
                <w:szCs w:val="14"/>
                <w:b w:val="1"/>
                <w:bCs w:val="1"/>
                <w:color w:val="auto"/>
              </w:rPr>
              <w:t>Other comprehensive income:</w:t>
            </w: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8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Foreign currency translaton adjustment</w:t>
            </w:r>
          </w:p>
        </w:tc>
        <w:tc>
          <w:tcPr>
            <w:tcW w:w="92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(374 )</w:t>
            </w:r>
          </w:p>
        </w:tc>
        <w:tc>
          <w:tcPr>
            <w:tcW w:w="94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13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(374 )</w:t>
            </w:r>
          </w:p>
        </w:tc>
        <w:tc>
          <w:tcPr>
            <w:tcW w:w="30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880" w:type="dxa"/>
            <w:vAlign w:val="bottom"/>
          </w:tcPr>
          <w:p>
            <w:pPr>
              <w:ind w:left="20"/>
              <w:spacing w:after="0"/>
              <w:rPr>
                <w:sz w:val="20"/>
                <w:szCs w:val="20"/>
                <w:color w:val="auto"/>
              </w:rPr>
            </w:pPr>
            <w:r>
              <w:rPr>
                <w:rFonts w:ascii="Arial" w:cs="Arial" w:eastAsia="Arial" w:hAnsi="Arial"/>
                <w:sz w:val="14"/>
                <w:szCs w:val="14"/>
                <w:color w:val="auto"/>
              </w:rPr>
              <w:t>Comprehensive income, net of taxes</w:t>
            </w:r>
          </w:p>
        </w:tc>
        <w:tc>
          <w:tcPr>
            <w:tcW w:w="920" w:type="dxa"/>
            <w:vAlign w:val="bottom"/>
          </w:tcPr>
          <w:p>
            <w:pPr>
              <w:jc w:val="right"/>
              <w:ind w:right="768"/>
              <w:spacing w:after="0"/>
              <w:rPr>
                <w:sz w:val="20"/>
                <w:szCs w:val="20"/>
                <w:color w:val="auto"/>
              </w:rPr>
            </w:pPr>
            <w:r>
              <w:rPr>
                <w:rFonts w:ascii="Arial" w:cs="Arial" w:eastAsia="Arial" w:hAnsi="Arial"/>
                <w:sz w:val="14"/>
                <w:szCs w:val="14"/>
                <w:b w:val="1"/>
                <w:bCs w:val="1"/>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15,644</w:t>
            </w:r>
          </w:p>
        </w:tc>
        <w:tc>
          <w:tcPr>
            <w:tcW w:w="260" w:type="dxa"/>
            <w:vAlign w:val="bottom"/>
          </w:tcPr>
          <w:p>
            <w:pPr>
              <w:spacing w:after="0"/>
              <w:rPr>
                <w:sz w:val="16"/>
                <w:szCs w:val="16"/>
                <w:color w:val="auto"/>
              </w:rPr>
            </w:pPr>
          </w:p>
        </w:tc>
        <w:tc>
          <w:tcPr>
            <w:tcW w:w="940" w:type="dxa"/>
            <w:vAlign w:val="bottom"/>
          </w:tcPr>
          <w:p>
            <w:pPr>
              <w:jc w:val="right"/>
              <w:ind w:right="788"/>
              <w:spacing w:after="0"/>
              <w:rPr>
                <w:sz w:val="20"/>
                <w:szCs w:val="20"/>
                <w:color w:val="auto"/>
              </w:rPr>
            </w:pPr>
            <w:r>
              <w:rPr>
                <w:rFonts w:ascii="Arial" w:cs="Arial" w:eastAsia="Arial" w:hAnsi="Arial"/>
                <w:sz w:val="14"/>
                <w:szCs w:val="14"/>
                <w:b w:val="1"/>
                <w:bCs w:val="1"/>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93"/>
              </w:rPr>
              <w:t>18,747</w:t>
            </w:r>
          </w:p>
        </w:tc>
        <w:tc>
          <w:tcPr>
            <w:tcW w:w="50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84,242</w:t>
            </w:r>
          </w:p>
        </w:tc>
        <w:tc>
          <w:tcPr>
            <w:tcW w:w="24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45,945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8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Comprehensive income atributable to redeemable noncontrolling interests</w:t>
            </w:r>
          </w:p>
        </w:tc>
        <w:tc>
          <w:tcPr>
            <w:tcW w:w="920" w:type="dxa"/>
            <w:vAlign w:val="bottom"/>
            <w:tcBorders>
              <w:bottom w:val="single" w:sz="8" w:color="CFF0FC"/>
            </w:tcBorders>
            <w:shd w:val="clear" w:color="auto" w:fill="CFF0FC"/>
          </w:tcPr>
          <w:p>
            <w:pPr>
              <w:spacing w:after="0"/>
              <w:rPr>
                <w:sz w:val="16"/>
                <w:szCs w:val="16"/>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9,341</w:t>
            </w:r>
          </w:p>
        </w:tc>
        <w:tc>
          <w:tcPr>
            <w:tcW w:w="26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93"/>
              </w:rPr>
              <w:t>11,084</w:t>
            </w:r>
          </w:p>
        </w:tc>
        <w:tc>
          <w:tcPr>
            <w:tcW w:w="22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35,045</w:t>
            </w:r>
          </w:p>
        </w:tc>
        <w:tc>
          <w:tcPr>
            <w:tcW w:w="24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27,368</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4880" w:type="dxa"/>
            <w:vAlign w:val="bottom"/>
          </w:tcPr>
          <w:p>
            <w:pPr>
              <w:ind w:left="120"/>
              <w:spacing w:after="0"/>
              <w:rPr>
                <w:sz w:val="20"/>
                <w:szCs w:val="20"/>
                <w:color w:val="auto"/>
              </w:rPr>
            </w:pPr>
            <w:r>
              <w:rPr>
                <w:rFonts w:ascii="Arial" w:cs="Arial" w:eastAsia="Arial" w:hAnsi="Arial"/>
                <w:sz w:val="14"/>
                <w:szCs w:val="14"/>
                <w:color w:val="auto"/>
              </w:rPr>
              <w:t>Foreign currency translaton adjustment atributable to redeemable</w:t>
            </w:r>
          </w:p>
        </w:tc>
        <w:tc>
          <w:tcPr>
            <w:tcW w:w="920" w:type="dxa"/>
            <w:vAlign w:val="bottom"/>
          </w:tcPr>
          <w:p>
            <w:pPr>
              <w:spacing w:after="0"/>
              <w:rPr>
                <w:sz w:val="14"/>
                <w:szCs w:val="14"/>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(208 )</w:t>
            </w:r>
          </w:p>
        </w:tc>
        <w:tc>
          <w:tcPr>
            <w:tcW w:w="94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(208 )</w:t>
            </w:r>
          </w:p>
        </w:tc>
        <w:tc>
          <w:tcPr>
            <w:tcW w:w="3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880" w:type="dxa"/>
            <w:vAlign w:val="bottom"/>
          </w:tcPr>
          <w:p>
            <w:pPr>
              <w:ind w:left="120"/>
              <w:spacing w:after="0"/>
              <w:rPr>
                <w:sz w:val="20"/>
                <w:szCs w:val="20"/>
                <w:color w:val="auto"/>
              </w:rPr>
            </w:pPr>
            <w:r>
              <w:rPr>
                <w:rFonts w:ascii="Arial" w:cs="Arial" w:eastAsia="Arial" w:hAnsi="Arial"/>
                <w:sz w:val="14"/>
                <w:szCs w:val="14"/>
                <w:color w:val="auto"/>
              </w:rPr>
              <w:t>noncontrolling interests</w:t>
            </w:r>
          </w:p>
        </w:tc>
        <w:tc>
          <w:tcPr>
            <w:tcW w:w="9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Comprehensive income atributable to Class A Common Stockholders</w:t>
            </w:r>
          </w:p>
        </w:tc>
        <w:tc>
          <w:tcPr>
            <w:tcW w:w="920" w:type="dxa"/>
            <w:vAlign w:val="bottom"/>
            <w:tcBorders>
              <w:top w:val="single" w:sz="8" w:color="auto"/>
              <w:bottom w:val="single" w:sz="8" w:color="auto"/>
            </w:tcBorders>
            <w:shd w:val="clear" w:color="auto" w:fill="CFF0FC"/>
          </w:tcPr>
          <w:p>
            <w:pPr>
              <w:jc w:val="right"/>
              <w:ind w:right="768"/>
              <w:spacing w:after="0"/>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6,511</w:t>
            </w:r>
          </w:p>
        </w:tc>
        <w:tc>
          <w:tcPr>
            <w:tcW w:w="2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top w:val="single" w:sz="8" w:color="auto"/>
              <w:bottom w:val="single" w:sz="8" w:color="auto"/>
            </w:tcBorders>
            <w:shd w:val="clear" w:color="auto" w:fill="CFF0FC"/>
          </w:tcPr>
          <w:p>
            <w:pPr>
              <w:jc w:val="right"/>
              <w:ind w:right="788"/>
              <w:spacing w:after="0"/>
              <w:rPr>
                <w:sz w:val="20"/>
                <w:szCs w:val="20"/>
                <w:color w:val="auto"/>
              </w:rPr>
            </w:pPr>
            <w:r>
              <w:rPr>
                <w:rFonts w:ascii="Arial" w:cs="Arial" w:eastAsia="Arial" w:hAnsi="Arial"/>
                <w:sz w:val="14"/>
                <w:szCs w:val="14"/>
                <w:b w:val="1"/>
                <w:bCs w:val="1"/>
                <w:color w:val="auto"/>
                <w:w w:val="76"/>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7,663</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49,405</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18,577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-25400</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-8255</wp:posOffset>
            </wp:positionV>
            <wp:extent cx="774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-25400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-8255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-25400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-8255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 (Unaudited)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4"/>
          </w:tcPr>
          <w:p>
            <w:pPr>
              <w:jc w:val="right"/>
              <w:spacing w:after="0"/>
              <w:rPr>
                <w:sz w:val="20"/>
                <w:szCs w:val="20"/>
                <w:color w:val="auto"/>
              </w:rPr>
            </w:pPr>
            <w:r>
              <w:rPr>
                <w:rFonts w:ascii="Arial" w:cs="Arial" w:eastAsia="Arial" w:hAnsi="Arial"/>
                <w:sz w:val="14"/>
                <w:szCs w:val="14"/>
                <w:b w:val="1"/>
                <w:bCs w:val="1"/>
                <w:color w:val="auto"/>
                <w:w w:val="84"/>
              </w:rPr>
              <w:t>Class A Common Stock</w:t>
            </w:r>
          </w:p>
        </w:tc>
        <w:tc>
          <w:tcPr>
            <w:tcW w:w="240" w:type="dxa"/>
            <w:vAlign w:val="bottom"/>
          </w:tcPr>
          <w:p>
            <w:pPr>
              <w:spacing w:after="0"/>
              <w:rPr>
                <w:sz w:val="15"/>
                <w:szCs w:val="15"/>
                <w:color w:val="auto"/>
              </w:rPr>
            </w:pPr>
          </w:p>
        </w:tc>
        <w:tc>
          <w:tcPr>
            <w:tcW w:w="1400" w:type="dxa"/>
            <w:vAlign w:val="bottom"/>
            <w:gridSpan w:val="4"/>
          </w:tcPr>
          <w:p>
            <w:pPr>
              <w:jc w:val="right"/>
              <w:spacing w:after="0"/>
              <w:rPr>
                <w:sz w:val="20"/>
                <w:szCs w:val="20"/>
                <w:color w:val="auto"/>
              </w:rPr>
            </w:pPr>
            <w:r>
              <w:rPr>
                <w:rFonts w:ascii="Arial" w:cs="Arial" w:eastAsia="Arial" w:hAnsi="Arial"/>
                <w:sz w:val="14"/>
                <w:szCs w:val="14"/>
                <w:b w:val="1"/>
                <w:bCs w:val="1"/>
                <w:color w:val="auto"/>
                <w:w w:val="86"/>
              </w:rPr>
              <w:t>Class B Common Stock</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6"/>
              </w:rPr>
              <w:t>Accumu</w:t>
            </w: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Redeema</w:t>
            </w: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Addito</w:t>
            </w: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20"/>
                <w:szCs w:val="20"/>
                <w:color w:val="auto"/>
              </w:rPr>
            </w:pPr>
            <w:r>
              <w:rPr>
                <w:rFonts w:ascii="Arial" w:cs="Arial" w:eastAsia="Arial" w:hAnsi="Arial"/>
                <w:sz w:val="14"/>
                <w:szCs w:val="14"/>
                <w:b w:val="1"/>
                <w:bCs w:val="1"/>
                <w:color w:val="auto"/>
              </w:rPr>
              <w:t>lated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1"/>
        </w:trPr>
        <w:tc>
          <w:tcPr>
            <w:tcW w:w="2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ble</w:t>
            </w: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7"/>
                <w:szCs w:val="7"/>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w:t>
            </w:r>
          </w:p>
        </w:tc>
        <w:tc>
          <w:tcPr>
            <w:tcW w:w="10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8"/>
              </w:rPr>
              <w:t>nal</w:t>
            </w: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6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sharehol</w:t>
            </w:r>
          </w:p>
        </w:tc>
        <w:tc>
          <w:tcPr>
            <w:tcW w:w="0" w:type="dxa"/>
            <w:vAlign w:val="bottom"/>
          </w:tcPr>
          <w:p>
            <w:pPr>
              <w:spacing w:after="0"/>
              <w:rPr>
                <w:sz w:val="1"/>
                <w:szCs w:val="1"/>
                <w:color w:val="auto"/>
              </w:rPr>
            </w:pPr>
          </w:p>
        </w:tc>
      </w:tr>
      <w:tr>
        <w:trPr>
          <w:trHeight w:val="81"/>
        </w:trPr>
        <w:tc>
          <w:tcPr>
            <w:tcW w:w="2740" w:type="dxa"/>
            <w:vAlign w:val="bottom"/>
          </w:tcPr>
          <w:p>
            <w:pPr>
              <w:spacing w:after="0"/>
              <w:rPr>
                <w:sz w:val="7"/>
                <w:szCs w:val="7"/>
                <w:color w:val="auto"/>
              </w:rPr>
            </w:pPr>
          </w:p>
        </w:tc>
        <w:tc>
          <w:tcPr>
            <w:tcW w:w="8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noncontr</w:t>
            </w: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7"/>
                <w:szCs w:val="7"/>
                <w:color w:val="auto"/>
              </w:rPr>
            </w:pPr>
          </w:p>
        </w:tc>
        <w:tc>
          <w:tcPr>
            <w:tcW w:w="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7"/>
                <w:szCs w:val="7"/>
                <w:color w:val="auto"/>
              </w:rPr>
            </w:pP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7"/>
                <w:szCs w:val="7"/>
                <w:color w:val="auto"/>
              </w:rPr>
            </w:pPr>
          </w:p>
        </w:tc>
        <w:tc>
          <w:tcPr>
            <w:tcW w:w="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8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Compre</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5"/>
              </w:rPr>
              <w:t>lated</w:t>
            </w:r>
          </w:p>
        </w:tc>
        <w:tc>
          <w:tcPr>
            <w:tcW w:w="6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74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paid-in</w:t>
            </w:r>
          </w:p>
        </w:tc>
        <w:tc>
          <w:tcPr>
            <w:tcW w:w="820" w:type="dxa"/>
            <w:vAlign w:val="bottom"/>
            <w:gridSpan w:val="2"/>
            <w:vMerge w:val="continue"/>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ders'</w:t>
            </w:r>
          </w:p>
        </w:tc>
        <w:tc>
          <w:tcPr>
            <w:tcW w:w="0" w:type="dxa"/>
            <w:vAlign w:val="bottom"/>
          </w:tcPr>
          <w:p>
            <w:pPr>
              <w:spacing w:after="0"/>
              <w:rPr>
                <w:sz w:val="1"/>
                <w:szCs w:val="1"/>
                <w:color w:val="auto"/>
              </w:rPr>
            </w:pPr>
          </w:p>
        </w:tc>
      </w:tr>
      <w:tr>
        <w:trPr>
          <w:trHeight w:val="81"/>
        </w:trPr>
        <w:tc>
          <w:tcPr>
            <w:tcW w:w="2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5"/>
              </w:rPr>
              <w:t>olling</w:t>
            </w: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hensive</w:t>
            </w:r>
          </w:p>
        </w:tc>
        <w:tc>
          <w:tcPr>
            <w:tcW w:w="220" w:type="dxa"/>
            <w:vAlign w:val="bottom"/>
          </w:tcPr>
          <w:p>
            <w:pPr>
              <w:spacing w:after="0"/>
              <w:rPr>
                <w:sz w:val="7"/>
                <w:szCs w:val="7"/>
                <w:color w:val="auto"/>
              </w:rPr>
            </w:pPr>
          </w:p>
        </w:tc>
        <w:tc>
          <w:tcPr>
            <w:tcW w:w="74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defcit</w:t>
            </w:r>
          </w:p>
        </w:tc>
        <w:tc>
          <w:tcPr>
            <w:tcW w:w="10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capital</w:t>
            </w: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defcit</w:t>
            </w:r>
          </w:p>
        </w:tc>
        <w:tc>
          <w:tcPr>
            <w:tcW w:w="0" w:type="dxa"/>
            <w:vAlign w:val="bottom"/>
          </w:tcPr>
          <w:p>
            <w:pPr>
              <w:spacing w:after="0"/>
              <w:rPr>
                <w:sz w:val="1"/>
                <w:szCs w:val="1"/>
                <w:color w:val="auto"/>
              </w:rPr>
            </w:pPr>
          </w:p>
        </w:tc>
      </w:tr>
      <w:tr>
        <w:trPr>
          <w:trHeight w:val="89"/>
        </w:trPr>
        <w:tc>
          <w:tcPr>
            <w:tcW w:w="2740" w:type="dxa"/>
            <w:vAlign w:val="bottom"/>
          </w:tcPr>
          <w:p>
            <w:pPr>
              <w:spacing w:after="0"/>
              <w:rPr>
                <w:sz w:val="7"/>
                <w:szCs w:val="7"/>
                <w:color w:val="auto"/>
              </w:rPr>
            </w:pPr>
          </w:p>
        </w:tc>
        <w:tc>
          <w:tcPr>
            <w:tcW w:w="8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interests</w:t>
            </w: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7"/>
              </w:rPr>
              <w:t>Income</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740" w:type="dxa"/>
            <w:vAlign w:val="bottom"/>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20"/>
                <w:szCs w:val="20"/>
                <w:color w:val="auto"/>
              </w:rPr>
            </w:pPr>
            <w:r>
              <w:rPr>
                <w:rFonts w:ascii="Arial" w:cs="Arial" w:eastAsia="Arial" w:hAnsi="Arial"/>
                <w:sz w:val="14"/>
                <w:szCs w:val="14"/>
                <w:b w:val="1"/>
                <w:bCs w:val="1"/>
                <w:color w:val="auto"/>
              </w:rPr>
              <w:t>(loss)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74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w w:val="98"/>
              </w:rPr>
              <w:t>1,286,0</w:t>
            </w:r>
          </w:p>
        </w:tc>
        <w:tc>
          <w:tcPr>
            <w:tcW w:w="240" w:type="dxa"/>
            <w:vAlign w:val="bottom"/>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79,091,</w:t>
            </w:r>
          </w:p>
        </w:tc>
        <w:tc>
          <w:tcPr>
            <w:tcW w:w="240" w:type="dxa"/>
            <w:vAlign w:val="bottom"/>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118,20</w:t>
            </w:r>
          </w:p>
        </w:tc>
        <w:tc>
          <w:tcPr>
            <w:tcW w:w="240" w:type="dxa"/>
            <w:vAlign w:val="bottom"/>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w w:val="96"/>
              </w:rPr>
              <w:t>182,0</w:t>
            </w:r>
          </w:p>
        </w:tc>
        <w:tc>
          <w:tcPr>
            <w:tcW w:w="200" w:type="dxa"/>
            <w:vAlign w:val="bottom"/>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40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(1,042</w:t>
            </w:r>
          </w:p>
        </w:tc>
        <w:tc>
          <w:tcPr>
            <w:tcW w:w="2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(860,6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Balances at January 1, 2022</w:t>
            </w:r>
          </w:p>
        </w:tc>
        <w:tc>
          <w:tcPr>
            <w:tcW w:w="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24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871</w:t>
            </w:r>
          </w:p>
        </w:tc>
        <w:tc>
          <w:tcPr>
            <w:tcW w:w="48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0,000</w:t>
            </w:r>
          </w:p>
        </w:tc>
        <w:tc>
          <w:tcPr>
            <w:tcW w:w="48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34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91</w:t>
            </w:r>
          </w:p>
        </w:tc>
        <w:tc>
          <w:tcPr>
            <w:tcW w:w="20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4"/>
                <w:szCs w:val="14"/>
                <w:color w:val="auto"/>
                <w:w w:val="85"/>
              </w:rPr>
              <w:t>—</w:t>
            </w:r>
          </w:p>
        </w:tc>
        <w:tc>
          <w:tcPr>
            <w:tcW w:w="32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,794 )</w:t>
            </w:r>
          </w:p>
        </w:tc>
        <w:tc>
          <w:tcPr>
            <w:tcW w:w="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83 )</w:t>
            </w:r>
          </w:p>
        </w:tc>
        <w:tc>
          <w:tcPr>
            <w:tcW w:w="0" w:type="dxa"/>
            <w:vAlign w:val="bottom"/>
          </w:tcPr>
          <w:p>
            <w:pPr>
              <w:spacing w:after="0"/>
              <w:rPr>
                <w:sz w:val="1"/>
                <w:szCs w:val="1"/>
                <w:color w:val="auto"/>
              </w:rPr>
            </w:pPr>
          </w:p>
        </w:tc>
      </w:tr>
      <w:tr>
        <w:trPr>
          <w:trHeight w:val="182"/>
        </w:trPr>
        <w:tc>
          <w:tcPr>
            <w:tcW w:w="27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1,879</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20" w:type="dxa"/>
            <w:vAlign w:val="bottom"/>
          </w:tcPr>
          <w:p>
            <w:pPr>
              <w:ind w:left="28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1,259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1,259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Issuance of shares</w:t>
            </w:r>
          </w:p>
        </w:tc>
        <w:tc>
          <w:tcPr>
            <w:tcW w:w="12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75,072</w:t>
            </w: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4"/>
                <w:szCs w:val="14"/>
                <w:color w:val="auto"/>
                <w:w w:val="85"/>
              </w:rPr>
              <w:t>—</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740" w:type="dxa"/>
            <w:vAlign w:val="bottom"/>
          </w:tcPr>
          <w:p>
            <w:pPr>
              <w:ind w:left="20"/>
              <w:spacing w:after="0"/>
              <w:rPr>
                <w:sz w:val="20"/>
                <w:szCs w:val="20"/>
                <w:color w:val="auto"/>
              </w:rPr>
            </w:pPr>
            <w:r>
              <w:rPr>
                <w:rFonts w:ascii="Arial" w:cs="Arial" w:eastAsia="Arial" w:hAnsi="Arial"/>
                <w:sz w:val="14"/>
                <w:szCs w:val="14"/>
                <w:color w:val="auto"/>
              </w:rPr>
              <w:t>Deemed contributon from former parent</w:t>
            </w: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691</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463</w:t>
            </w:r>
          </w:p>
        </w:tc>
        <w:tc>
          <w:tcPr>
            <w:tcW w:w="2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20" w:type="dxa"/>
            <w:vAlign w:val="bottom"/>
          </w:tcPr>
          <w:p>
            <w:pPr>
              <w:ind w:left="28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463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Equity-based compensaton</w:t>
            </w:r>
          </w:p>
        </w:tc>
        <w:tc>
          <w:tcPr>
            <w:tcW w:w="12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96"/>
              </w:rPr>
              <w:t>2,443</w:t>
            </w:r>
          </w:p>
        </w:tc>
        <w:tc>
          <w:tcPr>
            <w:tcW w:w="20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4"/>
                <w:szCs w:val="14"/>
                <w:color w:val="auto"/>
                <w:w w:val="85"/>
              </w:rPr>
              <w:t>—</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2,443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740" w:type="dxa"/>
            <w:vAlign w:val="bottom"/>
          </w:tcPr>
          <w:p>
            <w:pPr>
              <w:ind w:left="20"/>
              <w:spacing w:after="0"/>
              <w:rPr>
                <w:sz w:val="20"/>
                <w:szCs w:val="20"/>
                <w:color w:val="auto"/>
              </w:rPr>
            </w:pPr>
            <w:r>
              <w:rPr>
                <w:rFonts w:ascii="Arial" w:cs="Arial" w:eastAsia="Arial" w:hAnsi="Arial"/>
                <w:sz w:val="14"/>
                <w:szCs w:val="14"/>
                <w:color w:val="auto"/>
                <w:w w:val="98"/>
              </w:rPr>
              <w:t>Subsequent remeasurement of Redeemable</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(18,7</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(18,70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74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18,706</w:t>
            </w: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06 )</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420" w:type="dxa"/>
            <w:vAlign w:val="bottom"/>
          </w:tcPr>
          <w:p>
            <w:pPr>
              <w:ind w:left="28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165"/>
        </w:trPr>
        <w:tc>
          <w:tcPr>
            <w:tcW w:w="27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98"/>
              </w:rPr>
              <w:t>1,307,2</w:t>
            </w:r>
          </w:p>
        </w:tc>
        <w:tc>
          <w:tcPr>
            <w:tcW w:w="240" w:type="dxa"/>
            <w:vAlign w:val="bottom"/>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79,166,</w:t>
            </w:r>
          </w:p>
        </w:tc>
        <w:tc>
          <w:tcPr>
            <w:tcW w:w="24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118,20</w:t>
            </w:r>
          </w:p>
        </w:tc>
        <w:tc>
          <w:tcPr>
            <w:tcW w:w="24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96"/>
              </w:rPr>
              <w:t>166,2</w:t>
            </w:r>
          </w:p>
        </w:tc>
        <w:tc>
          <w:tcPr>
            <w:tcW w:w="200" w:type="dxa"/>
            <w:vAlign w:val="bottom"/>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4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(1,041</w:t>
            </w:r>
          </w:p>
        </w:tc>
        <w:tc>
          <w:tcPr>
            <w:tcW w:w="2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(875,2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Balances at March 31, 2022</w:t>
            </w:r>
          </w:p>
        </w:tc>
        <w:tc>
          <w:tcPr>
            <w:tcW w:w="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92</w:t>
            </w:r>
          </w:p>
        </w:tc>
        <w:tc>
          <w:tcPr>
            <w:tcW w:w="24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943</w:t>
            </w:r>
          </w:p>
        </w:tc>
        <w:tc>
          <w:tcPr>
            <w:tcW w:w="48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8</w:t>
            </w: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b w:val="1"/>
                <w:bCs w:val="1"/>
                <w:color w:val="auto"/>
              </w:rPr>
              <w:t>0,000</w:t>
            </w:r>
          </w:p>
        </w:tc>
        <w:tc>
          <w:tcPr>
            <w:tcW w:w="48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12</w:t>
            </w:r>
          </w:p>
        </w:tc>
        <w:tc>
          <w:tcPr>
            <w:tcW w:w="34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91</w:t>
            </w:r>
          </w:p>
        </w:tc>
        <w:tc>
          <w:tcPr>
            <w:tcW w:w="20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w w:val="76"/>
              </w:rPr>
              <w:t>$</w:t>
            </w:r>
          </w:p>
        </w:tc>
        <w:tc>
          <w:tcPr>
            <w:tcW w:w="4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4"/>
                <w:szCs w:val="14"/>
                <w:b w:val="1"/>
                <w:bCs w:val="1"/>
                <w:color w:val="auto"/>
                <w:w w:val="85"/>
              </w:rPr>
              <w:t>—</w:t>
            </w:r>
          </w:p>
        </w:tc>
        <w:tc>
          <w:tcPr>
            <w:tcW w:w="32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b w:val="1"/>
                <w:bCs w:val="1"/>
                <w:color w:val="auto"/>
              </w:rPr>
              <w:t>,535 )</w:t>
            </w:r>
          </w:p>
        </w:tc>
        <w:tc>
          <w:tcPr>
            <w:tcW w:w="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w w:val="76"/>
              </w:rPr>
              <w:t>$</w:t>
            </w:r>
          </w:p>
        </w:tc>
        <w:tc>
          <w:tcPr>
            <w:tcW w:w="5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4"/>
                <w:szCs w:val="14"/>
                <w:b w:val="1"/>
                <w:bCs w:val="1"/>
                <w:color w:val="auto"/>
              </w:rPr>
              <w:t>24 )</w:t>
            </w:r>
          </w:p>
        </w:tc>
        <w:tc>
          <w:tcPr>
            <w:tcW w:w="0" w:type="dxa"/>
            <w:vAlign w:val="bottom"/>
          </w:tcPr>
          <w:p>
            <w:pPr>
              <w:spacing w:after="0"/>
              <w:rPr>
                <w:sz w:val="1"/>
                <w:szCs w:val="1"/>
                <w:color w:val="auto"/>
              </w:rPr>
            </w:pPr>
          </w:p>
        </w:tc>
      </w:tr>
      <w:tr>
        <w:trPr>
          <w:trHeight w:val="182"/>
        </w:trPr>
        <w:tc>
          <w:tcPr>
            <w:tcW w:w="27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14,405</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20" w:type="dxa"/>
            <w:vAlign w:val="bottom"/>
          </w:tcPr>
          <w:p>
            <w:pPr>
              <w:ind w:left="28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9,655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9,655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Issuance of shares</w:t>
            </w:r>
          </w:p>
        </w:tc>
        <w:tc>
          <w:tcPr>
            <w:tcW w:w="12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74,089</w:t>
            </w: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4"/>
                <w:szCs w:val="14"/>
                <w:color w:val="auto"/>
                <w:w w:val="85"/>
              </w:rPr>
              <w:t>—</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740" w:type="dxa"/>
            <w:vAlign w:val="bottom"/>
          </w:tcPr>
          <w:p>
            <w:pPr>
              <w:ind w:left="20"/>
              <w:spacing w:after="0"/>
              <w:rPr>
                <w:sz w:val="20"/>
                <w:szCs w:val="20"/>
                <w:color w:val="auto"/>
              </w:rPr>
            </w:pPr>
            <w:r>
              <w:rPr>
                <w:rFonts w:ascii="Arial" w:cs="Arial" w:eastAsia="Arial" w:hAnsi="Arial"/>
                <w:sz w:val="14"/>
                <w:szCs w:val="14"/>
                <w:color w:val="auto"/>
              </w:rPr>
              <w:t>Deemed contributon from former parent</w:t>
            </w: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699</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468</w:t>
            </w:r>
          </w:p>
        </w:tc>
        <w:tc>
          <w:tcPr>
            <w:tcW w:w="2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20" w:type="dxa"/>
            <w:vAlign w:val="bottom"/>
          </w:tcPr>
          <w:p>
            <w:pPr>
              <w:ind w:left="28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Equity-based compensaton</w:t>
            </w:r>
          </w:p>
        </w:tc>
        <w:tc>
          <w:tcPr>
            <w:tcW w:w="12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96"/>
              </w:rPr>
              <w:t>4,145</w:t>
            </w:r>
          </w:p>
        </w:tc>
        <w:tc>
          <w:tcPr>
            <w:tcW w:w="20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4"/>
                <w:szCs w:val="14"/>
                <w:color w:val="auto"/>
                <w:w w:val="85"/>
              </w:rPr>
              <w:t>—</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4,145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(4,10</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740" w:type="dxa"/>
            <w:vAlign w:val="bottom"/>
          </w:tcPr>
          <w:p>
            <w:pPr>
              <w:ind w:left="20"/>
              <w:spacing w:after="0"/>
              <w:rPr>
                <w:sz w:val="20"/>
                <w:szCs w:val="20"/>
                <w:color w:val="auto"/>
              </w:rPr>
            </w:pPr>
            <w:r>
              <w:rPr>
                <w:rFonts w:ascii="Arial" w:cs="Arial" w:eastAsia="Arial" w:hAnsi="Arial"/>
                <w:sz w:val="14"/>
                <w:szCs w:val="14"/>
                <w:color w:val="auto"/>
              </w:rPr>
              <w:t>Distributons to non-controlling interest</w:t>
            </w:r>
          </w:p>
        </w:tc>
        <w:tc>
          <w:tcPr>
            <w:tcW w:w="120" w:type="dxa"/>
            <w:vAlign w:val="bottom"/>
          </w:tcPr>
          <w:p>
            <w:pPr>
              <w:spacing w:after="0"/>
              <w:rPr>
                <w:sz w:val="15"/>
                <w:szCs w:val="15"/>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8 )</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20" w:type="dxa"/>
            <w:vAlign w:val="bottom"/>
          </w:tcPr>
          <w:p>
            <w:pPr>
              <w:ind w:left="28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(4,108 )</w:t>
            </w:r>
          </w:p>
        </w:tc>
        <w:tc>
          <w:tcPr>
            <w:tcW w:w="0" w:type="dxa"/>
            <w:vAlign w:val="bottom"/>
          </w:tcPr>
          <w:p>
            <w:pPr>
              <w:spacing w:after="0"/>
              <w:rPr>
                <w:sz w:val="1"/>
                <w:szCs w:val="1"/>
                <w:color w:val="auto"/>
              </w:rPr>
            </w:pPr>
          </w:p>
        </w:tc>
      </w:tr>
      <w:tr>
        <w:trPr>
          <w:trHeight w:val="32"/>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740" w:type="dxa"/>
            <w:vAlign w:val="bottom"/>
            <w:shd w:val="clear" w:color="auto" w:fill="CFF0FC"/>
          </w:tcPr>
          <w:p>
            <w:pPr>
              <w:ind w:left="20"/>
              <w:spacing w:after="0"/>
              <w:rPr>
                <w:sz w:val="20"/>
                <w:szCs w:val="20"/>
                <w:color w:val="auto"/>
              </w:rPr>
            </w:pPr>
            <w:r>
              <w:rPr>
                <w:rFonts w:ascii="Arial" w:cs="Arial" w:eastAsia="Arial" w:hAnsi="Arial"/>
                <w:sz w:val="14"/>
                <w:szCs w:val="14"/>
                <w:color w:val="auto"/>
                <w:w w:val="98"/>
              </w:rPr>
              <w:t>Subsequent remeasurement of Redeemable</w:t>
            </w: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2"/>
              </w:rPr>
              <w:t>(439,44</w:t>
            </w: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439,4</w:t>
            </w: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439,44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noncontrolling interests</w:t>
            </w:r>
          </w:p>
        </w:tc>
        <w:tc>
          <w:tcPr>
            <w:tcW w:w="12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2 )</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w:t>
            </w:r>
          </w:p>
        </w:tc>
        <w:tc>
          <w:tcPr>
            <w:tcW w:w="2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ind w:left="280"/>
              <w:spacing w:after="0"/>
              <w:rPr>
                <w:sz w:val="20"/>
                <w:szCs w:val="20"/>
                <w:color w:val="auto"/>
              </w:rPr>
            </w:pPr>
            <w:r>
              <w:rPr>
                <w:rFonts w:ascii="Arial" w:cs="Arial" w:eastAsia="Arial" w:hAnsi="Arial"/>
                <w:sz w:val="14"/>
                <w:szCs w:val="14"/>
                <w:color w:val="auto"/>
                <w:w w:val="85"/>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74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882,95</w:t>
            </w:r>
          </w:p>
        </w:tc>
        <w:tc>
          <w:tcPr>
            <w:tcW w:w="240" w:type="dxa"/>
            <w:vAlign w:val="bottom"/>
            <w:tcBorders>
              <w:top w:val="single" w:sz="8" w:color="CFF0FC"/>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79,241,</w:t>
            </w:r>
          </w:p>
        </w:tc>
        <w:tc>
          <w:tcPr>
            <w:tcW w:w="24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118,20</w:t>
            </w:r>
          </w:p>
        </w:tc>
        <w:tc>
          <w:tcPr>
            <w:tcW w:w="24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606,2</w:t>
            </w:r>
          </w:p>
        </w:tc>
        <w:tc>
          <w:tcPr>
            <w:tcW w:w="200" w:type="dxa"/>
            <w:vAlign w:val="bottom"/>
            <w:tcBorders>
              <w:top w:val="single" w:sz="8" w:color="CFF0FC"/>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(1,031</w:t>
            </w:r>
          </w:p>
        </w:tc>
        <w:tc>
          <w:tcPr>
            <w:tcW w:w="22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(425,6</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740" w:type="dxa"/>
            <w:vAlign w:val="bottom"/>
          </w:tcPr>
          <w:p>
            <w:pPr>
              <w:ind w:left="20"/>
              <w:spacing w:after="0"/>
              <w:rPr>
                <w:sz w:val="20"/>
                <w:szCs w:val="20"/>
                <w:color w:val="auto"/>
              </w:rPr>
            </w:pPr>
            <w:r>
              <w:rPr>
                <w:rFonts w:ascii="Arial" w:cs="Arial" w:eastAsia="Arial" w:hAnsi="Arial"/>
                <w:sz w:val="14"/>
                <w:szCs w:val="14"/>
                <w:b w:val="1"/>
                <w:bCs w:val="1"/>
                <w:color w:val="auto"/>
              </w:rPr>
              <w:t>Balances at June 30, 2022</w:t>
            </w: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032</w:t>
            </w:r>
          </w:p>
        </w:tc>
        <w:tc>
          <w:tcPr>
            <w:tcW w:w="480" w:type="dxa"/>
            <w:vAlign w:val="bottom"/>
            <w:gridSpan w:val="2"/>
          </w:tcPr>
          <w:p>
            <w:pPr>
              <w:ind w:left="2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0,000</w:t>
            </w:r>
          </w:p>
        </w:tc>
        <w:tc>
          <w:tcPr>
            <w:tcW w:w="480" w:type="dxa"/>
            <w:vAlign w:val="bottom"/>
            <w:gridSpan w:val="2"/>
          </w:tcPr>
          <w:p>
            <w:pPr>
              <w:ind w:left="2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340" w:type="dxa"/>
            <w:vAlign w:val="bottom"/>
            <w:gridSpan w:val="2"/>
          </w:tcPr>
          <w:p>
            <w:pPr>
              <w:ind w:left="2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38</w:t>
            </w:r>
          </w:p>
        </w:tc>
        <w:tc>
          <w:tcPr>
            <w:tcW w:w="2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ind w:left="20"/>
              <w:spacing w:after="0"/>
              <w:rPr>
                <w:sz w:val="20"/>
                <w:szCs w:val="20"/>
                <w:color w:val="auto"/>
              </w:rPr>
            </w:pPr>
            <w:r>
              <w:rPr>
                <w:rFonts w:ascii="Arial" w:cs="Arial" w:eastAsia="Arial" w:hAnsi="Arial"/>
                <w:sz w:val="14"/>
                <w:szCs w:val="14"/>
                <w:b w:val="1"/>
                <w:bCs w:val="1"/>
                <w:color w:val="auto"/>
                <w:w w:val="76"/>
              </w:rPr>
              <w:t>$</w:t>
            </w:r>
          </w:p>
        </w:tc>
        <w:tc>
          <w:tcPr>
            <w:tcW w:w="420" w:type="dxa"/>
            <w:vAlign w:val="bottom"/>
          </w:tcPr>
          <w:p>
            <w:pPr>
              <w:ind w:left="280"/>
              <w:spacing w:after="0"/>
              <w:rPr>
                <w:sz w:val="20"/>
                <w:szCs w:val="20"/>
                <w:color w:val="auto"/>
              </w:rPr>
            </w:pPr>
            <w:r>
              <w:rPr>
                <w:rFonts w:ascii="Arial" w:cs="Arial" w:eastAsia="Arial" w:hAnsi="Arial"/>
                <w:sz w:val="14"/>
                <w:szCs w:val="14"/>
                <w:b w:val="1"/>
                <w:bCs w:val="1"/>
                <w:color w:val="auto"/>
                <w:w w:val="85"/>
              </w:rPr>
              <w:t>—</w:t>
            </w:r>
          </w:p>
        </w:tc>
        <w:tc>
          <w:tcPr>
            <w:tcW w:w="320" w:type="dxa"/>
            <w:vAlign w:val="bottom"/>
            <w:gridSpan w:val="2"/>
          </w:tcPr>
          <w:p>
            <w:pPr>
              <w:ind w:left="240"/>
              <w:spacing w:after="0"/>
              <w:rPr>
                <w:sz w:val="20"/>
                <w:szCs w:val="20"/>
                <w:color w:val="auto"/>
              </w:rPr>
            </w:pPr>
            <w:r>
              <w:rPr>
                <w:rFonts w:ascii="Arial" w:cs="Arial" w:eastAsia="Arial" w:hAnsi="Arial"/>
                <w:sz w:val="14"/>
                <w:szCs w:val="14"/>
                <w:b w:val="1"/>
                <w:bCs w:val="1"/>
                <w:color w:val="auto"/>
                <w:w w:val="76"/>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,880 )</w:t>
            </w:r>
          </w:p>
        </w:tc>
        <w:tc>
          <w:tcPr>
            <w:tcW w:w="100" w:type="dxa"/>
            <w:vAlign w:val="bottom"/>
          </w:tcPr>
          <w:p>
            <w:pPr>
              <w:ind w:left="20"/>
              <w:spacing w:after="0"/>
              <w:rPr>
                <w:sz w:val="20"/>
                <w:szCs w:val="20"/>
                <w:color w:val="auto"/>
              </w:rPr>
            </w:pPr>
            <w:r>
              <w:rPr>
                <w:rFonts w:ascii="Arial" w:cs="Arial" w:eastAsia="Arial" w:hAnsi="Arial"/>
                <w:sz w:val="14"/>
                <w:szCs w:val="14"/>
                <w:b w:val="1"/>
                <w:bCs w:val="1"/>
                <w:color w:val="auto"/>
                <w:w w:val="76"/>
              </w:rPr>
              <w:t>$</w:t>
            </w:r>
          </w:p>
        </w:tc>
        <w:tc>
          <w:tcPr>
            <w:tcW w:w="5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22 )</w:t>
            </w:r>
          </w:p>
        </w:tc>
        <w:tc>
          <w:tcPr>
            <w:tcW w:w="0" w:type="dxa"/>
            <w:vAlign w:val="bottom"/>
          </w:tcPr>
          <w:p>
            <w:pPr>
              <w:spacing w:after="0"/>
              <w:rPr>
                <w:sz w:val="1"/>
                <w:szCs w:val="1"/>
                <w:color w:val="auto"/>
              </w:rPr>
            </w:pPr>
          </w:p>
        </w:tc>
      </w:tr>
      <w:tr>
        <w:trPr>
          <w:trHeight w:val="30"/>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income</w:t>
            </w:r>
          </w:p>
        </w:tc>
        <w:tc>
          <w:tcPr>
            <w:tcW w:w="120" w:type="dxa"/>
            <w:vAlign w:val="bottom"/>
            <w:tcBorders>
              <w:bottom w:val="single" w:sz="8" w:color="CFF0FC"/>
            </w:tcBorders>
            <w:shd w:val="clear" w:color="auto" w:fill="CFF0FC"/>
          </w:tcPr>
          <w:p>
            <w:pPr>
              <w:spacing w:after="0"/>
              <w:rPr>
                <w:sz w:val="15"/>
                <w:szCs w:val="15"/>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11,084</w:t>
            </w: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4"/>
                <w:szCs w:val="14"/>
                <w:color w:val="auto"/>
                <w:w w:val="85"/>
              </w:rPr>
              <w:t>—</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7,663</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7,663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740" w:type="dxa"/>
            <w:vAlign w:val="bottom"/>
          </w:tcPr>
          <w:p>
            <w:pPr>
              <w:ind w:left="20"/>
              <w:spacing w:after="0"/>
              <w:rPr>
                <w:sz w:val="20"/>
                <w:szCs w:val="20"/>
                <w:color w:val="auto"/>
              </w:rPr>
            </w:pPr>
            <w:r>
              <w:rPr>
                <w:rFonts w:ascii="Arial" w:cs="Arial" w:eastAsia="Arial" w:hAnsi="Arial"/>
                <w:sz w:val="14"/>
                <w:szCs w:val="14"/>
                <w:color w:val="auto"/>
              </w:rPr>
              <w:t>Issuance of shares</w:t>
            </w:r>
          </w:p>
        </w:tc>
        <w:tc>
          <w:tcPr>
            <w:tcW w:w="120" w:type="dxa"/>
            <w:vAlign w:val="bottom"/>
          </w:tcPr>
          <w:p>
            <w:pPr>
              <w:spacing w:after="0"/>
              <w:rPr>
                <w:sz w:val="15"/>
                <w:szCs w:val="15"/>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72,325</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20" w:type="dxa"/>
            <w:vAlign w:val="bottom"/>
          </w:tcPr>
          <w:p>
            <w:pPr>
              <w:ind w:left="28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Deemed contributon from former parent</w:t>
            </w:r>
          </w:p>
        </w:tc>
        <w:tc>
          <w:tcPr>
            <w:tcW w:w="120" w:type="dxa"/>
            <w:vAlign w:val="bottom"/>
            <w:tcBorders>
              <w:bottom w:val="single" w:sz="8" w:color="CFF0FC"/>
            </w:tcBorders>
            <w:shd w:val="clear" w:color="auto" w:fill="CFF0FC"/>
          </w:tcPr>
          <w:p>
            <w:pPr>
              <w:spacing w:after="0"/>
              <w:rPr>
                <w:sz w:val="15"/>
                <w:szCs w:val="15"/>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617</w:t>
            </w: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427</w:t>
            </w:r>
          </w:p>
        </w:tc>
        <w:tc>
          <w:tcPr>
            <w:tcW w:w="20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4"/>
                <w:szCs w:val="14"/>
                <w:color w:val="auto"/>
                <w:w w:val="85"/>
              </w:rPr>
              <w:t>—</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427</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740" w:type="dxa"/>
            <w:vAlign w:val="bottom"/>
          </w:tcPr>
          <w:p>
            <w:pPr>
              <w:ind w:left="20"/>
              <w:spacing w:after="0"/>
              <w:rPr>
                <w:sz w:val="20"/>
                <w:szCs w:val="20"/>
                <w:color w:val="auto"/>
              </w:rPr>
            </w:pPr>
            <w:r>
              <w:rPr>
                <w:rFonts w:ascii="Arial" w:cs="Arial" w:eastAsia="Arial" w:hAnsi="Arial"/>
                <w:sz w:val="14"/>
                <w:szCs w:val="14"/>
                <w:color w:val="auto"/>
              </w:rPr>
              <w:t>Equity-based compensaton</w:t>
            </w:r>
          </w:p>
        </w:tc>
        <w:tc>
          <w:tcPr>
            <w:tcW w:w="120" w:type="dxa"/>
            <w:vAlign w:val="bottom"/>
          </w:tcPr>
          <w:p>
            <w:pPr>
              <w:spacing w:after="0"/>
              <w:rPr>
                <w:sz w:val="15"/>
                <w:szCs w:val="15"/>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96"/>
              </w:rPr>
              <w:t>4,029</w:t>
            </w:r>
          </w:p>
        </w:tc>
        <w:tc>
          <w:tcPr>
            <w:tcW w:w="2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20" w:type="dxa"/>
            <w:vAlign w:val="bottom"/>
          </w:tcPr>
          <w:p>
            <w:pPr>
              <w:ind w:left="28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4,029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(397,55</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Repurchases of common stock</w:t>
            </w:r>
          </w:p>
        </w:tc>
        <w:tc>
          <w:tcPr>
            <w:tcW w:w="120" w:type="dxa"/>
            <w:vAlign w:val="bottom"/>
            <w:tcBorders>
              <w:bottom w:val="single" w:sz="8" w:color="CFF0FC"/>
            </w:tcBorders>
            <w:shd w:val="clear" w:color="auto" w:fill="CFF0FC"/>
          </w:tcPr>
          <w:p>
            <w:pPr>
              <w:spacing w:after="0"/>
              <w:rPr>
                <w:sz w:val="16"/>
                <w:szCs w:val="16"/>
                <w:color w:val="auto"/>
              </w:rPr>
            </w:pPr>
          </w:p>
        </w:tc>
        <w:tc>
          <w:tcPr>
            <w:tcW w:w="72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1 )</w:t>
            </w:r>
          </w:p>
        </w:tc>
        <w:tc>
          <w:tcPr>
            <w:tcW w:w="12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91"/>
              </w:rPr>
              <w:t>(3,050 )</w:t>
            </w:r>
          </w:p>
        </w:tc>
        <w:tc>
          <w:tcPr>
            <w:tcW w:w="10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4"/>
                <w:szCs w:val="14"/>
                <w:color w:val="auto"/>
                <w:w w:val="85"/>
              </w:rPr>
              <w:t>—</w:t>
            </w:r>
          </w:p>
        </w:tc>
        <w:tc>
          <w:tcPr>
            <w:tcW w:w="2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(3,050 )</w:t>
            </w:r>
          </w:p>
        </w:tc>
        <w:tc>
          <w:tcPr>
            <w:tcW w:w="0" w:type="dxa"/>
            <w:vAlign w:val="bottom"/>
          </w:tcPr>
          <w:p>
            <w:pPr>
              <w:spacing w:after="0"/>
              <w:rPr>
                <w:sz w:val="1"/>
                <w:szCs w:val="1"/>
                <w:color w:val="auto"/>
              </w:rPr>
            </w:pPr>
          </w:p>
        </w:tc>
      </w:tr>
      <w:tr>
        <w:trPr>
          <w:trHeight w:val="182"/>
        </w:trPr>
        <w:tc>
          <w:tcPr>
            <w:tcW w:w="2740" w:type="dxa"/>
            <w:vAlign w:val="bottom"/>
          </w:tcPr>
          <w:p>
            <w:pPr>
              <w:ind w:left="20"/>
              <w:spacing w:after="0"/>
              <w:rPr>
                <w:sz w:val="20"/>
                <w:szCs w:val="20"/>
                <w:color w:val="auto"/>
              </w:rPr>
            </w:pPr>
            <w:r>
              <w:rPr>
                <w:rFonts w:ascii="Arial" w:cs="Arial" w:eastAsia="Arial" w:hAnsi="Arial"/>
                <w:sz w:val="14"/>
                <w:szCs w:val="14"/>
                <w:color w:val="auto"/>
              </w:rPr>
              <w:t>Distributons to non-controlling interest</w:t>
            </w:r>
          </w:p>
        </w:tc>
        <w:tc>
          <w:tcPr>
            <w:tcW w:w="12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(810 )</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20" w:type="dxa"/>
            <w:vAlign w:val="bottom"/>
          </w:tcPr>
          <w:p>
            <w:pPr>
              <w:ind w:left="28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Reclassifcaton of contngent consideraton</w:t>
            </w:r>
          </w:p>
        </w:tc>
        <w:tc>
          <w:tcPr>
            <w:tcW w:w="12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96"/>
              </w:rPr>
              <w:t>2,657</w:t>
            </w:r>
          </w:p>
        </w:tc>
        <w:tc>
          <w:tcPr>
            <w:tcW w:w="20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4"/>
                <w:szCs w:val="14"/>
                <w:color w:val="auto"/>
                <w:w w:val="85"/>
              </w:rPr>
              <w:t>—</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2,657</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740" w:type="dxa"/>
            <w:vAlign w:val="bottom"/>
          </w:tcPr>
          <w:p>
            <w:pPr>
              <w:ind w:left="20"/>
              <w:spacing w:after="0"/>
              <w:rPr>
                <w:sz w:val="20"/>
                <w:szCs w:val="20"/>
                <w:color w:val="auto"/>
              </w:rPr>
            </w:pPr>
            <w:r>
              <w:rPr>
                <w:rFonts w:ascii="Arial" w:cs="Arial" w:eastAsia="Arial" w:hAnsi="Arial"/>
                <w:sz w:val="14"/>
                <w:szCs w:val="14"/>
                <w:color w:val="auto"/>
                <w:w w:val="98"/>
              </w:rPr>
              <w:t>Subsequent remeasurement of Redeemable</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(11,5</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(11,56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74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11,567</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67 )</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20" w:type="dxa"/>
            <w:vAlign w:val="bottom"/>
          </w:tcPr>
          <w:p>
            <w:pPr>
              <w:ind w:left="28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32"/>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Increase in common shares outstanding</w:t>
            </w: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2,727,7</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following warrant exchange</w:t>
            </w:r>
          </w:p>
        </w:tc>
        <w:tc>
          <w:tcPr>
            <w:tcW w:w="12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85</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ind w:left="280"/>
              <w:spacing w:after="0"/>
              <w:rPr>
                <w:sz w:val="20"/>
                <w:szCs w:val="20"/>
                <w:color w:val="auto"/>
              </w:rPr>
            </w:pPr>
            <w:r>
              <w:rPr>
                <w:rFonts w:ascii="Arial" w:cs="Arial" w:eastAsia="Arial" w:hAnsi="Arial"/>
                <w:sz w:val="14"/>
                <w:szCs w:val="14"/>
                <w:color w:val="auto"/>
                <w:w w:val="85"/>
              </w:rPr>
              <w:t>—</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905,41</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82,041,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118,20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601,7</w:t>
            </w: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(397,55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(1,024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(425,4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Arial" w:cs="Arial" w:eastAsia="Arial" w:hAnsi="Arial"/>
                <w:sz w:val="14"/>
                <w:szCs w:val="14"/>
                <w:b w:val="1"/>
                <w:bCs w:val="1"/>
                <w:color w:val="auto"/>
              </w:rPr>
              <w:t>Balances at September 30, 2022</w:t>
            </w: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142</w:t>
            </w:r>
          </w:p>
        </w:tc>
        <w:tc>
          <w:tcPr>
            <w:tcW w:w="480" w:type="dxa"/>
            <w:vAlign w:val="bottom"/>
            <w:gridSpan w:val="2"/>
          </w:tcPr>
          <w:p>
            <w:pPr>
              <w:ind w:left="2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0,000</w:t>
            </w:r>
          </w:p>
        </w:tc>
        <w:tc>
          <w:tcPr>
            <w:tcW w:w="480" w:type="dxa"/>
            <w:vAlign w:val="bottom"/>
            <w:gridSpan w:val="2"/>
          </w:tcPr>
          <w:p>
            <w:pPr>
              <w:ind w:left="2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340" w:type="dxa"/>
            <w:vAlign w:val="bottom"/>
            <w:gridSpan w:val="2"/>
          </w:tcPr>
          <w:p>
            <w:pPr>
              <w:ind w:left="2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84</w:t>
            </w:r>
          </w:p>
        </w:tc>
        <w:tc>
          <w:tcPr>
            <w:tcW w:w="2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1 )</w:t>
            </w: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1"/>
              </w:rPr>
              <w:t>(3,050 )</w:t>
            </w:r>
          </w:p>
        </w:tc>
        <w:tc>
          <w:tcPr>
            <w:tcW w:w="100" w:type="dxa"/>
            <w:vAlign w:val="bottom"/>
          </w:tcPr>
          <w:p>
            <w:pPr>
              <w:ind w:left="20"/>
              <w:spacing w:after="0"/>
              <w:rPr>
                <w:sz w:val="20"/>
                <w:szCs w:val="20"/>
                <w:color w:val="auto"/>
              </w:rPr>
            </w:pPr>
            <w:r>
              <w:rPr>
                <w:rFonts w:ascii="Arial" w:cs="Arial" w:eastAsia="Arial" w:hAnsi="Arial"/>
                <w:sz w:val="14"/>
                <w:szCs w:val="14"/>
                <w:b w:val="1"/>
                <w:bCs w:val="1"/>
                <w:color w:val="auto"/>
                <w:w w:val="76"/>
              </w:rPr>
              <w:t>$</w:t>
            </w:r>
          </w:p>
        </w:tc>
        <w:tc>
          <w:tcPr>
            <w:tcW w:w="420" w:type="dxa"/>
            <w:vAlign w:val="bottom"/>
          </w:tcPr>
          <w:p>
            <w:pPr>
              <w:ind w:left="280"/>
              <w:spacing w:after="0"/>
              <w:rPr>
                <w:sz w:val="20"/>
                <w:szCs w:val="20"/>
                <w:color w:val="auto"/>
              </w:rPr>
            </w:pPr>
            <w:r>
              <w:rPr>
                <w:rFonts w:ascii="Arial" w:cs="Arial" w:eastAsia="Arial" w:hAnsi="Arial"/>
                <w:sz w:val="14"/>
                <w:szCs w:val="14"/>
                <w:b w:val="1"/>
                <w:bCs w:val="1"/>
                <w:color w:val="auto"/>
                <w:w w:val="85"/>
              </w:rPr>
              <w:t>—</w:t>
            </w:r>
          </w:p>
        </w:tc>
        <w:tc>
          <w:tcPr>
            <w:tcW w:w="320" w:type="dxa"/>
            <w:vAlign w:val="bottom"/>
            <w:gridSpan w:val="2"/>
          </w:tcPr>
          <w:p>
            <w:pPr>
              <w:ind w:left="240"/>
              <w:spacing w:after="0"/>
              <w:rPr>
                <w:sz w:val="20"/>
                <w:szCs w:val="20"/>
                <w:color w:val="auto"/>
              </w:rPr>
            </w:pPr>
            <w:r>
              <w:rPr>
                <w:rFonts w:ascii="Arial" w:cs="Arial" w:eastAsia="Arial" w:hAnsi="Arial"/>
                <w:sz w:val="14"/>
                <w:szCs w:val="14"/>
                <w:b w:val="1"/>
                <w:bCs w:val="1"/>
                <w:color w:val="auto"/>
                <w:w w:val="76"/>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,217 )</w:t>
            </w:r>
          </w:p>
        </w:tc>
        <w:tc>
          <w:tcPr>
            <w:tcW w:w="100" w:type="dxa"/>
            <w:vAlign w:val="bottom"/>
          </w:tcPr>
          <w:p>
            <w:pPr>
              <w:ind w:left="20"/>
              <w:spacing w:after="0"/>
              <w:rPr>
                <w:sz w:val="20"/>
                <w:szCs w:val="20"/>
                <w:color w:val="auto"/>
              </w:rPr>
            </w:pPr>
            <w:r>
              <w:rPr>
                <w:rFonts w:ascii="Arial" w:cs="Arial" w:eastAsia="Arial" w:hAnsi="Arial"/>
                <w:sz w:val="14"/>
                <w:szCs w:val="14"/>
                <w:b w:val="1"/>
                <w:bCs w:val="1"/>
                <w:color w:val="auto"/>
                <w:w w:val="76"/>
              </w:rPr>
              <w:t>$</w:t>
            </w:r>
          </w:p>
        </w:tc>
        <w:tc>
          <w:tcPr>
            <w:tcW w:w="5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63 )</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-2013585</wp:posOffset>
            </wp:positionV>
            <wp:extent cx="76835" cy="2482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24828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-2013585</wp:posOffset>
            </wp:positionV>
            <wp:extent cx="76835" cy="2482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24828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-2013585</wp:posOffset>
            </wp:positionV>
            <wp:extent cx="77470" cy="2482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24828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-2013585</wp:posOffset>
            </wp:positionV>
            <wp:extent cx="77470" cy="2482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24828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-2013585</wp:posOffset>
            </wp:positionV>
            <wp:extent cx="68580" cy="2482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24828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-2013585</wp:posOffset>
            </wp:positionV>
            <wp:extent cx="68580" cy="2482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24828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-2013585</wp:posOffset>
            </wp:positionV>
            <wp:extent cx="68580" cy="2482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24828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-2013585</wp:posOffset>
            </wp:positionV>
            <wp:extent cx="68580" cy="2482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24828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-2013585</wp:posOffset>
            </wp:positionV>
            <wp:extent cx="68580" cy="2482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24828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-2013585</wp:posOffset>
            </wp:positionV>
            <wp:extent cx="68580" cy="2482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24828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-2013585</wp:posOffset>
            </wp:positionV>
            <wp:extent cx="68580" cy="2482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24828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-273685</wp:posOffset>
            </wp:positionV>
            <wp:extent cx="76835" cy="274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27432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-273685</wp:posOffset>
            </wp:positionV>
            <wp:extent cx="76835" cy="274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27432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-273685</wp:posOffset>
            </wp:positionV>
            <wp:extent cx="77470" cy="274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27432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-273685</wp:posOffset>
            </wp:positionV>
            <wp:extent cx="77470" cy="274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27432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-273685</wp:posOffset>
            </wp:positionV>
            <wp:extent cx="68580" cy="274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-273685</wp:posOffset>
            </wp:positionV>
            <wp:extent cx="68580" cy="274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-273685</wp:posOffset>
            </wp:positionV>
            <wp:extent cx="68580" cy="274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-273685</wp:posOffset>
            </wp:positionV>
            <wp:extent cx="68580" cy="274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-273685</wp:posOffset>
            </wp:positionV>
            <wp:extent cx="68580" cy="274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-273685</wp:posOffset>
            </wp:positionV>
            <wp:extent cx="68580" cy="274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-273685</wp:posOffset>
            </wp:positionV>
            <wp:extent cx="68580" cy="274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27432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4"/>
          </w:tcPr>
          <w:p>
            <w:pPr>
              <w:jc w:val="right"/>
              <w:spacing w:after="0"/>
              <w:rPr>
                <w:sz w:val="20"/>
                <w:szCs w:val="20"/>
                <w:color w:val="auto"/>
              </w:rPr>
            </w:pPr>
            <w:r>
              <w:rPr>
                <w:rFonts w:ascii="Arial" w:cs="Arial" w:eastAsia="Arial" w:hAnsi="Arial"/>
                <w:sz w:val="14"/>
                <w:szCs w:val="14"/>
                <w:b w:val="1"/>
                <w:bCs w:val="1"/>
                <w:color w:val="auto"/>
                <w:w w:val="84"/>
              </w:rPr>
              <w:t>Class A Common Stock</w:t>
            </w:r>
          </w:p>
        </w:tc>
        <w:tc>
          <w:tcPr>
            <w:tcW w:w="240" w:type="dxa"/>
            <w:vAlign w:val="bottom"/>
          </w:tcPr>
          <w:p>
            <w:pPr>
              <w:spacing w:after="0"/>
              <w:rPr>
                <w:sz w:val="15"/>
                <w:szCs w:val="15"/>
                <w:color w:val="auto"/>
              </w:rPr>
            </w:pPr>
          </w:p>
        </w:tc>
        <w:tc>
          <w:tcPr>
            <w:tcW w:w="16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86"/>
              </w:rPr>
              <w:t>Class B Common Stock</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700" w:type="dxa"/>
            <w:vAlign w:val="bottom"/>
          </w:tcPr>
          <w:p>
            <w:pPr>
              <w:spacing w:after="0"/>
              <w:rPr>
                <w:sz w:val="2"/>
                <w:szCs w:val="2"/>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Redeema</w:t>
            </w: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w:t>
            </w: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70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700" w:type="dxa"/>
            <w:vAlign w:val="bottom"/>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Addito</w:t>
            </w: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lated</w:t>
            </w: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4"/>
        </w:trPr>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8"/>
              </w:rPr>
              <w:t>ble</w:t>
            </w: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gridSpan w:val="3"/>
            <w:vMerge w:val="continue"/>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w:t>
            </w:r>
          </w:p>
        </w:tc>
        <w:tc>
          <w:tcPr>
            <w:tcW w:w="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8"/>
              </w:rPr>
              <w:t>nal</w:t>
            </w: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0"/>
              </w:rPr>
              <w:t>Other</w:t>
            </w:r>
          </w:p>
        </w:tc>
        <w:tc>
          <w:tcPr>
            <w:tcW w:w="760" w:type="dxa"/>
            <w:vAlign w:val="bottom"/>
            <w:gridSpan w:val="3"/>
            <w:vMerge w:val="continue"/>
          </w:tcPr>
          <w:p>
            <w:pPr>
              <w:spacing w:after="0"/>
              <w:rPr>
                <w:sz w:val="7"/>
                <w:szCs w:val="7"/>
                <w:color w:val="auto"/>
              </w:rPr>
            </w:pPr>
          </w:p>
        </w:tc>
        <w:tc>
          <w:tcPr>
            <w:tcW w:w="6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sharehol</w:t>
            </w:r>
          </w:p>
        </w:tc>
        <w:tc>
          <w:tcPr>
            <w:tcW w:w="0" w:type="dxa"/>
            <w:vAlign w:val="bottom"/>
          </w:tcPr>
          <w:p>
            <w:pPr>
              <w:spacing w:after="0"/>
              <w:rPr>
                <w:sz w:val="1"/>
                <w:szCs w:val="1"/>
                <w:color w:val="auto"/>
              </w:rPr>
            </w:pPr>
          </w:p>
        </w:tc>
      </w:tr>
      <w:tr>
        <w:trPr>
          <w:trHeight w:val="94"/>
        </w:trPr>
        <w:tc>
          <w:tcPr>
            <w:tcW w:w="2700" w:type="dxa"/>
            <w:vAlign w:val="bottom"/>
          </w:tcPr>
          <w:p>
            <w:pPr>
              <w:spacing w:after="0"/>
              <w:rPr>
                <w:sz w:val="8"/>
                <w:szCs w:val="8"/>
                <w:color w:val="auto"/>
              </w:rPr>
            </w:pPr>
          </w:p>
        </w:tc>
        <w:tc>
          <w:tcPr>
            <w:tcW w:w="8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noncontr</w:t>
            </w: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8"/>
                <w:szCs w:val="8"/>
                <w:color w:val="auto"/>
              </w:rPr>
            </w:pPr>
          </w:p>
        </w:tc>
        <w:tc>
          <w:tcPr>
            <w:tcW w:w="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8"/>
                <w:szCs w:val="8"/>
                <w:color w:val="auto"/>
              </w:rPr>
            </w:pPr>
          </w:p>
        </w:tc>
        <w:tc>
          <w:tcPr>
            <w:tcW w:w="8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8"/>
              </w:rPr>
              <w:t>Shares</w:t>
            </w:r>
          </w:p>
        </w:tc>
        <w:tc>
          <w:tcPr>
            <w:tcW w:w="7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76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lated</w:t>
            </w:r>
          </w:p>
        </w:tc>
        <w:tc>
          <w:tcPr>
            <w:tcW w:w="6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700" w:type="dxa"/>
            <w:vAlign w:val="bottom"/>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paid-in</w:t>
            </w:r>
          </w:p>
        </w:tc>
        <w:tc>
          <w:tcPr>
            <w:tcW w:w="800" w:type="dxa"/>
            <w:vAlign w:val="bottom"/>
            <w:gridSpan w:val="2"/>
            <w:vMerge w:val="continue"/>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7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Compre</w:t>
            </w:r>
          </w:p>
        </w:tc>
        <w:tc>
          <w:tcPr>
            <w:tcW w:w="8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ders'</w:t>
            </w:r>
          </w:p>
        </w:tc>
        <w:tc>
          <w:tcPr>
            <w:tcW w:w="0" w:type="dxa"/>
            <w:vAlign w:val="bottom"/>
          </w:tcPr>
          <w:p>
            <w:pPr>
              <w:spacing w:after="0"/>
              <w:rPr>
                <w:sz w:val="1"/>
                <w:szCs w:val="1"/>
                <w:color w:val="auto"/>
              </w:rPr>
            </w:pPr>
          </w:p>
        </w:tc>
      </w:tr>
      <w:tr>
        <w:trPr>
          <w:trHeight w:val="94"/>
        </w:trPr>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olling</w:t>
            </w: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gridSpan w:val="3"/>
            <w:vMerge w:val="continue"/>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7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defcit</w:t>
            </w:r>
          </w:p>
        </w:tc>
        <w:tc>
          <w:tcPr>
            <w:tcW w:w="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capital</w:t>
            </w: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hensive</w:t>
            </w:r>
          </w:p>
        </w:tc>
        <w:tc>
          <w:tcPr>
            <w:tcW w:w="76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defcit</w:t>
            </w:r>
          </w:p>
        </w:tc>
        <w:tc>
          <w:tcPr>
            <w:tcW w:w="0" w:type="dxa"/>
            <w:vAlign w:val="bottom"/>
          </w:tcPr>
          <w:p>
            <w:pPr>
              <w:spacing w:after="0"/>
              <w:rPr>
                <w:sz w:val="1"/>
                <w:szCs w:val="1"/>
                <w:color w:val="auto"/>
              </w:rPr>
            </w:pPr>
          </w:p>
        </w:tc>
      </w:tr>
      <w:tr>
        <w:trPr>
          <w:trHeight w:val="94"/>
        </w:trPr>
        <w:tc>
          <w:tcPr>
            <w:tcW w:w="2700" w:type="dxa"/>
            <w:vAlign w:val="bottom"/>
          </w:tcPr>
          <w:p>
            <w:pPr>
              <w:spacing w:after="0"/>
              <w:rPr>
                <w:sz w:val="8"/>
                <w:szCs w:val="8"/>
                <w:color w:val="auto"/>
              </w:rPr>
            </w:pPr>
          </w:p>
        </w:tc>
        <w:tc>
          <w:tcPr>
            <w:tcW w:w="8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89"/>
              </w:rPr>
              <w:t>interests</w:t>
            </w: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gridSpan w:val="3"/>
            <w:vMerge w:val="continue"/>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700" w:type="dxa"/>
            <w:vAlign w:val="bottom"/>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79"/>
              </w:rPr>
              <w:t>Loss</w:t>
            </w: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70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862,86</w:t>
            </w:r>
          </w:p>
        </w:tc>
        <w:tc>
          <w:tcPr>
            <w:tcW w:w="240" w:type="dxa"/>
            <w:vAlign w:val="bottom"/>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82,410,</w:t>
            </w:r>
          </w:p>
        </w:tc>
        <w:tc>
          <w:tcPr>
            <w:tcW w:w="240" w:type="dxa"/>
            <w:vAlign w:val="bottom"/>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118,20</w:t>
            </w:r>
          </w:p>
        </w:tc>
        <w:tc>
          <w:tcPr>
            <w:tcW w:w="240" w:type="dxa"/>
            <w:vAlign w:val="bottom"/>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w w:val="96"/>
              </w:rPr>
              <w:t>663,9</w:t>
            </w:r>
          </w:p>
        </w:tc>
        <w:tc>
          <w:tcPr>
            <w:tcW w:w="220" w:type="dxa"/>
            <w:vAlign w:val="bottom"/>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(4,342,</w:t>
            </w:r>
          </w:p>
        </w:tc>
        <w:tc>
          <w:tcPr>
            <w:tcW w:w="2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(32,49</w:t>
            </w:r>
          </w:p>
        </w:tc>
        <w:tc>
          <w:tcPr>
            <w:tcW w:w="2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44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(1,014</w:t>
            </w:r>
          </w:p>
        </w:tc>
        <w:tc>
          <w:tcPr>
            <w:tcW w:w="22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w w:val="96"/>
              </w:rPr>
              <w:t>(382,69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Balances at January 1, 2023</w:t>
            </w:r>
          </w:p>
        </w:tc>
        <w:tc>
          <w:tcPr>
            <w:tcW w:w="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0</w:t>
            </w:r>
          </w:p>
        </w:tc>
        <w:tc>
          <w:tcPr>
            <w:tcW w:w="24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774</w:t>
            </w:r>
          </w:p>
        </w:tc>
        <w:tc>
          <w:tcPr>
            <w:tcW w:w="46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0,000</w:t>
            </w:r>
          </w:p>
        </w:tc>
        <w:tc>
          <w:tcPr>
            <w:tcW w:w="2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2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08</w:t>
            </w:r>
          </w:p>
        </w:tc>
        <w:tc>
          <w:tcPr>
            <w:tcW w:w="22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477 )</w:t>
            </w:r>
          </w:p>
        </w:tc>
        <w:tc>
          <w:tcPr>
            <w:tcW w:w="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4 )</w:t>
            </w:r>
          </w:p>
        </w:tc>
        <w:tc>
          <w:tcPr>
            <w:tcW w:w="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,132 )</w:t>
            </w:r>
          </w:p>
        </w:tc>
        <w:tc>
          <w:tcPr>
            <w:tcW w:w="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182"/>
        </w:trPr>
        <w:tc>
          <w:tcPr>
            <w:tcW w:w="27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18,090</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7"/>
              </w:rPr>
              <w:t>12,182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12,182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491,50</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Issuance of shares</w:t>
            </w:r>
          </w:p>
        </w:tc>
        <w:tc>
          <w:tcPr>
            <w:tcW w:w="10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4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shd w:val="clear" w:color="auto" w:fill="CFF0FC"/>
          </w:tcPr>
          <w:p>
            <w:pPr>
              <w:spacing w:after="0"/>
              <w:rPr>
                <w:sz w:val="16"/>
                <w:szCs w:val="16"/>
                <w:color w:val="auto"/>
              </w:rPr>
            </w:pPr>
          </w:p>
        </w:tc>
        <w:tc>
          <w:tcPr>
            <w:tcW w:w="68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700" w:type="dxa"/>
            <w:vAlign w:val="bottom"/>
          </w:tcPr>
          <w:p>
            <w:pPr>
              <w:ind w:left="20"/>
              <w:spacing w:after="0"/>
              <w:rPr>
                <w:sz w:val="20"/>
                <w:szCs w:val="20"/>
                <w:color w:val="auto"/>
              </w:rPr>
            </w:pPr>
            <w:r>
              <w:rPr>
                <w:rFonts w:ascii="Arial" w:cs="Arial" w:eastAsia="Arial" w:hAnsi="Arial"/>
                <w:sz w:val="14"/>
                <w:szCs w:val="14"/>
                <w:color w:val="auto"/>
              </w:rPr>
              <w:t>Deemed contributon from former parent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577</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391</w:t>
            </w:r>
          </w:p>
        </w:tc>
        <w:tc>
          <w:tcPr>
            <w:tcW w:w="22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391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Equity-based compensaton</w:t>
            </w:r>
          </w:p>
        </w:tc>
        <w:tc>
          <w:tcPr>
            <w:tcW w:w="10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96"/>
              </w:rPr>
              <w:t>4,615</w:t>
            </w:r>
          </w:p>
        </w:tc>
        <w:tc>
          <w:tcPr>
            <w:tcW w:w="22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4,615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(949,02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700" w:type="dxa"/>
            <w:vAlign w:val="bottom"/>
          </w:tcPr>
          <w:p>
            <w:pPr>
              <w:ind w:left="20"/>
              <w:spacing w:after="0"/>
              <w:rPr>
                <w:sz w:val="20"/>
                <w:szCs w:val="20"/>
                <w:color w:val="auto"/>
              </w:rPr>
            </w:pPr>
            <w:r>
              <w:rPr>
                <w:rFonts w:ascii="Arial" w:cs="Arial" w:eastAsia="Arial" w:hAnsi="Arial"/>
                <w:sz w:val="14"/>
                <w:szCs w:val="14"/>
                <w:color w:val="auto"/>
              </w:rPr>
              <w:t>Repurchases of common stock</w:t>
            </w:r>
          </w:p>
        </w:tc>
        <w:tc>
          <w:tcPr>
            <w:tcW w:w="100" w:type="dxa"/>
            <w:vAlign w:val="bottom"/>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0 )</w:t>
            </w:r>
          </w:p>
        </w:tc>
        <w:tc>
          <w:tcPr>
            <w:tcW w:w="12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w w:val="95"/>
              </w:rPr>
              <w:t>(7,612 )</w:t>
            </w:r>
          </w:p>
        </w:tc>
        <w:tc>
          <w:tcPr>
            <w:tcW w:w="100" w:type="dxa"/>
            <w:vAlign w:val="bottom"/>
          </w:tcPr>
          <w:p>
            <w:pPr>
              <w:spacing w:after="0"/>
              <w:rPr>
                <w:sz w:val="15"/>
                <w:szCs w:val="15"/>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(7,612 )</w:t>
            </w:r>
          </w:p>
        </w:tc>
        <w:tc>
          <w:tcPr>
            <w:tcW w:w="0" w:type="dxa"/>
            <w:vAlign w:val="bottom"/>
          </w:tcPr>
          <w:p>
            <w:pPr>
              <w:spacing w:after="0"/>
              <w:rPr>
                <w:sz w:val="1"/>
                <w:szCs w:val="1"/>
                <w:color w:val="auto"/>
              </w:rPr>
            </w:pPr>
          </w:p>
        </w:tc>
      </w:tr>
      <w:tr>
        <w:trPr>
          <w:trHeight w:val="32"/>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Distributons to non-controlling interest</w:t>
            </w:r>
          </w:p>
        </w:tc>
        <w:tc>
          <w:tcPr>
            <w:tcW w:w="10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(3,816 )</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2700" w:type="dxa"/>
            <w:vAlign w:val="bottom"/>
          </w:tcPr>
          <w:p>
            <w:pPr>
              <w:ind w:left="20"/>
              <w:spacing w:after="0"/>
              <w:rPr>
                <w:sz w:val="20"/>
                <w:szCs w:val="20"/>
                <w:color w:val="auto"/>
              </w:rPr>
            </w:pPr>
            <w:r>
              <w:rPr>
                <w:rFonts w:ascii="Arial" w:cs="Arial" w:eastAsia="Arial" w:hAnsi="Arial"/>
                <w:sz w:val="14"/>
                <w:szCs w:val="14"/>
                <w:color w:val="auto"/>
              </w:rPr>
              <w:t>Subsequent remeasurement of</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(24,1</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700" w:type="dxa"/>
            <w:vAlign w:val="bottom"/>
          </w:tcPr>
          <w:p>
            <w:pPr>
              <w:ind w:left="20"/>
              <w:spacing w:after="0"/>
              <w:rPr>
                <w:sz w:val="20"/>
                <w:szCs w:val="20"/>
                <w:color w:val="auto"/>
              </w:rPr>
            </w:pPr>
            <w:r>
              <w:rPr>
                <w:rFonts w:ascii="Arial" w:cs="Arial" w:eastAsia="Arial" w:hAnsi="Arial"/>
                <w:sz w:val="14"/>
                <w:szCs w:val="14"/>
                <w:color w:val="auto"/>
              </w:rPr>
              <w:t>Redeemable noncontrolling interests</w:t>
            </w: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24,155</w:t>
            </w: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55 )</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w w:val="92"/>
              </w:rPr>
              <w:t>(24,155 )</w:t>
            </w:r>
          </w:p>
        </w:tc>
        <w:tc>
          <w:tcPr>
            <w:tcW w:w="0" w:type="dxa"/>
            <w:vAlign w:val="bottom"/>
          </w:tcPr>
          <w:p>
            <w:pPr>
              <w:spacing w:after="0"/>
              <w:rPr>
                <w:sz w:val="1"/>
                <w:szCs w:val="1"/>
                <w:color w:val="auto"/>
              </w:rPr>
            </w:pPr>
          </w:p>
        </w:tc>
      </w:tr>
      <w:tr>
        <w:trPr>
          <w:trHeight w:val="165"/>
        </w:trPr>
        <w:tc>
          <w:tcPr>
            <w:tcW w:w="270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901,86</w:t>
            </w:r>
          </w:p>
        </w:tc>
        <w:tc>
          <w:tcPr>
            <w:tcW w:w="240" w:type="dxa"/>
            <w:vAlign w:val="bottom"/>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82,902,</w:t>
            </w:r>
          </w:p>
        </w:tc>
        <w:tc>
          <w:tcPr>
            <w:tcW w:w="24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118,20</w:t>
            </w:r>
          </w:p>
        </w:tc>
        <w:tc>
          <w:tcPr>
            <w:tcW w:w="24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96"/>
              </w:rPr>
              <w:t>644,7</w:t>
            </w:r>
          </w:p>
        </w:tc>
        <w:tc>
          <w:tcPr>
            <w:tcW w:w="220" w:type="dxa"/>
            <w:vAlign w:val="bottom"/>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(5,291,</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(40,10</w:t>
            </w:r>
          </w:p>
        </w:tc>
        <w:tc>
          <w:tcPr>
            <w:tcW w:w="2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4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(1,001</w:t>
            </w:r>
          </w:p>
        </w:tc>
        <w:tc>
          <w:tcPr>
            <w:tcW w:w="22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(397,2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Balances at March 31, 2023</w:t>
            </w:r>
          </w:p>
        </w:tc>
        <w:tc>
          <w:tcPr>
            <w:tcW w:w="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w w:val="76"/>
              </w:rPr>
              <w:t>$</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6</w:t>
            </w:r>
          </w:p>
        </w:tc>
        <w:tc>
          <w:tcPr>
            <w:tcW w:w="24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276</w:t>
            </w:r>
          </w:p>
        </w:tc>
        <w:tc>
          <w:tcPr>
            <w:tcW w:w="46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9</w:t>
            </w: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b w:val="1"/>
                <w:bCs w:val="1"/>
                <w:color w:val="auto"/>
              </w:rPr>
              <w:t>0,000</w:t>
            </w:r>
          </w:p>
        </w:tc>
        <w:tc>
          <w:tcPr>
            <w:tcW w:w="2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12</w:t>
            </w:r>
          </w:p>
        </w:tc>
        <w:tc>
          <w:tcPr>
            <w:tcW w:w="2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59</w:t>
            </w:r>
          </w:p>
        </w:tc>
        <w:tc>
          <w:tcPr>
            <w:tcW w:w="22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b w:val="1"/>
                <w:bCs w:val="1"/>
                <w:color w:val="auto"/>
              </w:rPr>
              <w:t>497 )</w:t>
            </w:r>
          </w:p>
        </w:tc>
        <w:tc>
          <w:tcPr>
            <w:tcW w:w="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b w:val="1"/>
                <w:bCs w:val="1"/>
                <w:color w:val="auto"/>
              </w:rPr>
              <w:t>6 )</w:t>
            </w:r>
          </w:p>
        </w:tc>
        <w:tc>
          <w:tcPr>
            <w:tcW w:w="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b w:val="1"/>
                <w:bCs w:val="1"/>
                <w:color w:val="auto"/>
              </w:rPr>
              <w:t>,950 )</w:t>
            </w:r>
          </w:p>
        </w:tc>
        <w:tc>
          <w:tcPr>
            <w:tcW w:w="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4"/>
                <w:szCs w:val="14"/>
                <w:b w:val="1"/>
                <w:bCs w:val="1"/>
                <w:color w:val="auto"/>
              </w:rPr>
              <w:t>76 )</w:t>
            </w:r>
          </w:p>
        </w:tc>
        <w:tc>
          <w:tcPr>
            <w:tcW w:w="0" w:type="dxa"/>
            <w:vAlign w:val="bottom"/>
          </w:tcPr>
          <w:p>
            <w:pPr>
              <w:spacing w:after="0"/>
              <w:rPr>
                <w:sz w:val="1"/>
                <w:szCs w:val="1"/>
                <w:color w:val="auto"/>
              </w:rPr>
            </w:pPr>
          </w:p>
        </w:tc>
      </w:tr>
      <w:tr>
        <w:trPr>
          <w:trHeight w:val="182"/>
        </w:trPr>
        <w:tc>
          <w:tcPr>
            <w:tcW w:w="27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7,614</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7"/>
              </w:rPr>
              <w:t>30,712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30,712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309,52</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Issuance of shares</w:t>
            </w:r>
          </w:p>
        </w:tc>
        <w:tc>
          <w:tcPr>
            <w:tcW w:w="10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9</w:t>
            </w:r>
          </w:p>
        </w:tc>
        <w:tc>
          <w:tcPr>
            <w:tcW w:w="2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shd w:val="clear" w:color="auto" w:fill="CFF0FC"/>
          </w:tcPr>
          <w:p>
            <w:pPr>
              <w:spacing w:after="0"/>
              <w:rPr>
                <w:sz w:val="16"/>
                <w:szCs w:val="16"/>
                <w:color w:val="auto"/>
              </w:rPr>
            </w:pPr>
          </w:p>
        </w:tc>
        <w:tc>
          <w:tcPr>
            <w:tcW w:w="68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700" w:type="dxa"/>
            <w:vAlign w:val="bottom"/>
          </w:tcPr>
          <w:p>
            <w:pPr>
              <w:ind w:left="20"/>
              <w:spacing w:after="0"/>
              <w:rPr>
                <w:sz w:val="20"/>
                <w:szCs w:val="20"/>
                <w:color w:val="auto"/>
              </w:rPr>
            </w:pPr>
            <w:r>
              <w:rPr>
                <w:rFonts w:ascii="Arial" w:cs="Arial" w:eastAsia="Arial" w:hAnsi="Arial"/>
                <w:sz w:val="14"/>
                <w:szCs w:val="14"/>
                <w:color w:val="auto"/>
              </w:rPr>
              <w:t>Deemed contributon from former parent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544</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431</w:t>
            </w:r>
          </w:p>
        </w:tc>
        <w:tc>
          <w:tcPr>
            <w:tcW w:w="22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Secondary Ofering of Class A common</w:t>
            </w: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(145,06</w:t>
            </w: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18,400,</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(18,400</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145,0</w:t>
            </w:r>
          </w:p>
        </w:tc>
        <w:tc>
          <w:tcPr>
            <w:tcW w:w="2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145,06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stock</w:t>
            </w:r>
          </w:p>
        </w:tc>
        <w:tc>
          <w:tcPr>
            <w:tcW w:w="10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4 )</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000</w:t>
            </w:r>
          </w:p>
        </w:tc>
        <w:tc>
          <w:tcPr>
            <w:tcW w:w="2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100" w:type="dxa"/>
            <w:vAlign w:val="bottom"/>
            <w:tcBorders>
              <w:bottom w:val="single" w:sz="8" w:color="CFF0FC"/>
            </w:tcBorders>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,000 )</w:t>
            </w:r>
          </w:p>
        </w:tc>
        <w:tc>
          <w:tcPr>
            <w:tcW w:w="22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(2 )</w:t>
            </w:r>
          </w:p>
        </w:tc>
        <w:tc>
          <w:tcPr>
            <w:tcW w:w="10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64</w:t>
            </w:r>
          </w:p>
        </w:tc>
        <w:tc>
          <w:tcPr>
            <w:tcW w:w="22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shd w:val="clear" w:color="auto" w:fill="CFF0FC"/>
          </w:tcPr>
          <w:p>
            <w:pPr>
              <w:spacing w:after="0"/>
              <w:rPr>
                <w:sz w:val="16"/>
                <w:szCs w:val="16"/>
                <w:color w:val="auto"/>
              </w:rPr>
            </w:pPr>
          </w:p>
        </w:tc>
        <w:tc>
          <w:tcPr>
            <w:tcW w:w="68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700" w:type="dxa"/>
            <w:vAlign w:val="bottom"/>
          </w:tcPr>
          <w:p>
            <w:pPr>
              <w:ind w:left="20"/>
              <w:spacing w:after="0"/>
              <w:rPr>
                <w:sz w:val="20"/>
                <w:szCs w:val="20"/>
                <w:color w:val="auto"/>
              </w:rPr>
            </w:pPr>
            <w:r>
              <w:rPr>
                <w:rFonts w:ascii="Arial" w:cs="Arial" w:eastAsia="Arial" w:hAnsi="Arial"/>
                <w:sz w:val="14"/>
                <w:szCs w:val="14"/>
                <w:color w:val="auto"/>
              </w:rPr>
              <w:t>Equity-based compensaton</w:t>
            </w:r>
          </w:p>
        </w:tc>
        <w:tc>
          <w:tcPr>
            <w:tcW w:w="100" w:type="dxa"/>
            <w:vAlign w:val="bottom"/>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96"/>
              </w:rPr>
              <w:t>6,524</w:t>
            </w:r>
          </w:p>
        </w:tc>
        <w:tc>
          <w:tcPr>
            <w:tcW w:w="22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6,524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Distributons to non-controlling interest</w:t>
            </w:r>
          </w:p>
        </w:tc>
        <w:tc>
          <w:tcPr>
            <w:tcW w:w="10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(7,200 )</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2700" w:type="dxa"/>
            <w:vAlign w:val="bottom"/>
          </w:tcPr>
          <w:p>
            <w:pPr>
              <w:ind w:left="20"/>
              <w:spacing w:after="0"/>
              <w:rPr>
                <w:sz w:val="20"/>
                <w:szCs w:val="20"/>
                <w:color w:val="auto"/>
              </w:rPr>
            </w:pPr>
            <w:r>
              <w:rPr>
                <w:rFonts w:ascii="Arial" w:cs="Arial" w:eastAsia="Arial" w:hAnsi="Arial"/>
                <w:sz w:val="14"/>
                <w:szCs w:val="14"/>
                <w:color w:val="auto"/>
              </w:rPr>
              <w:t>Subsequent remeasurement of</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(32,6</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700" w:type="dxa"/>
            <w:vAlign w:val="bottom"/>
          </w:tcPr>
          <w:p>
            <w:pPr>
              <w:ind w:left="20"/>
              <w:spacing w:after="0"/>
              <w:rPr>
                <w:sz w:val="20"/>
                <w:szCs w:val="20"/>
                <w:color w:val="auto"/>
              </w:rPr>
            </w:pPr>
            <w:r>
              <w:rPr>
                <w:rFonts w:ascii="Arial" w:cs="Arial" w:eastAsia="Arial" w:hAnsi="Arial"/>
                <w:sz w:val="14"/>
                <w:szCs w:val="14"/>
                <w:color w:val="auto"/>
              </w:rPr>
              <w:t>Redeemable noncontrolling interests</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32,656</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56 )</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w w:val="92"/>
              </w:rPr>
              <w:t>(32,656 )</w:t>
            </w:r>
          </w:p>
        </w:tc>
        <w:tc>
          <w:tcPr>
            <w:tcW w:w="0" w:type="dxa"/>
            <w:vAlign w:val="bottom"/>
          </w:tcPr>
          <w:p>
            <w:pPr>
              <w:spacing w:after="0"/>
              <w:rPr>
                <w:sz w:val="1"/>
                <w:szCs w:val="1"/>
                <w:color w:val="auto"/>
              </w:rPr>
            </w:pPr>
          </w:p>
        </w:tc>
      </w:tr>
      <w:tr>
        <w:trPr>
          <w:trHeight w:val="32"/>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Establishment of liabilites under Tax</w:t>
            </w: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(46,1</w:t>
            </w:r>
          </w:p>
        </w:tc>
        <w:tc>
          <w:tcPr>
            <w:tcW w:w="2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ind w:left="20"/>
              <w:spacing w:after="0"/>
              <w:rPr>
                <w:sz w:val="20"/>
                <w:szCs w:val="20"/>
                <w:color w:val="auto"/>
              </w:rPr>
            </w:pPr>
            <w:r>
              <w:rPr>
                <w:rFonts w:ascii="Arial" w:cs="Arial" w:eastAsia="Arial" w:hAnsi="Arial"/>
                <w:sz w:val="14"/>
                <w:szCs w:val="14"/>
                <w:color w:val="auto"/>
                <w:w w:val="98"/>
              </w:rPr>
              <w:t>Receivable Agreement, net of tax and other</w:t>
            </w: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tax impact of Secondary Ofering (Note 16)</w:t>
            </w: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32 )</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w w:val="92"/>
              </w:rPr>
              <w:t>(46,132 )</w:t>
            </w:r>
          </w:p>
        </w:tc>
        <w:tc>
          <w:tcPr>
            <w:tcW w:w="0" w:type="dxa"/>
            <w:vAlign w:val="bottom"/>
          </w:tcPr>
          <w:p>
            <w:pPr>
              <w:spacing w:after="0"/>
              <w:rPr>
                <w:sz w:val="1"/>
                <w:szCs w:val="1"/>
                <w:color w:val="auto"/>
              </w:rPr>
            </w:pPr>
          </w:p>
        </w:tc>
      </w:tr>
      <w:tr>
        <w:trPr>
          <w:trHeight w:val="165"/>
        </w:trPr>
        <w:tc>
          <w:tcPr>
            <w:tcW w:w="270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790,41</w:t>
            </w:r>
          </w:p>
        </w:tc>
        <w:tc>
          <w:tcPr>
            <w:tcW w:w="240" w:type="dxa"/>
            <w:vAlign w:val="bottom"/>
            <w:tcBorders>
              <w:top w:val="single" w:sz="8" w:color="CFF0FC"/>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101,61</w:t>
            </w:r>
          </w:p>
        </w:tc>
        <w:tc>
          <w:tcPr>
            <w:tcW w:w="24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99,800,</w:t>
            </w:r>
          </w:p>
        </w:tc>
        <w:tc>
          <w:tcPr>
            <w:tcW w:w="24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717,9</w:t>
            </w:r>
          </w:p>
        </w:tc>
        <w:tc>
          <w:tcPr>
            <w:tcW w:w="220" w:type="dxa"/>
            <w:vAlign w:val="bottom"/>
            <w:tcBorders>
              <w:top w:val="single" w:sz="8" w:color="CFF0FC"/>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(5,291,</w:t>
            </w: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(40,10</w:t>
            </w:r>
          </w:p>
        </w:tc>
        <w:tc>
          <w:tcPr>
            <w:tcW w:w="22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(971,2</w:t>
            </w:r>
          </w:p>
        </w:tc>
        <w:tc>
          <w:tcPr>
            <w:tcW w:w="220" w:type="dxa"/>
            <w:vAlign w:val="bottom"/>
            <w:tcBorders>
              <w:top w:val="single" w:sz="8" w:color="CFF0FC"/>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(293,3</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Balances at June 30, 2023</w:t>
            </w:r>
          </w:p>
        </w:tc>
        <w:tc>
          <w:tcPr>
            <w:tcW w:w="100" w:type="dxa"/>
            <w:vAlign w:val="bottom"/>
          </w:tcPr>
          <w:p>
            <w:pPr>
              <w:ind w:left="20"/>
              <w:spacing w:after="0"/>
              <w:rPr>
                <w:sz w:val="20"/>
                <w:szCs w:val="20"/>
                <w:color w:val="auto"/>
              </w:rPr>
            </w:pPr>
            <w:r>
              <w:rPr>
                <w:rFonts w:ascii="Arial" w:cs="Arial" w:eastAsia="Arial" w:hAnsi="Arial"/>
                <w:sz w:val="14"/>
                <w:szCs w:val="14"/>
                <w:b w:val="1"/>
                <w:bCs w:val="1"/>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1,805</w:t>
            </w:r>
          </w:p>
        </w:tc>
        <w:tc>
          <w:tcPr>
            <w:tcW w:w="460" w:type="dxa"/>
            <w:vAlign w:val="bottom"/>
            <w:gridSpan w:val="2"/>
          </w:tcPr>
          <w:p>
            <w:pPr>
              <w:ind w:left="2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000</w:t>
            </w:r>
          </w:p>
        </w:tc>
        <w:tc>
          <w:tcPr>
            <w:tcW w:w="240" w:type="dxa"/>
            <w:vAlign w:val="bottom"/>
          </w:tcPr>
          <w:p>
            <w:pPr>
              <w:spacing w:after="0"/>
              <w:rPr>
                <w:sz w:val="15"/>
                <w:szCs w:val="15"/>
                <w:color w:val="auto"/>
              </w:rPr>
            </w:pPr>
          </w:p>
        </w:tc>
        <w:tc>
          <w:tcPr>
            <w:tcW w:w="220" w:type="dxa"/>
            <w:vAlign w:val="bottom"/>
          </w:tcPr>
          <w:p>
            <w:pPr>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22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90</w:t>
            </w:r>
          </w:p>
        </w:tc>
        <w:tc>
          <w:tcPr>
            <w:tcW w:w="2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497 )</w:t>
            </w: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6 )</w:t>
            </w:r>
          </w:p>
        </w:tc>
        <w:tc>
          <w:tcPr>
            <w:tcW w:w="100" w:type="dxa"/>
            <w:vAlign w:val="bottom"/>
          </w:tcPr>
          <w:p>
            <w:pPr>
              <w:ind w:left="20"/>
              <w:spacing w:after="0"/>
              <w:rPr>
                <w:sz w:val="20"/>
                <w:szCs w:val="20"/>
                <w:color w:val="auto"/>
              </w:rPr>
            </w:pPr>
            <w:r>
              <w:rPr>
                <w:rFonts w:ascii="Arial" w:cs="Arial" w:eastAsia="Arial" w:hAnsi="Arial"/>
                <w:sz w:val="14"/>
                <w:szCs w:val="14"/>
                <w:b w:val="1"/>
                <w:bCs w:val="1"/>
                <w:color w:val="auto"/>
                <w:w w:val="76"/>
              </w:rPr>
              <w:t>$</w:t>
            </w: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0"/>
                <w:szCs w:val="20"/>
                <w:color w:val="auto"/>
              </w:rPr>
            </w:pPr>
            <w:r>
              <w:rPr>
                <w:rFonts w:ascii="Arial" w:cs="Arial" w:eastAsia="Arial" w:hAnsi="Arial"/>
                <w:sz w:val="14"/>
                <w:szCs w:val="14"/>
                <w:b w:val="1"/>
                <w:bCs w:val="1"/>
                <w:color w:val="auto"/>
                <w:w w:val="76"/>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38 )</w:t>
            </w:r>
          </w:p>
        </w:tc>
        <w:tc>
          <w:tcPr>
            <w:tcW w:w="80" w:type="dxa"/>
            <w:vAlign w:val="bottom"/>
          </w:tcPr>
          <w:p>
            <w:pPr>
              <w:spacing w:after="0"/>
              <w:rPr>
                <w:sz w:val="20"/>
                <w:szCs w:val="20"/>
                <w:color w:val="auto"/>
              </w:rPr>
            </w:pPr>
            <w:r>
              <w:rPr>
                <w:rFonts w:ascii="Arial" w:cs="Arial" w:eastAsia="Arial" w:hAnsi="Arial"/>
                <w:sz w:val="14"/>
                <w:szCs w:val="14"/>
                <w:b w:val="1"/>
                <w:bCs w:val="1"/>
                <w:color w:val="auto"/>
                <w:w w:val="76"/>
              </w:rPr>
              <w:t>$</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33 )</w:t>
            </w:r>
          </w:p>
        </w:tc>
        <w:tc>
          <w:tcPr>
            <w:tcW w:w="0" w:type="dxa"/>
            <w:vAlign w:val="bottom"/>
          </w:tcPr>
          <w:p>
            <w:pPr>
              <w:spacing w:after="0"/>
              <w:rPr>
                <w:sz w:val="1"/>
                <w:szCs w:val="1"/>
                <w:color w:val="auto"/>
              </w:rPr>
            </w:pPr>
          </w:p>
        </w:tc>
      </w:tr>
      <w:tr>
        <w:trPr>
          <w:trHeight w:val="30"/>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income</w:t>
            </w:r>
          </w:p>
        </w:tc>
        <w:tc>
          <w:tcPr>
            <w:tcW w:w="10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9,341</w:t>
            </w: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6,677</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6,677</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191,58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700" w:type="dxa"/>
            <w:vAlign w:val="bottom"/>
          </w:tcPr>
          <w:p>
            <w:pPr>
              <w:ind w:left="20"/>
              <w:spacing w:after="0"/>
              <w:rPr>
                <w:sz w:val="20"/>
                <w:szCs w:val="20"/>
                <w:color w:val="auto"/>
              </w:rPr>
            </w:pPr>
            <w:r>
              <w:rPr>
                <w:rFonts w:ascii="Arial" w:cs="Arial" w:eastAsia="Arial" w:hAnsi="Arial"/>
                <w:sz w:val="14"/>
                <w:szCs w:val="14"/>
                <w:color w:val="auto"/>
              </w:rPr>
              <w:t>Issuance of shares</w:t>
            </w:r>
          </w:p>
        </w:tc>
        <w:tc>
          <w:tcPr>
            <w:tcW w:w="100" w:type="dxa"/>
            <w:vAlign w:val="bottom"/>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7</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2"/>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Deemed contributon from former parent</w:t>
            </w:r>
          </w:p>
        </w:tc>
        <w:tc>
          <w:tcPr>
            <w:tcW w:w="10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498</w:t>
            </w: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481</w:t>
            </w:r>
          </w:p>
        </w:tc>
        <w:tc>
          <w:tcPr>
            <w:tcW w:w="22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481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700" w:type="dxa"/>
            <w:vAlign w:val="bottom"/>
          </w:tcPr>
          <w:p>
            <w:pPr>
              <w:ind w:left="20"/>
              <w:spacing w:after="0"/>
              <w:rPr>
                <w:sz w:val="20"/>
                <w:szCs w:val="20"/>
                <w:color w:val="auto"/>
              </w:rPr>
            </w:pPr>
            <w:r>
              <w:rPr>
                <w:rFonts w:ascii="Arial" w:cs="Arial" w:eastAsia="Arial" w:hAnsi="Arial"/>
                <w:sz w:val="14"/>
                <w:szCs w:val="14"/>
                <w:color w:val="auto"/>
              </w:rPr>
              <w:t>Equity-based compensaton</w:t>
            </w:r>
          </w:p>
        </w:tc>
        <w:tc>
          <w:tcPr>
            <w:tcW w:w="100" w:type="dxa"/>
            <w:vAlign w:val="bottom"/>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96"/>
              </w:rPr>
              <w:t>6,722</w:t>
            </w:r>
          </w:p>
        </w:tc>
        <w:tc>
          <w:tcPr>
            <w:tcW w:w="22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6,722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Other comprehensive loss</w:t>
            </w:r>
          </w:p>
        </w:tc>
        <w:tc>
          <w:tcPr>
            <w:tcW w:w="10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(208 )</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(166 )</w:t>
            </w:r>
          </w:p>
        </w:tc>
        <w:tc>
          <w:tcPr>
            <w:tcW w:w="8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(166 )</w:t>
            </w:r>
          </w:p>
        </w:tc>
        <w:tc>
          <w:tcPr>
            <w:tcW w:w="0" w:type="dxa"/>
            <w:vAlign w:val="bottom"/>
          </w:tcPr>
          <w:p>
            <w:pPr>
              <w:spacing w:after="0"/>
              <w:rPr>
                <w:sz w:val="1"/>
                <w:szCs w:val="1"/>
                <w:color w:val="auto"/>
              </w:rPr>
            </w:pPr>
          </w:p>
        </w:tc>
      </w:tr>
      <w:tr>
        <w:trPr>
          <w:trHeight w:val="165"/>
        </w:trPr>
        <w:tc>
          <w:tcPr>
            <w:tcW w:w="2700" w:type="dxa"/>
            <w:vAlign w:val="bottom"/>
          </w:tcPr>
          <w:p>
            <w:pPr>
              <w:ind w:left="20"/>
              <w:spacing w:after="0"/>
              <w:rPr>
                <w:sz w:val="20"/>
                <w:szCs w:val="20"/>
                <w:color w:val="auto"/>
              </w:rPr>
            </w:pPr>
            <w:r>
              <w:rPr>
                <w:rFonts w:ascii="Arial" w:cs="Arial" w:eastAsia="Arial" w:hAnsi="Arial"/>
                <w:sz w:val="14"/>
                <w:szCs w:val="14"/>
                <w:color w:val="auto"/>
              </w:rPr>
              <w:t>Subsequent remeasurement of</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6"/>
              </w:rPr>
              <w:t>(159,33</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96"/>
              </w:rPr>
              <w:t>159,3</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159,33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700" w:type="dxa"/>
            <w:vAlign w:val="bottom"/>
          </w:tcPr>
          <w:p>
            <w:pPr>
              <w:ind w:left="20"/>
              <w:spacing w:after="0"/>
              <w:rPr>
                <w:sz w:val="20"/>
                <w:szCs w:val="20"/>
                <w:color w:val="auto"/>
              </w:rPr>
            </w:pPr>
            <w:r>
              <w:rPr>
                <w:rFonts w:ascii="Arial" w:cs="Arial" w:eastAsia="Arial" w:hAnsi="Arial"/>
                <w:sz w:val="14"/>
                <w:szCs w:val="14"/>
                <w:color w:val="auto"/>
              </w:rPr>
              <w:t>Redeemable noncontrolling interests</w:t>
            </w:r>
          </w:p>
        </w:tc>
        <w:tc>
          <w:tcPr>
            <w:tcW w:w="10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0 )</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30</w:t>
            </w:r>
          </w:p>
        </w:tc>
        <w:tc>
          <w:tcPr>
            <w:tcW w:w="2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70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640,71</w:t>
            </w:r>
          </w:p>
        </w:tc>
        <w:tc>
          <w:tcPr>
            <w:tcW w:w="240" w:type="dxa"/>
            <w:vAlign w:val="bottom"/>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101,80</w:t>
            </w:r>
          </w:p>
        </w:tc>
        <w:tc>
          <w:tcPr>
            <w:tcW w:w="24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99,800,</w:t>
            </w:r>
          </w:p>
        </w:tc>
        <w:tc>
          <w:tcPr>
            <w:tcW w:w="24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96"/>
              </w:rPr>
              <w:t>884,5</w:t>
            </w:r>
          </w:p>
        </w:tc>
        <w:tc>
          <w:tcPr>
            <w:tcW w:w="220" w:type="dxa"/>
            <w:vAlign w:val="bottom"/>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(5,291,</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(40,10</w:t>
            </w:r>
          </w:p>
        </w:tc>
        <w:tc>
          <w:tcPr>
            <w:tcW w:w="2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4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(964,5</w:t>
            </w:r>
          </w:p>
        </w:tc>
        <w:tc>
          <w:tcPr>
            <w:tcW w:w="22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(120,2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7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Balances at September 30, 2023</w:t>
            </w:r>
          </w:p>
        </w:tc>
        <w:tc>
          <w:tcPr>
            <w:tcW w:w="1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w w:val="76"/>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7</w:t>
            </w:r>
          </w:p>
        </w:tc>
        <w:tc>
          <w:tcPr>
            <w:tcW w:w="2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3,392</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11</w:t>
            </w:r>
          </w:p>
        </w:tc>
        <w:tc>
          <w:tcPr>
            <w:tcW w:w="2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000</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10</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23</w:t>
            </w:r>
          </w:p>
        </w:tc>
        <w:tc>
          <w:tcPr>
            <w:tcW w:w="2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b w:val="1"/>
                <w:bCs w:val="1"/>
                <w:color w:val="auto"/>
              </w:rPr>
              <w:t>497 )</w:t>
            </w:r>
          </w:p>
        </w:tc>
        <w:tc>
          <w:tcPr>
            <w:tcW w:w="1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b w:val="1"/>
                <w:bCs w:val="1"/>
                <w:color w:val="auto"/>
              </w:rPr>
              <w:t>6 )</w:t>
            </w:r>
          </w:p>
        </w:tc>
        <w:tc>
          <w:tcPr>
            <w:tcW w:w="1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w w:val="76"/>
              </w:rPr>
              <w:t>$</w:t>
            </w: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b w:val="1"/>
                <w:bCs w:val="1"/>
                <w:color w:val="auto"/>
              </w:rPr>
              <w:t>(166 )</w:t>
            </w:r>
          </w:p>
        </w:tc>
        <w:tc>
          <w:tcPr>
            <w:tcW w:w="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w w:val="76"/>
              </w:rPr>
              <w:t>$</w:t>
            </w: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b w:val="1"/>
                <w:bCs w:val="1"/>
                <w:color w:val="auto"/>
              </w:rPr>
              <w:t>61 )</w:t>
            </w:r>
          </w:p>
        </w:tc>
        <w:tc>
          <w:tcPr>
            <w:tcW w:w="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w w:val="76"/>
              </w:rPr>
              <w:t>$</w:t>
            </w: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b w:val="1"/>
                <w:bCs w:val="1"/>
                <w:color w:val="auto"/>
              </w:rPr>
              <w:t>89 )</w:t>
            </w:r>
          </w:p>
        </w:tc>
        <w:tc>
          <w:tcPr>
            <w:tcW w:w="0" w:type="dxa"/>
            <w:vAlign w:val="bottom"/>
          </w:tcPr>
          <w:p>
            <w:pPr>
              <w:spacing w:after="0"/>
              <w:rPr>
                <w:sz w:val="1"/>
                <w:szCs w:val="1"/>
                <w:color w:val="auto"/>
              </w:rPr>
            </w:pPr>
          </w:p>
        </w:tc>
      </w:tr>
      <w:tr>
        <w:trPr>
          <w:trHeight w:val="20"/>
        </w:trPr>
        <w:tc>
          <w:tcPr>
            <w:tcW w:w="27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-1517015</wp:posOffset>
            </wp:positionV>
            <wp:extent cx="76835" cy="2489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24892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-1517015</wp:posOffset>
            </wp:positionV>
            <wp:extent cx="76835" cy="2489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24892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-1517015</wp:posOffset>
            </wp:positionV>
            <wp:extent cx="76835" cy="2489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24892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-1517015</wp:posOffset>
            </wp:positionV>
            <wp:extent cx="77470" cy="2489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24892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-1517015</wp:posOffset>
            </wp:positionV>
            <wp:extent cx="68580" cy="2489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24892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-1517015</wp:posOffset>
            </wp:positionV>
            <wp:extent cx="68580" cy="2489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24892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-1517015</wp:posOffset>
            </wp:positionV>
            <wp:extent cx="68580" cy="2489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24892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-1517015</wp:posOffset>
            </wp:positionV>
            <wp:extent cx="68580" cy="2489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24892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-1517015</wp:posOffset>
            </wp:positionV>
            <wp:extent cx="68580" cy="2489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248920"/>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-1517015</wp:posOffset>
            </wp:positionV>
            <wp:extent cx="68580" cy="2489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2489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-1517015</wp:posOffset>
            </wp:positionV>
            <wp:extent cx="68580" cy="2489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248920"/>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-25400</wp:posOffset>
            </wp:positionV>
            <wp:extent cx="768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-8255</wp:posOffset>
            </wp:positionV>
            <wp:extent cx="768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-25400</wp:posOffset>
            </wp:positionV>
            <wp:extent cx="768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-8255</wp:posOffset>
            </wp:positionV>
            <wp:extent cx="768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-25400</wp:posOffset>
            </wp:positionV>
            <wp:extent cx="768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-8255</wp:posOffset>
            </wp:positionV>
            <wp:extent cx="768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-25400</wp:posOffset>
            </wp:positionV>
            <wp:extent cx="774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-8255</wp:posOffset>
            </wp:positionV>
            <wp:extent cx="774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-25400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-8255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-25400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-8255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-25400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-8255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-25400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-8255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-25400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-8255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34" w:lineRule="exact"/>
        <w:rPr>
          <w:sz w:val="20"/>
          <w:szCs w:val="20"/>
          <w:color w:val="auto"/>
        </w:rPr>
      </w:pPr>
    </w:p>
    <w:p>
      <w:pPr>
        <w:ind w:left="830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33020</wp:posOffset>
            </wp:positionV>
            <wp:extent cx="227139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60" w:type="dxa"/>
            <w:vAlign w:val="bottom"/>
          </w:tcPr>
          <w:p>
            <w:pPr>
              <w:spacing w:after="0"/>
              <w:rPr>
                <w:sz w:val="15"/>
                <w:szCs w:val="15"/>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2023</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6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29"/>
        </w:trPr>
        <w:tc>
          <w:tcPr>
            <w:tcW w:w="75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fows from operatng actvites</w:t>
            </w:r>
          </w:p>
        </w:tc>
        <w:tc>
          <w:tcPr>
            <w:tcW w:w="10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2"/>
        </w:trPr>
        <w:tc>
          <w:tcPr>
            <w:tcW w:w="756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1060" w:type="dxa"/>
            <w:vAlign w:val="bottom"/>
          </w:tcPr>
          <w:p>
            <w:pPr>
              <w:jc w:val="right"/>
              <w:ind w:right="90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84,616</w:t>
            </w:r>
          </w:p>
        </w:tc>
        <w:tc>
          <w:tcPr>
            <w:tcW w:w="260" w:type="dxa"/>
            <w:vAlign w:val="bottom"/>
          </w:tcPr>
          <w:p>
            <w:pPr>
              <w:spacing w:after="0"/>
              <w:rPr>
                <w:sz w:val="15"/>
                <w:szCs w:val="15"/>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45,945</w:t>
            </w:r>
          </w:p>
        </w:tc>
        <w:tc>
          <w:tcPr>
            <w:tcW w:w="100" w:type="dxa"/>
            <w:vAlign w:val="bottom"/>
          </w:tcPr>
          <w:p>
            <w:pPr>
              <w:spacing w:after="0"/>
              <w:rPr>
                <w:sz w:val="15"/>
                <w:szCs w:val="15"/>
                <w:color w:val="auto"/>
              </w:rPr>
            </w:pPr>
          </w:p>
        </w:tc>
      </w:tr>
      <w:tr>
        <w:trPr>
          <w:trHeight w:val="21"/>
        </w:trPr>
        <w:tc>
          <w:tcPr>
            <w:tcW w:w="7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Adjustments to reconcile net income to net cash provided by operatng actvites:</w:t>
            </w:r>
          </w:p>
        </w:tc>
        <w:tc>
          <w:tcPr>
            <w:tcW w:w="10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2"/>
        </w:trPr>
        <w:tc>
          <w:tcPr>
            <w:tcW w:w="7560" w:type="dxa"/>
            <w:vAlign w:val="bottom"/>
          </w:tcPr>
          <w:p>
            <w:pPr>
              <w:ind w:left="120"/>
              <w:spacing w:after="0"/>
              <w:rPr>
                <w:sz w:val="20"/>
                <w:szCs w:val="20"/>
                <w:color w:val="auto"/>
              </w:rPr>
            </w:pPr>
            <w:r>
              <w:rPr>
                <w:rFonts w:ascii="Arial" w:cs="Arial" w:eastAsia="Arial" w:hAnsi="Arial"/>
                <w:sz w:val="14"/>
                <w:szCs w:val="14"/>
                <w:color w:val="auto"/>
              </w:rPr>
              <w:t>Depreciaton and amortzaton</w:t>
            </w:r>
          </w:p>
        </w:tc>
        <w:tc>
          <w:tcPr>
            <w:tcW w:w="10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8,603</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5,269</w:t>
            </w:r>
          </w:p>
        </w:tc>
        <w:tc>
          <w:tcPr>
            <w:tcW w:w="100" w:type="dxa"/>
            <w:vAlign w:val="bottom"/>
          </w:tcPr>
          <w:p>
            <w:pPr>
              <w:spacing w:after="0"/>
              <w:rPr>
                <w:sz w:val="15"/>
                <w:szCs w:val="15"/>
                <w:color w:val="auto"/>
              </w:rPr>
            </w:pPr>
          </w:p>
        </w:tc>
      </w:tr>
      <w:tr>
        <w:trPr>
          <w:trHeight w:val="21"/>
        </w:trPr>
        <w:tc>
          <w:tcPr>
            <w:tcW w:w="7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5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Amortzaton of leases</w:t>
            </w:r>
          </w:p>
        </w:tc>
        <w:tc>
          <w:tcPr>
            <w:tcW w:w="106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467</w:t>
            </w:r>
          </w:p>
        </w:tc>
        <w:tc>
          <w:tcPr>
            <w:tcW w:w="26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spacing w:after="0"/>
              <w:rPr>
                <w:sz w:val="15"/>
                <w:szCs w:val="15"/>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1,591</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2"/>
        </w:trPr>
        <w:tc>
          <w:tcPr>
            <w:tcW w:w="7560" w:type="dxa"/>
            <w:vAlign w:val="bottom"/>
          </w:tcPr>
          <w:p>
            <w:pPr>
              <w:ind w:left="120"/>
              <w:spacing w:after="0"/>
              <w:rPr>
                <w:sz w:val="20"/>
                <w:szCs w:val="20"/>
                <w:color w:val="auto"/>
              </w:rPr>
            </w:pPr>
            <w:r>
              <w:rPr>
                <w:rFonts w:ascii="Arial" w:cs="Arial" w:eastAsia="Arial" w:hAnsi="Arial"/>
                <w:sz w:val="14"/>
                <w:szCs w:val="14"/>
                <w:color w:val="auto"/>
              </w:rPr>
              <w:t>Amortzaton of deferred fnancing costs and interest rate cap</w:t>
            </w:r>
          </w:p>
        </w:tc>
        <w:tc>
          <w:tcPr>
            <w:tcW w:w="10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688</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819</w:t>
            </w:r>
          </w:p>
        </w:tc>
        <w:tc>
          <w:tcPr>
            <w:tcW w:w="100" w:type="dxa"/>
            <w:vAlign w:val="bottom"/>
          </w:tcPr>
          <w:p>
            <w:pPr>
              <w:spacing w:after="0"/>
              <w:rPr>
                <w:sz w:val="15"/>
                <w:szCs w:val="15"/>
                <w:color w:val="auto"/>
              </w:rPr>
            </w:pPr>
          </w:p>
        </w:tc>
      </w:tr>
      <w:tr>
        <w:trPr>
          <w:trHeight w:val="21"/>
        </w:trPr>
        <w:tc>
          <w:tcPr>
            <w:tcW w:w="7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5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Equity-based compensaton expense</w:t>
            </w:r>
          </w:p>
        </w:tc>
        <w:tc>
          <w:tcPr>
            <w:tcW w:w="106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20,488</w:t>
            </w:r>
          </w:p>
        </w:tc>
        <w:tc>
          <w:tcPr>
            <w:tcW w:w="26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spacing w:after="0"/>
              <w:rPr>
                <w:sz w:val="15"/>
                <w:szCs w:val="15"/>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13,982</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2"/>
        </w:trPr>
        <w:tc>
          <w:tcPr>
            <w:tcW w:w="7560" w:type="dxa"/>
            <w:vAlign w:val="bottom"/>
          </w:tcPr>
          <w:p>
            <w:pPr>
              <w:ind w:left="120"/>
              <w:spacing w:after="0"/>
              <w:rPr>
                <w:sz w:val="20"/>
                <w:szCs w:val="20"/>
                <w:color w:val="auto"/>
              </w:rPr>
            </w:pPr>
            <w:r>
              <w:rPr>
                <w:rFonts w:ascii="Arial" w:cs="Arial" w:eastAsia="Arial" w:hAnsi="Arial"/>
                <w:sz w:val="14"/>
                <w:szCs w:val="14"/>
                <w:color w:val="auto"/>
              </w:rPr>
              <w:t>Change in fair value of warrants</w:t>
            </w:r>
          </w:p>
        </w:tc>
        <w:tc>
          <w:tcPr>
            <w:tcW w:w="1060" w:type="dxa"/>
            <w:vAlign w:val="bottom"/>
          </w:tcPr>
          <w:p>
            <w:pPr>
              <w:spacing w:after="0"/>
              <w:rPr>
                <w:sz w:val="15"/>
                <w:szCs w:val="15"/>
                <w:color w:val="auto"/>
              </w:rPr>
            </w:pPr>
          </w:p>
        </w:tc>
        <w:tc>
          <w:tcPr>
            <w:tcW w:w="860" w:type="dxa"/>
            <w:vAlign w:val="bottom"/>
            <w:gridSpan w:val="2"/>
          </w:tcPr>
          <w:p>
            <w:pPr>
              <w:jc w:val="right"/>
              <w:ind w:right="128"/>
              <w:spacing w:after="0"/>
              <w:rPr>
                <w:sz w:val="20"/>
                <w:szCs w:val="20"/>
                <w:color w:val="auto"/>
              </w:rPr>
            </w:pPr>
            <w:r>
              <w:rPr>
                <w:rFonts w:ascii="Arial" w:cs="Arial" w:eastAsia="Arial" w:hAnsi="Arial"/>
                <w:sz w:val="14"/>
                <w:szCs w:val="14"/>
                <w:color w:val="auto"/>
              </w:rPr>
              <w:t>(991 )</w:t>
            </w:r>
          </w:p>
        </w:tc>
        <w:tc>
          <w:tcPr>
            <w:tcW w:w="38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(6,618 )</w:t>
            </w:r>
          </w:p>
        </w:tc>
      </w:tr>
      <w:tr>
        <w:trPr>
          <w:trHeight w:val="21"/>
        </w:trPr>
        <w:tc>
          <w:tcPr>
            <w:tcW w:w="7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r>
      <w:tr>
        <w:trPr>
          <w:trHeight w:val="183"/>
        </w:trPr>
        <w:tc>
          <w:tcPr>
            <w:tcW w:w="75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Change in fair value of derivatve asset</w:t>
            </w:r>
          </w:p>
        </w:tc>
        <w:tc>
          <w:tcPr>
            <w:tcW w:w="106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83</w:t>
            </w:r>
          </w:p>
        </w:tc>
        <w:tc>
          <w:tcPr>
            <w:tcW w:w="26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spacing w:after="0"/>
              <w:rPr>
                <w:sz w:val="15"/>
                <w:szCs w:val="15"/>
                <w:color w:val="auto"/>
              </w:rPr>
            </w:pPr>
          </w:p>
        </w:tc>
        <w:tc>
          <w:tcPr>
            <w:tcW w:w="1380" w:type="dxa"/>
            <w:vAlign w:val="bottom"/>
            <w:tcBorders>
              <w:bottom w:val="single" w:sz="8" w:color="CFF0FC"/>
            </w:tcBorders>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82"/>
        </w:trPr>
        <w:tc>
          <w:tcPr>
            <w:tcW w:w="7560" w:type="dxa"/>
            <w:vAlign w:val="bottom"/>
          </w:tcPr>
          <w:p>
            <w:pPr>
              <w:ind w:left="120"/>
              <w:spacing w:after="0"/>
              <w:rPr>
                <w:sz w:val="20"/>
                <w:szCs w:val="20"/>
                <w:color w:val="auto"/>
              </w:rPr>
            </w:pPr>
            <w:r>
              <w:rPr>
                <w:rFonts w:ascii="Arial" w:cs="Arial" w:eastAsia="Arial" w:hAnsi="Arial"/>
                <w:sz w:val="14"/>
                <w:szCs w:val="14"/>
                <w:color w:val="auto"/>
              </w:rPr>
              <w:t>Change in fair value of contngent consideraton</w:t>
            </w:r>
          </w:p>
        </w:tc>
        <w:tc>
          <w:tcPr>
            <w:tcW w:w="1060" w:type="dxa"/>
            <w:vAlign w:val="bottom"/>
          </w:tcPr>
          <w:p>
            <w:pPr>
              <w:spacing w:after="0"/>
              <w:rPr>
                <w:sz w:val="15"/>
                <w:szCs w:val="15"/>
                <w:color w:val="auto"/>
              </w:rPr>
            </w:pPr>
          </w:p>
        </w:tc>
        <w:tc>
          <w:tcPr>
            <w:tcW w:w="860" w:type="dxa"/>
            <w:vAlign w:val="bottom"/>
            <w:gridSpan w:val="2"/>
          </w:tcPr>
          <w:p>
            <w:pPr>
              <w:jc w:val="right"/>
              <w:ind w:right="128"/>
              <w:spacing w:after="0"/>
              <w:rPr>
                <w:sz w:val="20"/>
                <w:szCs w:val="20"/>
                <w:color w:val="auto"/>
              </w:rPr>
            </w:pPr>
            <w:r>
              <w:rPr>
                <w:rFonts w:ascii="Arial" w:cs="Arial" w:eastAsia="Arial" w:hAnsi="Arial"/>
                <w:sz w:val="14"/>
                <w:szCs w:val="14"/>
                <w:color w:val="auto"/>
              </w:rPr>
              <w:t>(998 )</w:t>
            </w:r>
          </w:p>
        </w:tc>
        <w:tc>
          <w:tcPr>
            <w:tcW w:w="38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(1,220 )</w:t>
            </w:r>
          </w:p>
        </w:tc>
      </w:tr>
      <w:tr>
        <w:trPr>
          <w:trHeight w:val="21"/>
        </w:trPr>
        <w:tc>
          <w:tcPr>
            <w:tcW w:w="7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5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Loss on extnguishment of debt</w:t>
            </w:r>
          </w:p>
        </w:tc>
        <w:tc>
          <w:tcPr>
            <w:tcW w:w="106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FF0FC"/>
            </w:tcBorders>
            <w:shd w:val="clear" w:color="auto" w:fill="CFF0FC"/>
          </w:tcPr>
          <w:p>
            <w:pPr>
              <w:spacing w:after="0"/>
              <w:rPr>
                <w:sz w:val="15"/>
                <w:szCs w:val="15"/>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4,285</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2"/>
        </w:trPr>
        <w:tc>
          <w:tcPr>
            <w:tcW w:w="7560" w:type="dxa"/>
            <w:vAlign w:val="bottom"/>
          </w:tcPr>
          <w:p>
            <w:pPr>
              <w:ind w:left="120"/>
              <w:spacing w:after="0"/>
              <w:rPr>
                <w:sz w:val="20"/>
                <w:szCs w:val="20"/>
                <w:color w:val="auto"/>
              </w:rPr>
            </w:pPr>
            <w:r>
              <w:rPr>
                <w:rFonts w:ascii="Arial" w:cs="Arial" w:eastAsia="Arial" w:hAnsi="Arial"/>
                <w:sz w:val="14"/>
                <w:szCs w:val="14"/>
                <w:color w:val="auto"/>
              </w:rPr>
              <w:t>Loss on asset disposals</w:t>
            </w:r>
          </w:p>
        </w:tc>
        <w:tc>
          <w:tcPr>
            <w:tcW w:w="10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51</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5"/>
                <w:szCs w:val="15"/>
                <w:color w:val="auto"/>
              </w:rPr>
            </w:pPr>
          </w:p>
        </w:tc>
      </w:tr>
      <w:tr>
        <w:trPr>
          <w:trHeight w:val="21"/>
        </w:trPr>
        <w:tc>
          <w:tcPr>
            <w:tcW w:w="7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r>
      <w:tr>
        <w:trPr>
          <w:trHeight w:val="183"/>
        </w:trPr>
        <w:tc>
          <w:tcPr>
            <w:tcW w:w="75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Deferred taxes</w:t>
            </w:r>
          </w:p>
        </w:tc>
        <w:tc>
          <w:tcPr>
            <w:tcW w:w="106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(22,678 )</w:t>
            </w:r>
          </w:p>
        </w:tc>
        <w:tc>
          <w:tcPr>
            <w:tcW w:w="380" w:type="dxa"/>
            <w:vAlign w:val="bottom"/>
            <w:tcBorders>
              <w:bottom w:val="single" w:sz="8" w:color="CFF0FC"/>
            </w:tcBorders>
            <w:shd w:val="clear" w:color="auto" w:fill="CFF0FC"/>
          </w:tcPr>
          <w:p>
            <w:pPr>
              <w:spacing w:after="0"/>
              <w:rPr>
                <w:sz w:val="15"/>
                <w:szCs w:val="15"/>
                <w:color w:val="auto"/>
              </w:rPr>
            </w:pPr>
          </w:p>
        </w:tc>
        <w:tc>
          <w:tcPr>
            <w:tcW w:w="1380" w:type="dxa"/>
            <w:vAlign w:val="bottom"/>
            <w:tcBorders>
              <w:bottom w:val="single" w:sz="8" w:color="CFF0FC"/>
            </w:tcBorders>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82"/>
        </w:trPr>
        <w:tc>
          <w:tcPr>
            <w:tcW w:w="7560" w:type="dxa"/>
            <w:vAlign w:val="bottom"/>
          </w:tcPr>
          <w:p>
            <w:pPr>
              <w:ind w:left="120"/>
              <w:spacing w:after="0"/>
              <w:rPr>
                <w:sz w:val="20"/>
                <w:szCs w:val="20"/>
                <w:color w:val="auto"/>
              </w:rPr>
            </w:pPr>
            <w:r>
              <w:rPr>
                <w:rFonts w:ascii="Arial" w:cs="Arial" w:eastAsia="Arial" w:hAnsi="Arial"/>
                <w:sz w:val="14"/>
                <w:szCs w:val="14"/>
                <w:color w:val="auto"/>
              </w:rPr>
              <w:t>Non-cash interest income</w:t>
            </w:r>
          </w:p>
        </w:tc>
        <w:tc>
          <w:tcPr>
            <w:tcW w:w="1060" w:type="dxa"/>
            <w:vAlign w:val="bottom"/>
          </w:tcPr>
          <w:p>
            <w:pPr>
              <w:spacing w:after="0"/>
              <w:rPr>
                <w:sz w:val="15"/>
                <w:szCs w:val="15"/>
                <w:color w:val="auto"/>
              </w:rPr>
            </w:pPr>
          </w:p>
        </w:tc>
        <w:tc>
          <w:tcPr>
            <w:tcW w:w="860" w:type="dxa"/>
            <w:vAlign w:val="bottom"/>
            <w:gridSpan w:val="2"/>
          </w:tcPr>
          <w:p>
            <w:pPr>
              <w:jc w:val="right"/>
              <w:ind w:right="128"/>
              <w:spacing w:after="0"/>
              <w:rPr>
                <w:sz w:val="20"/>
                <w:szCs w:val="20"/>
                <w:color w:val="auto"/>
              </w:rPr>
            </w:pPr>
            <w:r>
              <w:rPr>
                <w:rFonts w:ascii="Arial" w:cs="Arial" w:eastAsia="Arial" w:hAnsi="Arial"/>
                <w:sz w:val="14"/>
                <w:szCs w:val="14"/>
                <w:color w:val="auto"/>
              </w:rPr>
              <w:t>(125 )</w:t>
            </w:r>
          </w:p>
        </w:tc>
        <w:tc>
          <w:tcPr>
            <w:tcW w:w="380" w:type="dxa"/>
            <w:vAlign w:val="bottom"/>
          </w:tcPr>
          <w:p>
            <w:pPr>
              <w:spacing w:after="0"/>
              <w:rPr>
                <w:sz w:val="15"/>
                <w:szCs w:val="15"/>
                <w:color w:val="auto"/>
              </w:rPr>
            </w:pPr>
          </w:p>
        </w:tc>
        <w:tc>
          <w:tcPr>
            <w:tcW w:w="13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21"/>
        </w:trPr>
        <w:tc>
          <w:tcPr>
            <w:tcW w:w="7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r>
      <w:tr>
        <w:trPr>
          <w:trHeight w:val="183"/>
        </w:trPr>
        <w:tc>
          <w:tcPr>
            <w:tcW w:w="75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Foreign currency revaluaton losses</w:t>
            </w:r>
          </w:p>
        </w:tc>
        <w:tc>
          <w:tcPr>
            <w:tcW w:w="106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542</w:t>
            </w:r>
          </w:p>
        </w:tc>
        <w:tc>
          <w:tcPr>
            <w:tcW w:w="26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spacing w:after="0"/>
              <w:rPr>
                <w:sz w:val="15"/>
                <w:szCs w:val="15"/>
                <w:color w:val="auto"/>
              </w:rPr>
            </w:pPr>
          </w:p>
        </w:tc>
        <w:tc>
          <w:tcPr>
            <w:tcW w:w="1380" w:type="dxa"/>
            <w:vAlign w:val="bottom"/>
            <w:tcBorders>
              <w:bottom w:val="single" w:sz="8" w:color="CFF0FC"/>
            </w:tcBorders>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93"/>
        </w:trPr>
        <w:tc>
          <w:tcPr>
            <w:tcW w:w="7560" w:type="dxa"/>
            <w:vAlign w:val="bottom"/>
          </w:tcPr>
          <w:p>
            <w:pPr>
              <w:ind w:left="20"/>
              <w:spacing w:after="0"/>
              <w:rPr>
                <w:sz w:val="20"/>
                <w:szCs w:val="20"/>
                <w:color w:val="auto"/>
              </w:rPr>
            </w:pPr>
            <w:r>
              <w:rPr>
                <w:rFonts w:ascii="Arial" w:cs="Arial" w:eastAsia="Arial" w:hAnsi="Arial"/>
                <w:sz w:val="14"/>
                <w:szCs w:val="14"/>
                <w:b w:val="1"/>
                <w:bCs w:val="1"/>
                <w:color w:val="auto"/>
              </w:rPr>
              <w:t>Change in assets and liabilites:</w:t>
            </w:r>
          </w:p>
        </w:tc>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2"/>
        </w:trPr>
        <w:tc>
          <w:tcPr>
            <w:tcW w:w="75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Accounts receivable</w:t>
            </w:r>
          </w:p>
        </w:tc>
        <w:tc>
          <w:tcPr>
            <w:tcW w:w="106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(26,147 )</w:t>
            </w:r>
          </w:p>
        </w:tc>
        <w:tc>
          <w:tcPr>
            <w:tcW w:w="380" w:type="dxa"/>
            <w:vAlign w:val="bottom"/>
            <w:tcBorders>
              <w:bottom w:val="single" w:sz="8" w:color="CFF0FC"/>
            </w:tcBorders>
            <w:shd w:val="clear" w:color="auto" w:fill="CFF0FC"/>
          </w:tcPr>
          <w:p>
            <w:pPr>
              <w:spacing w:after="0"/>
              <w:rPr>
                <w:sz w:val="16"/>
                <w:szCs w:val="16"/>
                <w:color w:val="auto"/>
              </w:rPr>
            </w:pPr>
          </w:p>
        </w:tc>
        <w:tc>
          <w:tcPr>
            <w:tcW w:w="13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(4,292 )</w:t>
            </w:r>
          </w:p>
        </w:tc>
      </w:tr>
      <w:tr>
        <w:trPr>
          <w:trHeight w:val="182"/>
        </w:trPr>
        <w:tc>
          <w:tcPr>
            <w:tcW w:w="7560" w:type="dxa"/>
            <w:vAlign w:val="bottom"/>
          </w:tcPr>
          <w:p>
            <w:pPr>
              <w:ind w:left="120"/>
              <w:spacing w:after="0"/>
              <w:rPr>
                <w:sz w:val="20"/>
                <w:szCs w:val="20"/>
                <w:color w:val="auto"/>
              </w:rPr>
            </w:pPr>
            <w:r>
              <w:rPr>
                <w:rFonts w:ascii="Arial" w:cs="Arial" w:eastAsia="Arial" w:hAnsi="Arial"/>
                <w:sz w:val="14"/>
                <w:szCs w:val="14"/>
                <w:color w:val="auto"/>
              </w:rPr>
              <w:t>Inventory</w:t>
            </w:r>
          </w:p>
        </w:tc>
        <w:tc>
          <w:tcPr>
            <w:tcW w:w="1060" w:type="dxa"/>
            <w:vAlign w:val="bottom"/>
          </w:tcPr>
          <w:p>
            <w:pPr>
              <w:spacing w:after="0"/>
              <w:rPr>
                <w:sz w:val="15"/>
                <w:szCs w:val="15"/>
                <w:color w:val="auto"/>
              </w:rPr>
            </w:pPr>
          </w:p>
        </w:tc>
        <w:tc>
          <w:tcPr>
            <w:tcW w:w="860" w:type="dxa"/>
            <w:vAlign w:val="bottom"/>
            <w:gridSpan w:val="2"/>
          </w:tcPr>
          <w:p>
            <w:pPr>
              <w:jc w:val="right"/>
              <w:ind w:right="128"/>
              <w:spacing w:after="0"/>
              <w:rPr>
                <w:sz w:val="20"/>
                <w:szCs w:val="20"/>
                <w:color w:val="auto"/>
              </w:rPr>
            </w:pPr>
            <w:r>
              <w:rPr>
                <w:rFonts w:ascii="Arial" w:cs="Arial" w:eastAsia="Arial" w:hAnsi="Arial"/>
                <w:sz w:val="14"/>
                <w:szCs w:val="14"/>
                <w:color w:val="auto"/>
              </w:rPr>
              <w:t>(8,702 )</w:t>
            </w:r>
          </w:p>
        </w:tc>
        <w:tc>
          <w:tcPr>
            <w:tcW w:w="38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(2,350 )</w:t>
            </w:r>
          </w:p>
        </w:tc>
      </w:tr>
      <w:tr>
        <w:trPr>
          <w:trHeight w:val="21"/>
        </w:trPr>
        <w:tc>
          <w:tcPr>
            <w:tcW w:w="7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5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Prepaid expenses and other current assets</w:t>
            </w:r>
          </w:p>
        </w:tc>
        <w:tc>
          <w:tcPr>
            <w:tcW w:w="106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(19,239 )</w:t>
            </w:r>
          </w:p>
        </w:tc>
        <w:tc>
          <w:tcPr>
            <w:tcW w:w="380" w:type="dxa"/>
            <w:vAlign w:val="bottom"/>
            <w:tcBorders>
              <w:bottom w:val="single" w:sz="8" w:color="CFF0FC"/>
            </w:tcBorders>
            <w:shd w:val="clear" w:color="auto" w:fill="CFF0FC"/>
          </w:tcPr>
          <w:p>
            <w:pPr>
              <w:spacing w:after="0"/>
              <w:rPr>
                <w:sz w:val="15"/>
                <w:szCs w:val="15"/>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37,778</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2"/>
        </w:trPr>
        <w:tc>
          <w:tcPr>
            <w:tcW w:w="7560" w:type="dxa"/>
            <w:vAlign w:val="bottom"/>
          </w:tcPr>
          <w:p>
            <w:pPr>
              <w:ind w:left="120"/>
              <w:spacing w:after="0"/>
              <w:rPr>
                <w:sz w:val="20"/>
                <w:szCs w:val="20"/>
                <w:color w:val="auto"/>
              </w:rPr>
            </w:pPr>
            <w:r>
              <w:rPr>
                <w:rFonts w:ascii="Arial" w:cs="Arial" w:eastAsia="Arial" w:hAnsi="Arial"/>
                <w:sz w:val="14"/>
                <w:szCs w:val="14"/>
                <w:color w:val="auto"/>
              </w:rPr>
              <w:t>Accounts payable</w:t>
            </w:r>
          </w:p>
        </w:tc>
        <w:tc>
          <w:tcPr>
            <w:tcW w:w="10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50,484</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(26,737 )</w:t>
            </w:r>
          </w:p>
        </w:tc>
      </w:tr>
      <w:tr>
        <w:trPr>
          <w:trHeight w:val="21"/>
        </w:trPr>
        <w:tc>
          <w:tcPr>
            <w:tcW w:w="7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r>
      <w:tr>
        <w:trPr>
          <w:trHeight w:val="183"/>
        </w:trPr>
        <w:tc>
          <w:tcPr>
            <w:tcW w:w="75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Accrued expenses and other current liabilites</w:t>
            </w:r>
          </w:p>
        </w:tc>
        <w:tc>
          <w:tcPr>
            <w:tcW w:w="106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18,415</w:t>
            </w:r>
          </w:p>
        </w:tc>
        <w:tc>
          <w:tcPr>
            <w:tcW w:w="26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spacing w:after="0"/>
              <w:rPr>
                <w:sz w:val="15"/>
                <w:szCs w:val="15"/>
                <w:color w:val="auto"/>
              </w:rPr>
            </w:pPr>
          </w:p>
        </w:tc>
        <w:tc>
          <w:tcPr>
            <w:tcW w:w="13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(73,938 )</w:t>
            </w:r>
          </w:p>
        </w:tc>
      </w:tr>
      <w:tr>
        <w:trPr>
          <w:trHeight w:val="182"/>
        </w:trPr>
        <w:tc>
          <w:tcPr>
            <w:tcW w:w="7560" w:type="dxa"/>
            <w:vAlign w:val="bottom"/>
          </w:tcPr>
          <w:p>
            <w:pPr>
              <w:ind w:left="120"/>
              <w:spacing w:after="0"/>
              <w:rPr>
                <w:sz w:val="20"/>
                <w:szCs w:val="20"/>
                <w:color w:val="auto"/>
              </w:rPr>
            </w:pPr>
            <w:r>
              <w:rPr>
                <w:rFonts w:ascii="Arial" w:cs="Arial" w:eastAsia="Arial" w:hAnsi="Arial"/>
                <w:sz w:val="14"/>
                <w:szCs w:val="14"/>
                <w:color w:val="auto"/>
              </w:rPr>
              <w:t>Deferred revenue</w:t>
            </w:r>
          </w:p>
        </w:tc>
        <w:tc>
          <w:tcPr>
            <w:tcW w:w="10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2,464</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8,492</w:t>
            </w:r>
          </w:p>
        </w:tc>
        <w:tc>
          <w:tcPr>
            <w:tcW w:w="100" w:type="dxa"/>
            <w:vAlign w:val="bottom"/>
          </w:tcPr>
          <w:p>
            <w:pPr>
              <w:spacing w:after="0"/>
              <w:rPr>
                <w:sz w:val="15"/>
                <w:szCs w:val="15"/>
                <w:color w:val="auto"/>
              </w:rPr>
            </w:pPr>
          </w:p>
        </w:tc>
      </w:tr>
      <w:tr>
        <w:trPr>
          <w:trHeight w:val="21"/>
        </w:trPr>
        <w:tc>
          <w:tcPr>
            <w:tcW w:w="7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r>
      <w:tr>
        <w:trPr>
          <w:trHeight w:val="196"/>
        </w:trPr>
        <w:tc>
          <w:tcPr>
            <w:tcW w:w="75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Other non-current assets and liabilites</w:t>
            </w:r>
          </w:p>
        </w:tc>
        <w:tc>
          <w:tcPr>
            <w:tcW w:w="10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6,365</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(1,680 )</w:t>
            </w:r>
          </w:p>
        </w:tc>
      </w:tr>
      <w:tr>
        <w:trPr>
          <w:trHeight w:val="193"/>
        </w:trPr>
        <w:tc>
          <w:tcPr>
            <w:tcW w:w="7560" w:type="dxa"/>
            <w:vAlign w:val="bottom"/>
            <w:tcBorders>
              <w:top w:val="single" w:sz="8" w:color="CFF0FC"/>
            </w:tcBorders>
          </w:tcPr>
          <w:p>
            <w:pPr>
              <w:ind w:left="20"/>
              <w:spacing w:after="0"/>
              <w:rPr>
                <w:sz w:val="20"/>
                <w:szCs w:val="20"/>
                <w:color w:val="auto"/>
              </w:rPr>
            </w:pPr>
            <w:r>
              <w:rPr>
                <w:rFonts w:ascii="Arial" w:cs="Arial" w:eastAsia="Arial" w:hAnsi="Arial"/>
                <w:sz w:val="14"/>
                <w:szCs w:val="14"/>
                <w:b w:val="1"/>
                <w:bCs w:val="1"/>
                <w:color w:val="auto"/>
              </w:rPr>
              <w:t>Net cash provided by operatng actvites</w:t>
            </w:r>
          </w:p>
        </w:tc>
        <w:tc>
          <w:tcPr>
            <w:tcW w:w="10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114,386</w:t>
            </w:r>
          </w:p>
        </w:tc>
        <w:tc>
          <w:tcPr>
            <w:tcW w:w="260" w:type="dxa"/>
            <w:vAlign w:val="bottom"/>
            <w:tcBorders>
              <w:top w:val="single" w:sz="8" w:color="CFF0FC"/>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1,389</w:t>
            </w:r>
          </w:p>
        </w:tc>
        <w:tc>
          <w:tcPr>
            <w:tcW w:w="100" w:type="dxa"/>
            <w:vAlign w:val="bottom"/>
            <w:tcBorders>
              <w:top w:val="single" w:sz="8" w:color="CFF0FC"/>
            </w:tcBorders>
          </w:tcPr>
          <w:p>
            <w:pPr>
              <w:spacing w:after="0"/>
              <w:rPr>
                <w:sz w:val="16"/>
                <w:szCs w:val="16"/>
                <w:color w:val="auto"/>
              </w:rPr>
            </w:pPr>
          </w:p>
        </w:tc>
      </w:tr>
      <w:tr>
        <w:trPr>
          <w:trHeight w:val="212"/>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fows from investng actvites</w:t>
            </w: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82"/>
        </w:trPr>
        <w:tc>
          <w:tcPr>
            <w:tcW w:w="7560" w:type="dxa"/>
            <w:vAlign w:val="bottom"/>
          </w:tcPr>
          <w:p>
            <w:pPr>
              <w:ind w:left="120"/>
              <w:spacing w:after="0"/>
              <w:rPr>
                <w:sz w:val="20"/>
                <w:szCs w:val="20"/>
                <w:color w:val="auto"/>
              </w:rPr>
            </w:pPr>
            <w:r>
              <w:rPr>
                <w:rFonts w:ascii="Arial" w:cs="Arial" w:eastAsia="Arial" w:hAnsi="Arial"/>
                <w:sz w:val="14"/>
                <w:szCs w:val="14"/>
                <w:color w:val="auto"/>
              </w:rPr>
              <w:t>Acquisiton of business, net of cash acquired</w:t>
            </w:r>
          </w:p>
        </w:tc>
        <w:tc>
          <w:tcPr>
            <w:tcW w:w="1060" w:type="dxa"/>
            <w:vAlign w:val="bottom"/>
          </w:tcPr>
          <w:p>
            <w:pPr>
              <w:spacing w:after="0"/>
              <w:rPr>
                <w:sz w:val="15"/>
                <w:szCs w:val="15"/>
                <w:color w:val="auto"/>
              </w:rPr>
            </w:pPr>
          </w:p>
        </w:tc>
        <w:tc>
          <w:tcPr>
            <w:tcW w:w="860" w:type="dxa"/>
            <w:vAlign w:val="bottom"/>
            <w:gridSpan w:val="2"/>
          </w:tcPr>
          <w:p>
            <w:pPr>
              <w:jc w:val="right"/>
              <w:ind w:right="128"/>
              <w:spacing w:after="0"/>
              <w:rPr>
                <w:sz w:val="20"/>
                <w:szCs w:val="20"/>
                <w:color w:val="auto"/>
              </w:rPr>
            </w:pPr>
            <w:r>
              <w:rPr>
                <w:rFonts w:ascii="Arial" w:cs="Arial" w:eastAsia="Arial" w:hAnsi="Arial"/>
                <w:sz w:val="14"/>
                <w:szCs w:val="14"/>
                <w:color w:val="auto"/>
              </w:rPr>
              <w:t>(55,935 )</w:t>
            </w:r>
          </w:p>
        </w:tc>
        <w:tc>
          <w:tcPr>
            <w:tcW w:w="380" w:type="dxa"/>
            <w:vAlign w:val="bottom"/>
          </w:tcPr>
          <w:p>
            <w:pPr>
              <w:spacing w:after="0"/>
              <w:rPr>
                <w:sz w:val="15"/>
                <w:szCs w:val="15"/>
                <w:color w:val="auto"/>
              </w:rPr>
            </w:pPr>
          </w:p>
        </w:tc>
        <w:tc>
          <w:tcPr>
            <w:tcW w:w="13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21"/>
        </w:trPr>
        <w:tc>
          <w:tcPr>
            <w:tcW w:w="7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r>
      <w:tr>
        <w:trPr>
          <w:trHeight w:val="183"/>
        </w:trPr>
        <w:tc>
          <w:tcPr>
            <w:tcW w:w="75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Investments in convertble promissory note and warrant</w:t>
            </w:r>
          </w:p>
        </w:tc>
        <w:tc>
          <w:tcPr>
            <w:tcW w:w="106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(6,000 )</w:t>
            </w:r>
          </w:p>
        </w:tc>
        <w:tc>
          <w:tcPr>
            <w:tcW w:w="380" w:type="dxa"/>
            <w:vAlign w:val="bottom"/>
            <w:tcBorders>
              <w:bottom w:val="single" w:sz="8" w:color="CFF0FC"/>
            </w:tcBorders>
            <w:shd w:val="clear" w:color="auto" w:fill="CFF0FC"/>
          </w:tcPr>
          <w:p>
            <w:pPr>
              <w:spacing w:after="0"/>
              <w:rPr>
                <w:sz w:val="15"/>
                <w:szCs w:val="15"/>
                <w:color w:val="auto"/>
              </w:rPr>
            </w:pPr>
          </w:p>
        </w:tc>
        <w:tc>
          <w:tcPr>
            <w:tcW w:w="1380" w:type="dxa"/>
            <w:vAlign w:val="bottom"/>
            <w:tcBorders>
              <w:bottom w:val="single" w:sz="8" w:color="CFF0FC"/>
            </w:tcBorders>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82"/>
        </w:trPr>
        <w:tc>
          <w:tcPr>
            <w:tcW w:w="7560" w:type="dxa"/>
            <w:vAlign w:val="bottom"/>
          </w:tcPr>
          <w:p>
            <w:pPr>
              <w:ind w:left="120"/>
              <w:spacing w:after="0"/>
              <w:rPr>
                <w:sz w:val="20"/>
                <w:szCs w:val="20"/>
                <w:color w:val="auto"/>
              </w:rPr>
            </w:pPr>
            <w:r>
              <w:rPr>
                <w:rFonts w:ascii="Arial" w:cs="Arial" w:eastAsia="Arial" w:hAnsi="Arial"/>
                <w:sz w:val="14"/>
                <w:szCs w:val="14"/>
                <w:color w:val="auto"/>
              </w:rPr>
              <w:t>Purchases of property and equipment</w:t>
            </w:r>
          </w:p>
        </w:tc>
        <w:tc>
          <w:tcPr>
            <w:tcW w:w="1060" w:type="dxa"/>
            <w:vAlign w:val="bottom"/>
          </w:tcPr>
          <w:p>
            <w:pPr>
              <w:spacing w:after="0"/>
              <w:rPr>
                <w:sz w:val="15"/>
                <w:szCs w:val="15"/>
                <w:color w:val="auto"/>
              </w:rPr>
            </w:pPr>
          </w:p>
        </w:tc>
        <w:tc>
          <w:tcPr>
            <w:tcW w:w="860" w:type="dxa"/>
            <w:vAlign w:val="bottom"/>
            <w:gridSpan w:val="2"/>
          </w:tcPr>
          <w:p>
            <w:pPr>
              <w:jc w:val="right"/>
              <w:ind w:right="128"/>
              <w:spacing w:after="0"/>
              <w:rPr>
                <w:sz w:val="20"/>
                <w:szCs w:val="20"/>
                <w:color w:val="auto"/>
              </w:rPr>
            </w:pPr>
            <w:r>
              <w:rPr>
                <w:rFonts w:ascii="Arial" w:cs="Arial" w:eastAsia="Arial" w:hAnsi="Arial"/>
                <w:sz w:val="14"/>
                <w:szCs w:val="14"/>
                <w:color w:val="auto"/>
              </w:rPr>
              <w:t>(785 )</w:t>
            </w:r>
          </w:p>
        </w:tc>
        <w:tc>
          <w:tcPr>
            <w:tcW w:w="38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(2,727 )</w:t>
            </w:r>
          </w:p>
        </w:tc>
      </w:tr>
      <w:tr>
        <w:trPr>
          <w:trHeight w:val="21"/>
        </w:trPr>
        <w:tc>
          <w:tcPr>
            <w:tcW w:w="7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r>
      <w:tr>
        <w:trPr>
          <w:trHeight w:val="183"/>
        </w:trPr>
        <w:tc>
          <w:tcPr>
            <w:tcW w:w="75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Purchases of personal seat licenses</w:t>
            </w:r>
          </w:p>
        </w:tc>
        <w:tc>
          <w:tcPr>
            <w:tcW w:w="106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(542 )</w:t>
            </w:r>
          </w:p>
        </w:tc>
        <w:tc>
          <w:tcPr>
            <w:tcW w:w="380" w:type="dxa"/>
            <w:vAlign w:val="bottom"/>
            <w:tcBorders>
              <w:bottom w:val="single" w:sz="8" w:color="CFF0FC"/>
            </w:tcBorders>
            <w:shd w:val="clear" w:color="auto" w:fill="CFF0FC"/>
          </w:tcPr>
          <w:p>
            <w:pPr>
              <w:spacing w:after="0"/>
              <w:rPr>
                <w:sz w:val="15"/>
                <w:szCs w:val="15"/>
                <w:color w:val="auto"/>
              </w:rPr>
            </w:pPr>
          </w:p>
        </w:tc>
        <w:tc>
          <w:tcPr>
            <w:tcW w:w="13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(165 )</w:t>
            </w:r>
          </w:p>
        </w:tc>
      </w:tr>
      <w:tr>
        <w:trPr>
          <w:trHeight w:val="182"/>
        </w:trPr>
        <w:tc>
          <w:tcPr>
            <w:tcW w:w="7560" w:type="dxa"/>
            <w:vAlign w:val="bottom"/>
          </w:tcPr>
          <w:p>
            <w:pPr>
              <w:ind w:left="120"/>
              <w:spacing w:after="0"/>
              <w:rPr>
                <w:sz w:val="20"/>
                <w:szCs w:val="20"/>
                <w:color w:val="auto"/>
              </w:rPr>
            </w:pPr>
            <w:r>
              <w:rPr>
                <w:rFonts w:ascii="Arial" w:cs="Arial" w:eastAsia="Arial" w:hAnsi="Arial"/>
                <w:sz w:val="14"/>
                <w:szCs w:val="14"/>
                <w:color w:val="auto"/>
              </w:rPr>
              <w:t>Investments in developed technology</w:t>
            </w:r>
          </w:p>
        </w:tc>
        <w:tc>
          <w:tcPr>
            <w:tcW w:w="1060" w:type="dxa"/>
            <w:vAlign w:val="bottom"/>
          </w:tcPr>
          <w:p>
            <w:pPr>
              <w:spacing w:after="0"/>
              <w:rPr>
                <w:sz w:val="15"/>
                <w:szCs w:val="15"/>
                <w:color w:val="auto"/>
              </w:rPr>
            </w:pPr>
          </w:p>
        </w:tc>
        <w:tc>
          <w:tcPr>
            <w:tcW w:w="860" w:type="dxa"/>
            <w:vAlign w:val="bottom"/>
            <w:gridSpan w:val="2"/>
          </w:tcPr>
          <w:p>
            <w:pPr>
              <w:jc w:val="right"/>
              <w:ind w:right="128"/>
              <w:spacing w:after="0"/>
              <w:rPr>
                <w:sz w:val="20"/>
                <w:szCs w:val="20"/>
                <w:color w:val="auto"/>
              </w:rPr>
            </w:pPr>
            <w:r>
              <w:rPr>
                <w:rFonts w:ascii="Arial" w:cs="Arial" w:eastAsia="Arial" w:hAnsi="Arial"/>
                <w:sz w:val="14"/>
                <w:szCs w:val="14"/>
                <w:color w:val="auto"/>
              </w:rPr>
              <w:t>(7,770 )</w:t>
            </w:r>
          </w:p>
        </w:tc>
        <w:tc>
          <w:tcPr>
            <w:tcW w:w="38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(8,988 )</w:t>
            </w:r>
          </w:p>
        </w:tc>
      </w:tr>
      <w:tr>
        <w:trPr>
          <w:trHeight w:val="21"/>
        </w:trPr>
        <w:tc>
          <w:tcPr>
            <w:tcW w:w="7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r>
      <w:tr>
        <w:trPr>
          <w:trHeight w:val="193"/>
        </w:trPr>
        <w:tc>
          <w:tcPr>
            <w:tcW w:w="75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Cash adjustment in acquisiton</w:t>
            </w:r>
          </w:p>
        </w:tc>
        <w:tc>
          <w:tcPr>
            <w:tcW w:w="106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(8 )</w:t>
            </w:r>
          </w:p>
        </w:tc>
      </w:tr>
      <w:tr>
        <w:trPr>
          <w:trHeight w:val="23"/>
        </w:trPr>
        <w:tc>
          <w:tcPr>
            <w:tcW w:w="75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3"/>
        </w:trPr>
        <w:tc>
          <w:tcPr>
            <w:tcW w:w="7560" w:type="dxa"/>
            <w:vAlign w:val="bottom"/>
          </w:tcPr>
          <w:p>
            <w:pPr>
              <w:ind w:left="20"/>
              <w:spacing w:after="0"/>
              <w:rPr>
                <w:sz w:val="20"/>
                <w:szCs w:val="20"/>
                <w:color w:val="auto"/>
              </w:rPr>
            </w:pPr>
            <w:r>
              <w:rPr>
                <w:rFonts w:ascii="Arial" w:cs="Arial" w:eastAsia="Arial" w:hAnsi="Arial"/>
                <w:sz w:val="14"/>
                <w:szCs w:val="14"/>
                <w:b w:val="1"/>
                <w:bCs w:val="1"/>
                <w:color w:val="auto"/>
              </w:rPr>
              <w:t>Net cash used in investng actvites</w:t>
            </w:r>
          </w:p>
        </w:tc>
        <w:tc>
          <w:tcPr>
            <w:tcW w:w="1060" w:type="dxa"/>
            <w:vAlign w:val="bottom"/>
          </w:tcPr>
          <w:p>
            <w:pPr>
              <w:spacing w:after="0"/>
              <w:rPr>
                <w:sz w:val="16"/>
                <w:szCs w:val="16"/>
                <w:color w:val="auto"/>
              </w:rPr>
            </w:pPr>
          </w:p>
        </w:tc>
        <w:tc>
          <w:tcPr>
            <w:tcW w:w="86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(71,032 )</w:t>
            </w:r>
          </w:p>
        </w:tc>
        <w:tc>
          <w:tcPr>
            <w:tcW w:w="380" w:type="dxa"/>
            <w:vAlign w:val="bottom"/>
          </w:tcPr>
          <w:p>
            <w:pPr>
              <w:spacing w:after="0"/>
              <w:rPr>
                <w:sz w:val="16"/>
                <w:szCs w:val="16"/>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(11,888 )</w:t>
            </w:r>
          </w:p>
        </w:tc>
      </w:tr>
      <w:tr>
        <w:trPr>
          <w:trHeight w:val="212"/>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fows from fnancing actvites</w:t>
            </w: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82"/>
        </w:trPr>
        <w:tc>
          <w:tcPr>
            <w:tcW w:w="7560" w:type="dxa"/>
            <w:vAlign w:val="bottom"/>
          </w:tcPr>
          <w:p>
            <w:pPr>
              <w:ind w:left="120"/>
              <w:spacing w:after="0"/>
              <w:rPr>
                <w:sz w:val="20"/>
                <w:szCs w:val="20"/>
                <w:color w:val="auto"/>
              </w:rPr>
            </w:pPr>
            <w:r>
              <w:rPr>
                <w:rFonts w:ascii="Arial" w:cs="Arial" w:eastAsia="Arial" w:hAnsi="Arial"/>
                <w:sz w:val="14"/>
                <w:szCs w:val="14"/>
                <w:color w:val="auto"/>
              </w:rPr>
              <w:t>Payments of February 2022 First Lien Loan</w:t>
            </w:r>
          </w:p>
        </w:tc>
        <w:tc>
          <w:tcPr>
            <w:tcW w:w="1060" w:type="dxa"/>
            <w:vAlign w:val="bottom"/>
          </w:tcPr>
          <w:p>
            <w:pPr>
              <w:spacing w:after="0"/>
              <w:rPr>
                <w:sz w:val="15"/>
                <w:szCs w:val="15"/>
                <w:color w:val="auto"/>
              </w:rPr>
            </w:pPr>
          </w:p>
        </w:tc>
        <w:tc>
          <w:tcPr>
            <w:tcW w:w="860" w:type="dxa"/>
            <w:vAlign w:val="bottom"/>
            <w:gridSpan w:val="2"/>
          </w:tcPr>
          <w:p>
            <w:pPr>
              <w:jc w:val="right"/>
              <w:ind w:right="128"/>
              <w:spacing w:after="0"/>
              <w:rPr>
                <w:sz w:val="20"/>
                <w:szCs w:val="20"/>
                <w:color w:val="auto"/>
              </w:rPr>
            </w:pPr>
            <w:r>
              <w:rPr>
                <w:rFonts w:ascii="Arial" w:cs="Arial" w:eastAsia="Arial" w:hAnsi="Arial"/>
                <w:sz w:val="14"/>
                <w:szCs w:val="14"/>
                <w:color w:val="auto"/>
              </w:rPr>
              <w:t>(2,063 )</w:t>
            </w:r>
          </w:p>
        </w:tc>
        <w:tc>
          <w:tcPr>
            <w:tcW w:w="38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(1,375 )</w:t>
            </w:r>
          </w:p>
        </w:tc>
      </w:tr>
      <w:tr>
        <w:trPr>
          <w:trHeight w:val="21"/>
        </w:trPr>
        <w:tc>
          <w:tcPr>
            <w:tcW w:w="7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r>
      <w:tr>
        <w:trPr>
          <w:trHeight w:val="183"/>
        </w:trPr>
        <w:tc>
          <w:tcPr>
            <w:tcW w:w="75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Repurchase of common stock as treasury stock</w:t>
            </w:r>
          </w:p>
        </w:tc>
        <w:tc>
          <w:tcPr>
            <w:tcW w:w="106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(7,612 )</w:t>
            </w:r>
          </w:p>
        </w:tc>
        <w:tc>
          <w:tcPr>
            <w:tcW w:w="380" w:type="dxa"/>
            <w:vAlign w:val="bottom"/>
            <w:tcBorders>
              <w:bottom w:val="single" w:sz="8" w:color="CFF0FC"/>
            </w:tcBorders>
            <w:shd w:val="clear" w:color="auto" w:fill="CFF0FC"/>
          </w:tcPr>
          <w:p>
            <w:pPr>
              <w:spacing w:after="0"/>
              <w:rPr>
                <w:sz w:val="15"/>
                <w:szCs w:val="15"/>
                <w:color w:val="auto"/>
              </w:rPr>
            </w:pPr>
          </w:p>
        </w:tc>
        <w:tc>
          <w:tcPr>
            <w:tcW w:w="13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(3,050 )</w:t>
            </w:r>
          </w:p>
        </w:tc>
      </w:tr>
      <w:tr>
        <w:trPr>
          <w:trHeight w:val="182"/>
        </w:trPr>
        <w:tc>
          <w:tcPr>
            <w:tcW w:w="7560" w:type="dxa"/>
            <w:vAlign w:val="bottom"/>
          </w:tcPr>
          <w:p>
            <w:pPr>
              <w:ind w:left="120"/>
              <w:spacing w:after="0"/>
              <w:rPr>
                <w:sz w:val="20"/>
                <w:szCs w:val="20"/>
                <w:color w:val="auto"/>
              </w:rPr>
            </w:pPr>
            <w:r>
              <w:rPr>
                <w:rFonts w:ascii="Arial" w:cs="Arial" w:eastAsia="Arial" w:hAnsi="Arial"/>
                <w:sz w:val="14"/>
                <w:szCs w:val="14"/>
                <w:color w:val="auto"/>
              </w:rPr>
              <w:t>Cash paid for milestone payments</w:t>
            </w:r>
          </w:p>
        </w:tc>
        <w:tc>
          <w:tcPr>
            <w:tcW w:w="1060" w:type="dxa"/>
            <w:vAlign w:val="bottom"/>
          </w:tcPr>
          <w:p>
            <w:pPr>
              <w:spacing w:after="0"/>
              <w:rPr>
                <w:sz w:val="15"/>
                <w:szCs w:val="15"/>
                <w:color w:val="auto"/>
              </w:rPr>
            </w:pPr>
          </w:p>
        </w:tc>
        <w:tc>
          <w:tcPr>
            <w:tcW w:w="860" w:type="dxa"/>
            <w:vAlign w:val="bottom"/>
            <w:gridSpan w:val="2"/>
          </w:tcPr>
          <w:p>
            <w:pPr>
              <w:jc w:val="right"/>
              <w:ind w:right="128"/>
              <w:spacing w:after="0"/>
              <w:rPr>
                <w:sz w:val="20"/>
                <w:szCs w:val="20"/>
                <w:color w:val="auto"/>
              </w:rPr>
            </w:pPr>
            <w:r>
              <w:rPr>
                <w:rFonts w:ascii="Arial" w:cs="Arial" w:eastAsia="Arial" w:hAnsi="Arial"/>
                <w:sz w:val="14"/>
                <w:szCs w:val="14"/>
                <w:color w:val="auto"/>
              </w:rPr>
              <w:t>(6,005 )</w:t>
            </w:r>
          </w:p>
        </w:tc>
        <w:tc>
          <w:tcPr>
            <w:tcW w:w="380" w:type="dxa"/>
            <w:vAlign w:val="bottom"/>
          </w:tcPr>
          <w:p>
            <w:pPr>
              <w:spacing w:after="0"/>
              <w:rPr>
                <w:sz w:val="15"/>
                <w:szCs w:val="15"/>
                <w:color w:val="auto"/>
              </w:rPr>
            </w:pPr>
          </w:p>
        </w:tc>
        <w:tc>
          <w:tcPr>
            <w:tcW w:w="13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21"/>
        </w:trPr>
        <w:tc>
          <w:tcPr>
            <w:tcW w:w="7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r>
      <w:tr>
        <w:trPr>
          <w:trHeight w:val="183"/>
        </w:trPr>
        <w:tc>
          <w:tcPr>
            <w:tcW w:w="75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Distributons to non-controlling interest</w:t>
            </w:r>
          </w:p>
        </w:tc>
        <w:tc>
          <w:tcPr>
            <w:tcW w:w="106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(11,016 )</w:t>
            </w:r>
          </w:p>
        </w:tc>
        <w:tc>
          <w:tcPr>
            <w:tcW w:w="380" w:type="dxa"/>
            <w:vAlign w:val="bottom"/>
            <w:tcBorders>
              <w:bottom w:val="single" w:sz="8" w:color="CFF0FC"/>
            </w:tcBorders>
            <w:shd w:val="clear" w:color="auto" w:fill="CFF0FC"/>
          </w:tcPr>
          <w:p>
            <w:pPr>
              <w:spacing w:after="0"/>
              <w:rPr>
                <w:sz w:val="15"/>
                <w:szCs w:val="15"/>
                <w:color w:val="auto"/>
              </w:rPr>
            </w:pPr>
          </w:p>
        </w:tc>
        <w:tc>
          <w:tcPr>
            <w:tcW w:w="13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(4,918 )</w:t>
            </w:r>
          </w:p>
        </w:tc>
      </w:tr>
      <w:tr>
        <w:trPr>
          <w:trHeight w:val="182"/>
        </w:trPr>
        <w:tc>
          <w:tcPr>
            <w:tcW w:w="7560" w:type="dxa"/>
            <w:vAlign w:val="bottom"/>
          </w:tcPr>
          <w:p>
            <w:pPr>
              <w:ind w:left="120"/>
              <w:spacing w:after="0"/>
              <w:rPr>
                <w:sz w:val="20"/>
                <w:szCs w:val="20"/>
                <w:color w:val="auto"/>
              </w:rPr>
            </w:pPr>
            <w:r>
              <w:rPr>
                <w:rFonts w:ascii="Arial" w:cs="Arial" w:eastAsia="Arial" w:hAnsi="Arial"/>
                <w:sz w:val="14"/>
                <w:szCs w:val="14"/>
                <w:color w:val="auto"/>
              </w:rPr>
              <w:t>Payments of June 2017 First Lien Loan</w:t>
            </w:r>
          </w:p>
        </w:tc>
        <w:tc>
          <w:tcPr>
            <w:tcW w:w="1060" w:type="dxa"/>
            <w:vAlign w:val="bottom"/>
          </w:tcPr>
          <w:p>
            <w:pPr>
              <w:spacing w:after="0"/>
              <w:rPr>
                <w:sz w:val="15"/>
                <w:szCs w:val="15"/>
                <w:color w:val="auto"/>
              </w:rPr>
            </w:pPr>
          </w:p>
        </w:tc>
        <w:tc>
          <w:tcPr>
            <w:tcW w:w="86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(465,712 )</w:t>
            </w:r>
          </w:p>
        </w:tc>
      </w:tr>
      <w:tr>
        <w:trPr>
          <w:trHeight w:val="21"/>
        </w:trPr>
        <w:tc>
          <w:tcPr>
            <w:tcW w:w="7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5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Proceeds from February 2022 First Lien Loan</w:t>
            </w:r>
          </w:p>
        </w:tc>
        <w:tc>
          <w:tcPr>
            <w:tcW w:w="106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FF0FC"/>
            </w:tcBorders>
            <w:shd w:val="clear" w:color="auto" w:fill="CFF0FC"/>
          </w:tcPr>
          <w:p>
            <w:pPr>
              <w:spacing w:after="0"/>
              <w:rPr>
                <w:sz w:val="15"/>
                <w:szCs w:val="15"/>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275,000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96"/>
        </w:trPr>
        <w:tc>
          <w:tcPr>
            <w:tcW w:w="7560" w:type="dxa"/>
            <w:vAlign w:val="bottom"/>
          </w:tcPr>
          <w:p>
            <w:pPr>
              <w:ind w:left="120"/>
              <w:spacing w:after="0"/>
              <w:rPr>
                <w:sz w:val="20"/>
                <w:szCs w:val="20"/>
                <w:color w:val="auto"/>
              </w:rPr>
            </w:pPr>
            <w:r>
              <w:rPr>
                <w:rFonts w:ascii="Arial" w:cs="Arial" w:eastAsia="Arial" w:hAnsi="Arial"/>
                <w:sz w:val="14"/>
                <w:szCs w:val="14"/>
                <w:color w:val="auto"/>
              </w:rPr>
              <w:t>Payments of deferred fnancing costs and other debt-related costs</w:t>
            </w:r>
          </w:p>
        </w:tc>
        <w:tc>
          <w:tcPr>
            <w:tcW w:w="1060" w:type="dxa"/>
            <w:vAlign w:val="bottom"/>
          </w:tcPr>
          <w:p>
            <w:pPr>
              <w:spacing w:after="0"/>
              <w:rPr>
                <w:sz w:val="17"/>
                <w:szCs w:val="17"/>
                <w:color w:val="auto"/>
              </w:rPr>
            </w:pPr>
          </w:p>
        </w:tc>
        <w:tc>
          <w:tcPr>
            <w:tcW w:w="86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(4,856 )</w:t>
            </w:r>
          </w:p>
        </w:tc>
      </w:tr>
      <w:tr>
        <w:trPr>
          <w:trHeight w:val="203"/>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Net cash used in fnancing actvites</w:t>
            </w:r>
          </w:p>
        </w:tc>
        <w:tc>
          <w:tcPr>
            <w:tcW w:w="106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(26,696</w:t>
            </w:r>
          </w:p>
        </w:tc>
        <w:tc>
          <w:tcPr>
            <w:tcW w:w="260" w:type="dxa"/>
            <w:vAlign w:val="bottom"/>
            <w:shd w:val="clear" w:color="auto" w:fill="CFF0FC"/>
          </w:tcPr>
          <w:p>
            <w:pPr>
              <w:jc w:val="right"/>
              <w:ind w:right="128"/>
              <w:spacing w:after="0"/>
              <w:rPr>
                <w:sz w:val="20"/>
                <w:szCs w:val="20"/>
                <w:color w:val="auto"/>
              </w:rPr>
            </w:pPr>
            <w:r>
              <w:rPr>
                <w:rFonts w:ascii="Arial" w:cs="Arial" w:eastAsia="Arial" w:hAnsi="Arial"/>
                <w:sz w:val="14"/>
                <w:szCs w:val="14"/>
                <w:b w:val="1"/>
                <w:bCs w:val="1"/>
                <w:color w:val="auto"/>
                <w:w w:val="84"/>
              </w:rPr>
              <w:t>)</w:t>
            </w:r>
          </w:p>
        </w:tc>
        <w:tc>
          <w:tcPr>
            <w:tcW w:w="38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(204,911</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84"/>
              </w:rPr>
              <w:t>)</w:t>
            </w:r>
          </w:p>
        </w:tc>
      </w:tr>
      <w:tr>
        <w:trPr>
          <w:trHeight w:val="182"/>
        </w:trPr>
        <w:tc>
          <w:tcPr>
            <w:tcW w:w="7560" w:type="dxa"/>
            <w:vAlign w:val="bottom"/>
          </w:tcPr>
          <w:p>
            <w:pPr>
              <w:ind w:left="20"/>
              <w:spacing w:after="0"/>
              <w:rPr>
                <w:sz w:val="20"/>
                <w:szCs w:val="20"/>
                <w:color w:val="auto"/>
              </w:rPr>
            </w:pPr>
            <w:r>
              <w:rPr>
                <w:rFonts w:ascii="Arial" w:cs="Arial" w:eastAsia="Arial" w:hAnsi="Arial"/>
                <w:sz w:val="14"/>
                <w:szCs w:val="14"/>
                <w:color w:val="auto"/>
              </w:rPr>
              <w:t>Impact of foreign exchange on cash, cash equivalents, and restricted cash</w:t>
            </w:r>
          </w:p>
        </w:tc>
        <w:tc>
          <w:tcPr>
            <w:tcW w:w="10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786</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21"/>
        </w:trPr>
        <w:tc>
          <w:tcPr>
            <w:tcW w:w="7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r>
      <w:tr>
        <w:trPr>
          <w:trHeight w:val="196"/>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Net increase (decrease) in cash, cash equivalents, and restricted cash</w:t>
            </w:r>
          </w:p>
        </w:tc>
        <w:tc>
          <w:tcPr>
            <w:tcW w:w="10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17,444</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4"/>
                <w:szCs w:val="14"/>
                <w:b w:val="1"/>
                <w:bCs w:val="1"/>
                <w:color w:val="auto"/>
              </w:rPr>
              <w:t>(215,410 )</w:t>
            </w:r>
          </w:p>
        </w:tc>
      </w:tr>
      <w:tr>
        <w:trPr>
          <w:trHeight w:val="196"/>
        </w:trPr>
        <w:tc>
          <w:tcPr>
            <w:tcW w:w="7560" w:type="dxa"/>
            <w:vAlign w:val="bottom"/>
            <w:tcBorders>
              <w:top w:val="single" w:sz="8" w:color="CFF0FC"/>
            </w:tcBorders>
          </w:tcPr>
          <w:p>
            <w:pPr>
              <w:ind w:left="20"/>
              <w:spacing w:after="0"/>
              <w:rPr>
                <w:sz w:val="20"/>
                <w:szCs w:val="20"/>
                <w:color w:val="auto"/>
              </w:rPr>
            </w:pPr>
            <w:r>
              <w:rPr>
                <w:rFonts w:ascii="Arial" w:cs="Arial" w:eastAsia="Arial" w:hAnsi="Arial"/>
                <w:sz w:val="14"/>
                <w:szCs w:val="14"/>
                <w:b w:val="1"/>
                <w:bCs w:val="1"/>
                <w:color w:val="auto"/>
              </w:rPr>
              <w:t>Cash, cash equivalents, and restricted cash – beginning of period</w:t>
            </w:r>
          </w:p>
        </w:tc>
        <w:tc>
          <w:tcPr>
            <w:tcW w:w="10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252,290</w:t>
            </w:r>
          </w:p>
        </w:tc>
        <w:tc>
          <w:tcPr>
            <w:tcW w:w="26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489,810</w:t>
            </w:r>
          </w:p>
        </w:tc>
        <w:tc>
          <w:tcPr>
            <w:tcW w:w="100" w:type="dxa"/>
            <w:vAlign w:val="bottom"/>
            <w:tcBorders>
              <w:top w:val="single" w:sz="8" w:color="CFF0FC"/>
            </w:tcBorders>
          </w:tcPr>
          <w:p>
            <w:pPr>
              <w:spacing w:after="0"/>
              <w:rPr>
                <w:sz w:val="17"/>
                <w:szCs w:val="17"/>
                <w:color w:val="auto"/>
              </w:rPr>
            </w:pPr>
          </w:p>
        </w:tc>
      </w:tr>
      <w:tr>
        <w:trPr>
          <w:trHeight w:val="243"/>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Cash, cash equivalents, and restricted cash – end of period</w:t>
            </w:r>
          </w:p>
        </w:tc>
        <w:tc>
          <w:tcPr>
            <w:tcW w:w="1060" w:type="dxa"/>
            <w:vAlign w:val="bottom"/>
            <w:tcBorders>
              <w:bottom w:val="single" w:sz="8" w:color="auto"/>
            </w:tcBorders>
            <w:shd w:val="clear" w:color="auto" w:fill="CFF0FC"/>
          </w:tcPr>
          <w:p>
            <w:pPr>
              <w:jc w:val="right"/>
              <w:ind w:right="908"/>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269,734</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274,400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74"/>
        </w:trPr>
        <w:tc>
          <w:tcPr>
            <w:tcW w:w="756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cash fow informaton:</w:t>
            </w: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2"/>
        </w:trPr>
        <w:tc>
          <w:tcPr>
            <w:tcW w:w="75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Cash paid for interest</w:t>
            </w:r>
          </w:p>
        </w:tc>
        <w:tc>
          <w:tcPr>
            <w:tcW w:w="1060" w:type="dxa"/>
            <w:vAlign w:val="bottom"/>
            <w:tcBorders>
              <w:bottom w:val="single" w:sz="8" w:color="CFF0FC"/>
            </w:tcBorders>
            <w:shd w:val="clear" w:color="auto" w:fill="CFF0FC"/>
          </w:tcPr>
          <w:p>
            <w:pPr>
              <w:jc w:val="right"/>
              <w:ind w:right="90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13,250</w:t>
            </w:r>
          </w:p>
        </w:tc>
        <w:tc>
          <w:tcPr>
            <w:tcW w:w="26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CFF0FC"/>
            </w:tcBorders>
            <w:shd w:val="clear" w:color="auto" w:fill="CFF0FC"/>
          </w:tcPr>
          <w:p>
            <w:pPr>
              <w:jc w:val="right"/>
              <w:ind w:right="22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9,886</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2"/>
        </w:trPr>
        <w:tc>
          <w:tcPr>
            <w:tcW w:w="7560" w:type="dxa"/>
            <w:vAlign w:val="bottom"/>
          </w:tcPr>
          <w:p>
            <w:pPr>
              <w:ind w:left="120"/>
              <w:spacing w:after="0"/>
              <w:rPr>
                <w:sz w:val="20"/>
                <w:szCs w:val="20"/>
                <w:color w:val="auto"/>
              </w:rPr>
            </w:pPr>
            <w:r>
              <w:rPr>
                <w:rFonts w:ascii="Arial" w:cs="Arial" w:eastAsia="Arial" w:hAnsi="Arial"/>
                <w:sz w:val="14"/>
                <w:szCs w:val="14"/>
                <w:color w:val="auto"/>
              </w:rPr>
              <w:t>Cash paid for income tax</w:t>
            </w:r>
          </w:p>
        </w:tc>
        <w:tc>
          <w:tcPr>
            <w:tcW w:w="1060" w:type="dxa"/>
            <w:vAlign w:val="bottom"/>
          </w:tcPr>
          <w:p>
            <w:pPr>
              <w:jc w:val="right"/>
              <w:ind w:right="90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401</w:t>
            </w:r>
          </w:p>
        </w:tc>
        <w:tc>
          <w:tcPr>
            <w:tcW w:w="260" w:type="dxa"/>
            <w:vAlign w:val="bottom"/>
          </w:tcPr>
          <w:p>
            <w:pPr>
              <w:spacing w:after="0"/>
              <w:rPr>
                <w:sz w:val="15"/>
                <w:szCs w:val="15"/>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21"/>
        </w:trPr>
        <w:tc>
          <w:tcPr>
            <w:tcW w:w="7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5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Cash paid for operatng lease liabilites</w:t>
            </w:r>
          </w:p>
        </w:tc>
        <w:tc>
          <w:tcPr>
            <w:tcW w:w="1060" w:type="dxa"/>
            <w:vAlign w:val="bottom"/>
            <w:tcBorders>
              <w:bottom w:val="single" w:sz="8" w:color="CFF0FC"/>
            </w:tcBorders>
            <w:shd w:val="clear" w:color="auto" w:fill="CFF0FC"/>
          </w:tcPr>
          <w:p>
            <w:pPr>
              <w:jc w:val="right"/>
              <w:ind w:right="90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686</w:t>
            </w:r>
          </w:p>
        </w:tc>
        <w:tc>
          <w:tcPr>
            <w:tcW w:w="26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jc w:val="right"/>
              <w:ind w:right="22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2,587</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2"/>
        </w:trPr>
        <w:tc>
          <w:tcPr>
            <w:tcW w:w="7560" w:type="dxa"/>
            <w:vAlign w:val="bottom"/>
          </w:tcPr>
          <w:p>
            <w:pPr>
              <w:ind w:left="120"/>
              <w:spacing w:after="0"/>
              <w:rPr>
                <w:sz w:val="20"/>
                <w:szCs w:val="20"/>
                <w:color w:val="auto"/>
              </w:rPr>
            </w:pPr>
            <w:r>
              <w:rPr>
                <w:rFonts w:ascii="Arial" w:cs="Arial" w:eastAsia="Arial" w:hAnsi="Arial"/>
                <w:sz w:val="14"/>
                <w:szCs w:val="14"/>
                <w:color w:val="auto"/>
              </w:rPr>
              <w:t>Property and equipment acquired through tenant improvement allowance</w:t>
            </w:r>
          </w:p>
        </w:tc>
        <w:tc>
          <w:tcPr>
            <w:tcW w:w="1060" w:type="dxa"/>
            <w:vAlign w:val="bottom"/>
          </w:tcPr>
          <w:p>
            <w:pPr>
              <w:jc w:val="right"/>
              <w:ind w:right="908"/>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5,346</w:t>
            </w:r>
          </w:p>
        </w:tc>
        <w:tc>
          <w:tcPr>
            <w:tcW w:w="100" w:type="dxa"/>
            <w:vAlign w:val="bottom"/>
          </w:tcPr>
          <w:p>
            <w:pPr>
              <w:spacing w:after="0"/>
              <w:rPr>
                <w:sz w:val="15"/>
                <w:szCs w:val="15"/>
                <w:color w:val="auto"/>
              </w:rPr>
            </w:pPr>
          </w:p>
        </w:tc>
      </w:tr>
      <w:tr>
        <w:trPr>
          <w:trHeight w:val="21"/>
        </w:trPr>
        <w:tc>
          <w:tcPr>
            <w:tcW w:w="7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75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Right-of-use assets obtained in exchange for lease obligatons</w:t>
            </w:r>
          </w:p>
        </w:tc>
        <w:tc>
          <w:tcPr>
            <w:tcW w:w="1060" w:type="dxa"/>
            <w:vAlign w:val="bottom"/>
            <w:tcBorders>
              <w:bottom w:val="single" w:sz="8" w:color="CFF0FC"/>
            </w:tcBorders>
            <w:shd w:val="clear" w:color="auto" w:fill="CFF0FC"/>
          </w:tcPr>
          <w:p>
            <w:pPr>
              <w:jc w:val="right"/>
              <w:ind w:right="90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FF0FC"/>
            </w:tcBorders>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FF0FC"/>
            </w:tcBorders>
            <w:shd w:val="clear" w:color="auto" w:fill="CFF0FC"/>
          </w:tcPr>
          <w:p>
            <w:pPr>
              <w:jc w:val="right"/>
              <w:ind w:right="22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3,406</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2"/>
        </w:trPr>
        <w:tc>
          <w:tcPr>
            <w:tcW w:w="7560" w:type="dxa"/>
            <w:vAlign w:val="bottom"/>
          </w:tcPr>
          <w:p>
            <w:pPr>
              <w:ind w:left="120"/>
              <w:spacing w:after="0"/>
              <w:rPr>
                <w:sz w:val="20"/>
                <w:szCs w:val="20"/>
                <w:color w:val="auto"/>
              </w:rPr>
            </w:pPr>
            <w:r>
              <w:rPr>
                <w:rFonts w:ascii="Arial" w:cs="Arial" w:eastAsia="Arial" w:hAnsi="Arial"/>
                <w:sz w:val="14"/>
                <w:szCs w:val="14"/>
                <w:color w:val="auto"/>
              </w:rPr>
              <w:t>Establishment of liabilites under Tax Receivable Agreement</w:t>
            </w:r>
          </w:p>
        </w:tc>
        <w:tc>
          <w:tcPr>
            <w:tcW w:w="1060" w:type="dxa"/>
            <w:vAlign w:val="bottom"/>
          </w:tcPr>
          <w:p>
            <w:pPr>
              <w:jc w:val="right"/>
              <w:ind w:right="90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98,977</w:t>
            </w:r>
          </w:p>
        </w:tc>
        <w:tc>
          <w:tcPr>
            <w:tcW w:w="260" w:type="dxa"/>
            <w:vAlign w:val="bottom"/>
          </w:tcPr>
          <w:p>
            <w:pPr>
              <w:spacing w:after="0"/>
              <w:rPr>
                <w:sz w:val="15"/>
                <w:szCs w:val="15"/>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21"/>
        </w:trPr>
        <w:tc>
          <w:tcPr>
            <w:tcW w:w="7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r>
      <w:tr>
        <w:trPr>
          <w:trHeight w:val="196"/>
        </w:trPr>
        <w:tc>
          <w:tcPr>
            <w:tcW w:w="75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Establishment of deferred tax asset under Tax Receivable Agreement and Secondary Ofering</w:t>
            </w:r>
          </w:p>
        </w:tc>
        <w:tc>
          <w:tcPr>
            <w:tcW w:w="1060" w:type="dxa"/>
            <w:vAlign w:val="bottom"/>
            <w:tcBorders>
              <w:bottom w:val="single" w:sz="8" w:color="auto"/>
            </w:tcBorders>
            <w:shd w:val="clear" w:color="auto" w:fill="CFF0FC"/>
          </w:tcPr>
          <w:p>
            <w:pPr>
              <w:jc w:val="right"/>
              <w:ind w:right="90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52,845</w:t>
            </w:r>
          </w:p>
        </w:tc>
        <w:tc>
          <w:tcPr>
            <w:tcW w:w="2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ind w:right="22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-3933825</wp:posOffset>
            </wp:positionV>
            <wp:extent cx="6858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-3933825</wp:posOffset>
            </wp:positionV>
            <wp:extent cx="6858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-2896870</wp:posOffset>
            </wp:positionV>
            <wp:extent cx="6858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-2896870</wp:posOffset>
            </wp:positionV>
            <wp:extent cx="6858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-1336675</wp:posOffset>
            </wp:positionV>
            <wp:extent cx="68580"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-1062355</wp:posOffset>
            </wp:positionV>
            <wp:extent cx="1285875"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85875" cy="15430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ackground and</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asis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resentation</w:t>
      </w:r>
    </w:p>
    <w:p>
      <w:pPr>
        <w:spacing w:after="0" w:line="1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Vivid Seats Inc. and its subsidiaries including Hoya Intermediate, LLC ("Hoya Intermediate"), Hoya Midco, LLC and Vivid Seats LLC (collectvely the “Company,” “us,” “we,” and “our”) provide an online secondary tcket marketplace that enables tcket buyers to discover and easily purchase tckets to concert, sportng and theater events in the United States, Canada and Japan. Through our Marketplace segment, we operate an online platorm enabling tcket buyers to purchase tckets to live events, while enabling tcket sellers to seamlessly manage their operatons. In our Resale segment, we acquire tckets to resell on secondary tcket marketplaces, including our own.</w:t>
      </w:r>
    </w:p>
    <w:p>
      <w:pPr>
        <w:spacing w:after="0" w:line="1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prepared these unaudited condensed consolidated fnancial statements in accordance with accountng principles generally accepted in the United States of America ("GAAP") for interim fnancial informaton and the instructons to the Quarterly Report on Form 10-Q and Artcle 10 of Regulaton S-X issued by the U.S. Securites and Exchange Commission ("SEC"). Accordingly, they do not include all of the informaton and notes required by GAAP for comprehensive annual fnancial statements. These condensed consolidated fnancial statements are not necessarily indicatve of results that may be expected for any other interim period or for the full year. These condensed consolidated fnancial statements should be read together with the audited annual consolidated fnancial statements and accompanying notes included in our Annual Report on Form 10-K for the fscal year ended December 31, 2022 and Amendment No. 1 thereto, which were fled with the SEC on March 7, 2023 and May 9, 2023, respectvely (together, our “2022 Form 10-K”). These condensed consolidated fnancial statements include all of our accounts, including those of our consolidated subsidiaries. All intercompany transactons and balances have been eliminated in consolidaton. Certain prior period amounts of Other non-current assets have been reclassifed to conform to current period presentaton. These reclassifcatons had no efect on previously reported totals for assets, liabilites, shareholders' defcit, cash fows or net income.</w:t>
      </w:r>
    </w:p>
    <w:p>
      <w:pPr>
        <w:spacing w:after="0" w:line="132"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ew</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ccounting</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tandards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Accountng Standards</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June 2016, the Financial Accountng Standards Board ("FASB") issued Accountng Standards Update ("ASU") 2016-13, </w:t>
      </w:r>
      <w:r>
        <w:rPr>
          <w:rFonts w:ascii="Arial" w:cs="Arial" w:eastAsia="Arial" w:hAnsi="Arial"/>
          <w:sz w:val="18"/>
          <w:szCs w:val="18"/>
          <w:i w:val="1"/>
          <w:iCs w:val="1"/>
          <w:color w:val="auto"/>
        </w:rPr>
        <w:t>Financial Instruments-Credit</w:t>
      </w:r>
      <w:r>
        <w:rPr>
          <w:rFonts w:ascii="Arial" w:cs="Arial" w:eastAsia="Arial" w:hAnsi="Arial"/>
          <w:sz w:val="18"/>
          <w:szCs w:val="18"/>
          <w:color w:val="auto"/>
        </w:rPr>
        <w:t xml:space="preserve"> </w:t>
      </w:r>
      <w:r>
        <w:rPr>
          <w:rFonts w:ascii="Arial" w:cs="Arial" w:eastAsia="Arial" w:hAnsi="Arial"/>
          <w:sz w:val="18"/>
          <w:szCs w:val="18"/>
          <w:i w:val="1"/>
          <w:iCs w:val="1"/>
          <w:color w:val="auto"/>
        </w:rPr>
        <w:t>Losses (Topic 326): Measurement of Credit Losses on Financial Instruments</w:t>
      </w:r>
      <w:r>
        <w:rPr>
          <w:rFonts w:ascii="Arial" w:cs="Arial" w:eastAsia="Arial" w:hAnsi="Arial"/>
          <w:sz w:val="18"/>
          <w:szCs w:val="18"/>
          <w:color w:val="auto"/>
        </w:rPr>
        <w:t>, which changes how enttes will measure credit losses for fnancial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certain other instruments that are not measured at fair value through net income. The new expected credit loss impairment model requires immediate recogniton of estmated credit losses expected to occur. ASU 2019-10, </w:t>
      </w:r>
      <w:r>
        <w:rPr>
          <w:rFonts w:ascii="Arial" w:cs="Arial" w:eastAsia="Arial" w:hAnsi="Arial"/>
          <w:sz w:val="18"/>
          <w:szCs w:val="18"/>
          <w:i w:val="1"/>
          <w:iCs w:val="1"/>
          <w:color w:val="auto"/>
        </w:rPr>
        <w:t>Financial Instruments-Credit Losses (Topic 326), Derivatves and Hedging (Topic</w:t>
      </w:r>
      <w:r>
        <w:rPr>
          <w:rFonts w:ascii="Arial" w:cs="Arial" w:eastAsia="Arial" w:hAnsi="Arial"/>
          <w:sz w:val="18"/>
          <w:szCs w:val="18"/>
          <w:color w:val="auto"/>
        </w:rPr>
        <w:t xml:space="preserve"> </w:t>
      </w:r>
      <w:r>
        <w:rPr>
          <w:rFonts w:ascii="Arial" w:cs="Arial" w:eastAsia="Arial" w:hAnsi="Arial"/>
          <w:sz w:val="18"/>
          <w:szCs w:val="18"/>
          <w:i w:val="1"/>
          <w:iCs w:val="1"/>
          <w:color w:val="auto"/>
        </w:rPr>
        <w:t>815), and Leases (Topic 842): Efectve Dates</w:t>
      </w:r>
      <w:r>
        <w:rPr>
          <w:rFonts w:ascii="Arial" w:cs="Arial" w:eastAsia="Arial" w:hAnsi="Arial"/>
          <w:sz w:val="18"/>
          <w:szCs w:val="18"/>
          <w:color w:val="auto"/>
        </w:rPr>
        <w:t>, deferred the efectve date for non-public companies. The standard is efectve for non-public companies for</w:t>
      </w:r>
      <w:r>
        <w:rPr>
          <w:rFonts w:ascii="Arial" w:cs="Arial" w:eastAsia="Arial" w:hAnsi="Arial"/>
          <w:sz w:val="18"/>
          <w:szCs w:val="18"/>
          <w:i w:val="1"/>
          <w:iCs w:val="1"/>
          <w:color w:val="auto"/>
        </w:rPr>
        <w:t xml:space="preserve"> </w:t>
      </w:r>
      <w:r>
        <w:rPr>
          <w:rFonts w:ascii="Arial" w:cs="Arial" w:eastAsia="Arial" w:hAnsi="Arial"/>
          <w:sz w:val="18"/>
          <w:szCs w:val="18"/>
          <w:color w:val="auto"/>
        </w:rPr>
        <w:t>fscal years beginning afer December 15, 2022. We adopted these requirements as of January 1, 2023 with no material impact on our consolidated fnancial statements.</w:t>
      </w:r>
    </w:p>
    <w:p>
      <w:pPr>
        <w:spacing w:after="0" w:line="12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Facilitaton of the Efects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Reportng</w:t>
      </w:r>
      <w:r>
        <w:rPr>
          <w:rFonts w:ascii="Arial" w:cs="Arial" w:eastAsia="Arial" w:hAnsi="Arial"/>
          <w:sz w:val="16"/>
          <w:szCs w:val="16"/>
          <w:color w:val="auto"/>
        </w:rPr>
        <w:t>, as modifed in January 2021. The ASU is intended to help stakeholders during the global market-wide reference rate transiton period. The new</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provides optonal expedients and exceptons for applying GAAP to contract modifcatons and hedging relatonships, subject to meetng certain criteria, that reference the London Interbank Ofered Rate (“LIBOR”) or another reference rate expected to be discontnued. The guidance also establishes</w:t>
      </w:r>
    </w:p>
    <w:p>
      <w:pPr>
        <w:spacing w:after="0" w:line="1" w:lineRule="exact"/>
        <w:rPr>
          <w:sz w:val="20"/>
          <w:szCs w:val="20"/>
          <w:color w:val="auto"/>
        </w:rPr>
      </w:pPr>
    </w:p>
    <w:p>
      <w:pPr>
        <w:ind w:right="20" w:firstLine="8"/>
        <w:spacing w:after="0" w:line="323" w:lineRule="auto"/>
        <w:tabs>
          <w:tab w:leader="none" w:pos="251" w:val="left"/>
        </w:tabs>
        <w:numPr>
          <w:ilvl w:val="0"/>
          <w:numId w:val="6"/>
        </w:numPr>
        <w:rPr>
          <w:rFonts w:ascii="Arial" w:cs="Arial" w:eastAsia="Arial" w:hAnsi="Arial"/>
          <w:sz w:val="16"/>
          <w:szCs w:val="16"/>
          <w:color w:val="auto"/>
        </w:rPr>
      </w:pPr>
      <w:r>
        <w:rPr>
          <w:rFonts w:ascii="Arial" w:cs="Arial" w:eastAsia="Arial" w:hAnsi="Arial"/>
          <w:sz w:val="16"/>
          <w:szCs w:val="16"/>
          <w:color w:val="auto"/>
        </w:rPr>
        <w:t>a general contract modifcaton principle that enttes can apply in other areas that may be afected by reference rate reform and (2) certain electve hedge accountng expedients. We adopted these requirements as of January 1, 2023 with no material impact on our consolidated fnancial statements.</w:t>
      </w:r>
    </w:p>
    <w:p>
      <w:pPr>
        <w:spacing w:after="0" w:line="59"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usiness</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cquisition</w:t>
      </w:r>
    </w:p>
    <w:p>
      <w:pPr>
        <w:spacing w:after="0" w:line="160"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On September 8, 2023 (the "Acquisiton Date"), we acquired 100% of the outstanding shares of WD Holdings Co., Ltd. ("Wavedash"), an online tcket marketplace headquartered in Tokyo, Japan. The purchase price was JPY</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10,946.1 million, or approximately $74.3 million based on the exchange rate in efect on the Acquisiton Date, before considering the net efect of cash acquired equal to the amount in the table below. We fnanced the transacton at closing with cash on hand. The acquisiton was accounted for as an acquisiton of a business in accordance with the acquisiton method of accountng.</w:t>
      </w:r>
    </w:p>
    <w:p>
      <w:pPr>
        <w:spacing w:after="0" w:line="78"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We have applied the acquisiton method of accountng in accordance with Accountng Standards Codifcaton ("ASC") 805, Business Combinatons and recognized assets acquired and liabilites assumed at their respectve fair values as of the Acquisiton Date, with the excess purchase consideraton recorded to goodwill. The goodwill recorded is not expected to be deductble for income tax purposes. The goodwill is primarily atributable to revenue opportunites associated with Wavedash’s service oferings and assembled workforce and is included in our Marketplace segment.</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values of the assets acquired and liabilites assumed are preliminary and subject to change because the evaluatons necessary to assess the fair values of the net assets acquired are stll in process. The primary areas that are not yet fnalized relate to the valuatons of certain intangible assets and acquired income tax assets and liabilites. Acquired assets and liability amounts are also stll being fnalized. We expect to fnalize the allocaton of the purchase price as soon as practcable, but no later than one year from the Acquisiton Date when the measurement period ends. In connecton with the transacton, we assumed long-term debt which matures in the second quarter of 2026, subject to a fxed interest rate. Refer to Note 12, Debt for more informaton.</w:t>
      </w:r>
    </w:p>
    <w:p>
      <w:pPr>
        <w:spacing w:after="0" w:line="11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Acquisiton costs directly related to the transacton were $1.9 million and $2.7 million for the three and nine months ended September 30, 2023, respectvely, and are included in General and administratve expenses in the Condensed Consolidated Statements of Operatons.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estmated fair values of the assets acquired and liabilites assumed as of the Acquisiton Date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940" w:type="dxa"/>
            <w:vAlign w:val="bottom"/>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18,390</w:t>
            </w:r>
          </w:p>
        </w:tc>
        <w:tc>
          <w:tcPr>
            <w:tcW w:w="100" w:type="dxa"/>
            <w:vAlign w:val="bottom"/>
            <w:shd w:val="clear" w:color="auto" w:fill="CFF0FC"/>
          </w:tcPr>
          <w:p>
            <w:pPr>
              <w:spacing w:after="0"/>
              <w:rPr>
                <w:sz w:val="21"/>
                <w:szCs w:val="21"/>
                <w:color w:val="auto"/>
              </w:rPr>
            </w:pPr>
          </w:p>
        </w:tc>
      </w:tr>
      <w:tr>
        <w:trPr>
          <w:trHeight w:val="235"/>
        </w:trPr>
        <w:tc>
          <w:tcPr>
            <w:tcW w:w="880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9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2,182</w:t>
            </w:r>
          </w:p>
        </w:tc>
        <w:tc>
          <w:tcPr>
            <w:tcW w:w="100" w:type="dxa"/>
            <w:vAlign w:val="bottom"/>
          </w:tcPr>
          <w:p>
            <w:pPr>
              <w:spacing w:after="0"/>
              <w:rPr>
                <w:sz w:val="20"/>
                <w:szCs w:val="20"/>
                <w:color w:val="auto"/>
              </w:rPr>
            </w:pPr>
          </w:p>
        </w:tc>
      </w:tr>
      <w:tr>
        <w:trPr>
          <w:trHeight w:val="251"/>
        </w:trPr>
        <w:tc>
          <w:tcPr>
            <w:tcW w:w="8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Inventory</w:t>
            </w:r>
          </w:p>
        </w:tc>
        <w:tc>
          <w:tcPr>
            <w:tcW w:w="9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FF0FC"/>
          </w:tcPr>
          <w:p>
            <w:pPr>
              <w:spacing w:after="0"/>
              <w:rPr>
                <w:sz w:val="21"/>
                <w:szCs w:val="21"/>
                <w:color w:val="auto"/>
              </w:rPr>
            </w:pPr>
          </w:p>
        </w:tc>
      </w:tr>
      <w:tr>
        <w:trPr>
          <w:trHeight w:val="235"/>
        </w:trPr>
        <w:tc>
          <w:tcPr>
            <w:tcW w:w="880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0"/>
                <w:szCs w:val="20"/>
                <w:color w:val="auto"/>
              </w:rPr>
            </w:pPr>
          </w:p>
        </w:tc>
      </w:tr>
      <w:tr>
        <w:trPr>
          <w:trHeight w:val="251"/>
        </w:trPr>
        <w:tc>
          <w:tcPr>
            <w:tcW w:w="8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w:t>
            </w:r>
          </w:p>
        </w:tc>
        <w:tc>
          <w:tcPr>
            <w:tcW w:w="9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FF0FC"/>
          </w:tcPr>
          <w:p>
            <w:pPr>
              <w:spacing w:after="0"/>
              <w:rPr>
                <w:sz w:val="21"/>
                <w:szCs w:val="21"/>
                <w:color w:val="auto"/>
              </w:rPr>
            </w:pPr>
          </w:p>
        </w:tc>
      </w:tr>
      <w:tr>
        <w:trPr>
          <w:trHeight w:val="235"/>
        </w:trPr>
        <w:tc>
          <w:tcPr>
            <w:tcW w:w="880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9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1,927</w:t>
            </w:r>
          </w:p>
        </w:tc>
        <w:tc>
          <w:tcPr>
            <w:tcW w:w="100" w:type="dxa"/>
            <w:vAlign w:val="bottom"/>
          </w:tcPr>
          <w:p>
            <w:pPr>
              <w:spacing w:after="0"/>
              <w:rPr>
                <w:sz w:val="20"/>
                <w:szCs w:val="20"/>
                <w:color w:val="auto"/>
              </w:rPr>
            </w:pPr>
          </w:p>
        </w:tc>
      </w:tr>
      <w:tr>
        <w:trPr>
          <w:trHeight w:val="251"/>
        </w:trPr>
        <w:tc>
          <w:tcPr>
            <w:tcW w:w="8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net assets</w:t>
            </w:r>
          </w:p>
        </w:tc>
        <w:tc>
          <w:tcPr>
            <w:tcW w:w="9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FF0FC"/>
          </w:tcPr>
          <w:p>
            <w:pPr>
              <w:spacing w:after="0"/>
              <w:rPr>
                <w:sz w:val="21"/>
                <w:szCs w:val="21"/>
                <w:color w:val="auto"/>
              </w:rPr>
            </w:pPr>
          </w:p>
        </w:tc>
      </w:tr>
      <w:tr>
        <w:trPr>
          <w:trHeight w:val="235"/>
        </w:trPr>
        <w:tc>
          <w:tcPr>
            <w:tcW w:w="880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9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31,846</w:t>
            </w:r>
          </w:p>
        </w:tc>
        <w:tc>
          <w:tcPr>
            <w:tcW w:w="100" w:type="dxa"/>
            <w:vAlign w:val="bottom"/>
          </w:tcPr>
          <w:p>
            <w:pPr>
              <w:spacing w:after="0"/>
              <w:rPr>
                <w:sz w:val="20"/>
                <w:szCs w:val="20"/>
                <w:color w:val="auto"/>
              </w:rPr>
            </w:pPr>
          </w:p>
        </w:tc>
      </w:tr>
      <w:tr>
        <w:trPr>
          <w:trHeight w:val="251"/>
        </w:trPr>
        <w:tc>
          <w:tcPr>
            <w:tcW w:w="8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9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45,351</w:t>
            </w:r>
          </w:p>
        </w:tc>
        <w:tc>
          <w:tcPr>
            <w:tcW w:w="100" w:type="dxa"/>
            <w:vAlign w:val="bottom"/>
            <w:shd w:val="clear" w:color="auto" w:fill="CFF0FC"/>
          </w:tcPr>
          <w:p>
            <w:pPr>
              <w:spacing w:after="0"/>
              <w:rPr>
                <w:sz w:val="21"/>
                <w:szCs w:val="21"/>
                <w:color w:val="auto"/>
              </w:rPr>
            </w:pPr>
          </w:p>
        </w:tc>
      </w:tr>
      <w:tr>
        <w:trPr>
          <w:trHeight w:val="235"/>
        </w:trPr>
        <w:tc>
          <w:tcPr>
            <w:tcW w:w="88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94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(7,427 )</w:t>
            </w:r>
          </w:p>
        </w:tc>
      </w:tr>
      <w:tr>
        <w:trPr>
          <w:trHeight w:val="251"/>
        </w:trPr>
        <w:tc>
          <w:tcPr>
            <w:tcW w:w="8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expenses and other current liabilites</w:t>
            </w:r>
          </w:p>
        </w:tc>
        <w:tc>
          <w:tcPr>
            <w:tcW w:w="9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(3,901 )</w:t>
            </w:r>
          </w:p>
        </w:tc>
      </w:tr>
      <w:tr>
        <w:trPr>
          <w:trHeight w:val="235"/>
        </w:trPr>
        <w:tc>
          <w:tcPr>
            <w:tcW w:w="8800" w:type="dxa"/>
            <w:vAlign w:val="bottom"/>
          </w:tcPr>
          <w:p>
            <w:pPr>
              <w:ind w:left="20"/>
              <w:spacing w:after="0"/>
              <w:rPr>
                <w:sz w:val="20"/>
                <w:szCs w:val="20"/>
                <w:color w:val="auto"/>
              </w:rPr>
            </w:pPr>
            <w:r>
              <w:rPr>
                <w:rFonts w:ascii="Arial" w:cs="Arial" w:eastAsia="Arial" w:hAnsi="Arial"/>
                <w:sz w:val="18"/>
                <w:szCs w:val="18"/>
                <w:color w:val="auto"/>
              </w:rPr>
              <w:t>Current maturites of long-term debt</w:t>
            </w:r>
          </w:p>
        </w:tc>
        <w:tc>
          <w:tcPr>
            <w:tcW w:w="94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(566 )</w:t>
            </w:r>
          </w:p>
        </w:tc>
      </w:tr>
      <w:tr>
        <w:trPr>
          <w:trHeight w:val="251"/>
        </w:trPr>
        <w:tc>
          <w:tcPr>
            <w:tcW w:w="8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w:t>
            </w:r>
          </w:p>
        </w:tc>
        <w:tc>
          <w:tcPr>
            <w:tcW w:w="9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(2,546 )</w:t>
            </w:r>
          </w:p>
        </w:tc>
      </w:tr>
      <w:tr>
        <w:trPr>
          <w:trHeight w:val="237"/>
        </w:trPr>
        <w:tc>
          <w:tcPr>
            <w:tcW w:w="8800" w:type="dxa"/>
            <w:vAlign w:val="bottom"/>
          </w:tcPr>
          <w:p>
            <w:pPr>
              <w:ind w:left="20"/>
              <w:spacing w:after="0"/>
              <w:rPr>
                <w:sz w:val="20"/>
                <w:szCs w:val="20"/>
                <w:color w:val="auto"/>
              </w:rPr>
            </w:pPr>
            <w:r>
              <w:rPr>
                <w:rFonts w:ascii="Arial" w:cs="Arial" w:eastAsia="Arial" w:hAnsi="Arial"/>
                <w:sz w:val="18"/>
                <w:szCs w:val="18"/>
                <w:color w:val="auto"/>
              </w:rPr>
              <w:t>Other non-current liabilites</w:t>
            </w:r>
          </w:p>
        </w:tc>
        <w:tc>
          <w:tcPr>
            <w:tcW w:w="94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(11,981 )</w:t>
            </w:r>
          </w:p>
        </w:tc>
      </w:tr>
      <w:tr>
        <w:trPr>
          <w:trHeight w:val="283"/>
        </w:trPr>
        <w:tc>
          <w:tcPr>
            <w:tcW w:w="8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assets acquired</w:t>
            </w:r>
          </w:p>
        </w:tc>
        <w:tc>
          <w:tcPr>
            <w:tcW w:w="940" w:type="dxa"/>
            <w:vAlign w:val="bottom"/>
            <w:tcBorders>
              <w:top w:val="single" w:sz="8" w:color="auto"/>
              <w:bottom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74,325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components of identfable intangible assets acquired (in thousands) and their estmated useful lives (in years) as of the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Acquisiton Date: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32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Cost</w:t>
            </w: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7"/>
              </w:rPr>
              <w:t>Estmated Useful Life</w:t>
            </w:r>
          </w:p>
        </w:tc>
      </w:tr>
      <w:tr>
        <w:trPr>
          <w:trHeight w:val="46"/>
        </w:trPr>
        <w:tc>
          <w:tcPr>
            <w:tcW w:w="732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r>
      <w:tr>
        <w:trPr>
          <w:trHeight w:val="243"/>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Tradename</w:t>
            </w:r>
          </w:p>
        </w:tc>
        <w:tc>
          <w:tcPr>
            <w:tcW w:w="1220" w:type="dxa"/>
            <w:vAlign w:val="bottom"/>
            <w:tcBorders>
              <w:bottom w:val="single" w:sz="8" w:color="CFF0FC"/>
            </w:tcBorders>
            <w:shd w:val="clear" w:color="auto" w:fill="CFF0FC"/>
          </w:tcPr>
          <w:p>
            <w:pPr>
              <w:jc w:val="right"/>
              <w:ind w:right="10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2,173</w:t>
            </w:r>
          </w:p>
        </w:tc>
        <w:tc>
          <w:tcPr>
            <w:tcW w:w="380" w:type="dxa"/>
            <w:vAlign w:val="bottom"/>
            <w:tcBorders>
              <w:bottom w:val="single" w:sz="8" w:color="CFF0FC"/>
            </w:tcBorders>
            <w:shd w:val="clear" w:color="auto" w:fill="CFF0FC"/>
          </w:tcPr>
          <w:p>
            <w:pPr>
              <w:spacing w:after="0"/>
              <w:rPr>
                <w:sz w:val="21"/>
                <w:szCs w:val="21"/>
                <w:color w:val="auto"/>
              </w:rPr>
            </w:pPr>
          </w:p>
        </w:tc>
        <w:tc>
          <w:tcPr>
            <w:tcW w:w="16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rPr>
              <w:t>Indefnite</w:t>
            </w:r>
          </w:p>
        </w:tc>
      </w:tr>
      <w:tr>
        <w:trPr>
          <w:trHeight w:val="235"/>
        </w:trPr>
        <w:tc>
          <w:tcPr>
            <w:tcW w:w="7320" w:type="dxa"/>
            <w:vAlign w:val="bottom"/>
          </w:tcPr>
          <w:p>
            <w:pPr>
              <w:ind w:left="20"/>
              <w:spacing w:after="0"/>
              <w:rPr>
                <w:sz w:val="20"/>
                <w:szCs w:val="20"/>
                <w:color w:val="auto"/>
              </w:rPr>
            </w:pPr>
            <w:r>
              <w:rPr>
                <w:rFonts w:ascii="Arial" w:cs="Arial" w:eastAsia="Arial" w:hAnsi="Arial"/>
                <w:sz w:val="18"/>
                <w:szCs w:val="18"/>
                <w:color w:val="auto"/>
              </w:rPr>
              <w:t>Supplier relatonships</w:t>
            </w:r>
          </w:p>
        </w:tc>
        <w:tc>
          <w:tcPr>
            <w:tcW w:w="1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19,963</w:t>
            </w:r>
          </w:p>
        </w:tc>
        <w:tc>
          <w:tcPr>
            <w:tcW w:w="38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5 years</w:t>
            </w:r>
          </w:p>
        </w:tc>
      </w:tr>
      <w:tr>
        <w:trPr>
          <w:trHeight w:val="35"/>
        </w:trPr>
        <w:tc>
          <w:tcPr>
            <w:tcW w:w="73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43"/>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relatonships</w:t>
            </w:r>
          </w:p>
        </w:tc>
        <w:tc>
          <w:tcPr>
            <w:tcW w:w="12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5,500</w:t>
            </w:r>
          </w:p>
        </w:tc>
        <w:tc>
          <w:tcPr>
            <w:tcW w:w="38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4 years</w:t>
            </w:r>
          </w:p>
        </w:tc>
      </w:tr>
      <w:tr>
        <w:trPr>
          <w:trHeight w:val="236"/>
        </w:trPr>
        <w:tc>
          <w:tcPr>
            <w:tcW w:w="73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4,210</w:t>
            </w:r>
          </w:p>
        </w:tc>
        <w:tc>
          <w:tcPr>
            <w:tcW w:w="38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3 years</w:t>
            </w:r>
          </w:p>
        </w:tc>
      </w:tr>
      <w:tr>
        <w:trPr>
          <w:trHeight w:val="283"/>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acquired intangible assets</w:t>
            </w:r>
          </w:p>
        </w:tc>
        <w:tc>
          <w:tcPr>
            <w:tcW w:w="1220" w:type="dxa"/>
            <w:vAlign w:val="bottom"/>
            <w:tcBorders>
              <w:bottom w:val="single" w:sz="8" w:color="auto"/>
            </w:tcBorders>
            <w:shd w:val="clear" w:color="auto" w:fill="CFF0FC"/>
          </w:tcPr>
          <w:p>
            <w:pPr>
              <w:jc w:val="right"/>
              <w:ind w:right="103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31,846</w:t>
            </w:r>
          </w:p>
        </w:tc>
        <w:tc>
          <w:tcPr>
            <w:tcW w:w="380" w:type="dxa"/>
            <w:vAlign w:val="bottom"/>
            <w:tcBorders>
              <w:bottom w:val="single" w:sz="8" w:color="CFF0FC"/>
            </w:tcBorders>
            <w:shd w:val="clear" w:color="auto" w:fill="CFF0FC"/>
          </w:tcPr>
          <w:p>
            <w:pPr>
              <w:spacing w:after="0"/>
              <w:rPr>
                <w:sz w:val="24"/>
                <w:szCs w:val="24"/>
                <w:color w:val="auto"/>
              </w:rPr>
            </w:pPr>
          </w:p>
        </w:tc>
        <w:tc>
          <w:tcPr>
            <w:tcW w:w="16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-25400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-8255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10"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evenue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ecognition</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 xml:space="preserve">We recognize revenue in accordance with Accountng Standards Codifcaton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We have two reportable segments: Marketplace and Resale.</w:t>
      </w:r>
    </w:p>
    <w:p>
      <w:pPr>
        <w:spacing w:after="0" w:line="110" w:lineRule="exact"/>
        <w:rPr>
          <w:sz w:val="20"/>
          <w:szCs w:val="20"/>
          <w:color w:val="auto"/>
        </w:rPr>
      </w:pPr>
    </w:p>
    <w:p>
      <w:pPr>
        <w:jc w:val="both"/>
        <w:spacing w:after="0" w:line="337" w:lineRule="auto"/>
        <w:rPr>
          <w:sz w:val="20"/>
          <w:szCs w:val="20"/>
          <w:color w:val="auto"/>
        </w:rPr>
      </w:pPr>
      <w:r>
        <w:rPr>
          <w:rFonts w:ascii="Arial" w:cs="Arial" w:eastAsia="Arial" w:hAnsi="Arial"/>
          <w:sz w:val="16"/>
          <w:szCs w:val="16"/>
          <w:color w:val="auto"/>
        </w:rPr>
        <w:t>Through the Marketplace segment, we act as an intermediary between tcket buyers and sellers. We earn revenue processing tcket sales from our Owned Propertes, consistng of our websites and mobile applicatons, and from our Private Label ofering, which is comprised of numerous distributon partners.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Marketplace revenues consisted of the following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0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0"/>
              </w:rPr>
              <w:t>Three Months Ended September 30,</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6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1"/>
              </w:rPr>
              <w:t>Nine Months Ended September 30,</w:t>
            </w:r>
          </w:p>
        </w:tc>
        <w:tc>
          <w:tcPr>
            <w:tcW w:w="100" w:type="dxa"/>
            <w:vAlign w:val="bottom"/>
          </w:tcPr>
          <w:p>
            <w:pPr>
              <w:spacing w:after="0"/>
              <w:rPr>
                <w:sz w:val="20"/>
                <w:szCs w:val="20"/>
                <w:color w:val="auto"/>
              </w:rPr>
            </w:pPr>
          </w:p>
        </w:tc>
      </w:tr>
      <w:tr>
        <w:trPr>
          <w:trHeight w:val="33"/>
        </w:trPr>
        <w:tc>
          <w:tcPr>
            <w:tcW w:w="4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0"/>
        </w:trPr>
        <w:tc>
          <w:tcPr>
            <w:tcW w:w="4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43"/>
        </w:trPr>
        <w:tc>
          <w:tcPr>
            <w:tcW w:w="4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Marketplace revenues:</w:t>
            </w: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5"/>
        </w:trPr>
        <w:tc>
          <w:tcPr>
            <w:tcW w:w="4180" w:type="dxa"/>
            <w:vAlign w:val="bottom"/>
          </w:tcPr>
          <w:p>
            <w:pPr>
              <w:ind w:left="20"/>
              <w:spacing w:after="0"/>
              <w:rPr>
                <w:sz w:val="20"/>
                <w:szCs w:val="20"/>
                <w:color w:val="auto"/>
              </w:rPr>
            </w:pPr>
            <w:r>
              <w:rPr>
                <w:rFonts w:ascii="Arial" w:cs="Arial" w:eastAsia="Arial" w:hAnsi="Arial"/>
                <w:sz w:val="18"/>
                <w:szCs w:val="18"/>
                <w:color w:val="auto"/>
              </w:rPr>
              <w:t>Owned Propertes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122,778</w:t>
            </w:r>
          </w:p>
        </w:tc>
        <w:tc>
          <w:tcPr>
            <w:tcW w:w="3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106,597</w:t>
            </w:r>
          </w:p>
        </w:tc>
        <w:tc>
          <w:tcPr>
            <w:tcW w:w="6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329,006</w:t>
            </w:r>
          </w:p>
        </w:tc>
        <w:tc>
          <w:tcPr>
            <w:tcW w:w="7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288,827</w:t>
            </w:r>
          </w:p>
        </w:tc>
        <w:tc>
          <w:tcPr>
            <w:tcW w:w="100" w:type="dxa"/>
            <w:vAlign w:val="bottom"/>
          </w:tcPr>
          <w:p>
            <w:pPr>
              <w:spacing w:after="0"/>
              <w:rPr>
                <w:sz w:val="20"/>
                <w:szCs w:val="20"/>
                <w:color w:val="auto"/>
              </w:rPr>
            </w:pPr>
          </w:p>
        </w:tc>
      </w:tr>
      <w:tr>
        <w:trPr>
          <w:trHeight w:val="245"/>
        </w:trPr>
        <w:tc>
          <w:tcPr>
            <w:tcW w:w="4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Private Label</w:t>
            </w:r>
          </w:p>
        </w:tc>
        <w:tc>
          <w:tcPr>
            <w:tcW w:w="2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31,610</w:t>
            </w:r>
          </w:p>
        </w:tc>
        <w:tc>
          <w:tcPr>
            <w:tcW w:w="3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23,945</w:t>
            </w:r>
          </w:p>
        </w:tc>
        <w:tc>
          <w:tcPr>
            <w:tcW w:w="3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101,113</w:t>
            </w:r>
          </w:p>
        </w:tc>
        <w:tc>
          <w:tcPr>
            <w:tcW w:w="3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82,145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180" w:type="dxa"/>
            <w:vAlign w:val="bottom"/>
          </w:tcPr>
          <w:p>
            <w:pPr>
              <w:ind w:left="20"/>
              <w:spacing w:after="0"/>
              <w:rPr>
                <w:sz w:val="20"/>
                <w:szCs w:val="20"/>
                <w:color w:val="auto"/>
              </w:rPr>
            </w:pPr>
            <w:r>
              <w:rPr>
                <w:rFonts w:ascii="Arial" w:cs="Arial" w:eastAsia="Arial" w:hAnsi="Arial"/>
                <w:sz w:val="18"/>
                <w:szCs w:val="18"/>
                <w:b w:val="1"/>
                <w:bCs w:val="1"/>
                <w:color w:val="auto"/>
              </w:rPr>
              <w:t>Total Marketplace revenues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154,388</w:t>
            </w:r>
          </w:p>
        </w:tc>
        <w:tc>
          <w:tcPr>
            <w:tcW w:w="36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130,542</w:t>
            </w:r>
          </w:p>
        </w:tc>
        <w:tc>
          <w:tcPr>
            <w:tcW w:w="3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430,119</w:t>
            </w:r>
          </w:p>
        </w:tc>
        <w:tc>
          <w:tcPr>
            <w:tcW w:w="38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370,972</w:t>
            </w:r>
          </w:p>
        </w:tc>
        <w:tc>
          <w:tcPr>
            <w:tcW w:w="100" w:type="dxa"/>
            <w:vAlign w:val="bottom"/>
          </w:tcPr>
          <w:p>
            <w:pPr>
              <w:spacing w:after="0"/>
              <w:rPr>
                <w:sz w:val="20"/>
                <w:szCs w:val="20"/>
                <w:color w:val="auto"/>
              </w:rPr>
            </w:pPr>
          </w:p>
        </w:tc>
      </w:tr>
      <w:tr>
        <w:trPr>
          <w:trHeight w:val="20"/>
        </w:trPr>
        <w:tc>
          <w:tcPr>
            <w:tcW w:w="418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6"/>
        </w:trPr>
        <w:tc>
          <w:tcPr>
            <w:tcW w:w="5980" w:type="dxa"/>
            <w:vAlign w:val="bottom"/>
            <w:gridSpan w:val="4"/>
          </w:tcPr>
          <w:p>
            <w:pPr>
              <w:spacing w:after="0"/>
              <w:rPr>
                <w:sz w:val="20"/>
                <w:szCs w:val="20"/>
                <w:color w:val="auto"/>
              </w:rPr>
            </w:pPr>
            <w:r>
              <w:rPr>
                <w:rFonts w:ascii="Arial" w:cs="Arial" w:eastAsia="Arial" w:hAnsi="Arial"/>
                <w:sz w:val="18"/>
                <w:szCs w:val="18"/>
                <w:color w:val="auto"/>
                <w:w w:val="92"/>
              </w:rPr>
              <w:t>Marketplace revenues consisted of the following event categories (in thousands):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4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0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0"/>
              </w:rPr>
              <w:t>Three Months Ended September 30,</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6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1"/>
              </w:rPr>
              <w:t>Nine Months Ended September 30,</w:t>
            </w:r>
          </w:p>
        </w:tc>
        <w:tc>
          <w:tcPr>
            <w:tcW w:w="100" w:type="dxa"/>
            <w:vAlign w:val="bottom"/>
          </w:tcPr>
          <w:p>
            <w:pPr>
              <w:spacing w:after="0"/>
              <w:rPr>
                <w:sz w:val="24"/>
                <w:szCs w:val="24"/>
                <w:color w:val="auto"/>
              </w:rPr>
            </w:pPr>
          </w:p>
        </w:tc>
      </w:tr>
      <w:tr>
        <w:trPr>
          <w:trHeight w:val="33"/>
        </w:trPr>
        <w:tc>
          <w:tcPr>
            <w:tcW w:w="4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0"/>
        </w:trPr>
        <w:tc>
          <w:tcPr>
            <w:tcW w:w="4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43"/>
        </w:trPr>
        <w:tc>
          <w:tcPr>
            <w:tcW w:w="4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Marketplace revenues:</w:t>
            </w: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5"/>
        </w:trPr>
        <w:tc>
          <w:tcPr>
            <w:tcW w:w="4180" w:type="dxa"/>
            <w:vAlign w:val="bottom"/>
          </w:tcPr>
          <w:p>
            <w:pPr>
              <w:ind w:left="20"/>
              <w:spacing w:after="0"/>
              <w:rPr>
                <w:sz w:val="20"/>
                <w:szCs w:val="20"/>
                <w:color w:val="auto"/>
              </w:rPr>
            </w:pPr>
            <w:r>
              <w:rPr>
                <w:rFonts w:ascii="Arial" w:cs="Arial" w:eastAsia="Arial" w:hAnsi="Arial"/>
                <w:sz w:val="18"/>
                <w:szCs w:val="18"/>
                <w:color w:val="auto"/>
              </w:rPr>
              <w:t>Concerts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87,142</w:t>
            </w:r>
          </w:p>
        </w:tc>
        <w:tc>
          <w:tcPr>
            <w:tcW w:w="3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63,802</w:t>
            </w:r>
          </w:p>
        </w:tc>
        <w:tc>
          <w:tcPr>
            <w:tcW w:w="6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239,762</w:t>
            </w:r>
          </w:p>
        </w:tc>
        <w:tc>
          <w:tcPr>
            <w:tcW w:w="7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188,291</w:t>
            </w:r>
          </w:p>
        </w:tc>
        <w:tc>
          <w:tcPr>
            <w:tcW w:w="100" w:type="dxa"/>
            <w:vAlign w:val="bottom"/>
          </w:tcPr>
          <w:p>
            <w:pPr>
              <w:spacing w:after="0"/>
              <w:rPr>
                <w:sz w:val="20"/>
                <w:szCs w:val="20"/>
                <w:color w:val="auto"/>
              </w:rPr>
            </w:pPr>
          </w:p>
        </w:tc>
      </w:tr>
      <w:tr>
        <w:trPr>
          <w:trHeight w:val="251"/>
        </w:trPr>
        <w:tc>
          <w:tcPr>
            <w:tcW w:w="4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Sports</w:t>
            </w: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52,169</w:t>
            </w:r>
          </w:p>
        </w:tc>
        <w:tc>
          <w:tcPr>
            <w:tcW w:w="3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52,812</w:t>
            </w:r>
          </w:p>
        </w:tc>
        <w:tc>
          <w:tcPr>
            <w:tcW w:w="3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143,118</w:t>
            </w:r>
          </w:p>
        </w:tc>
        <w:tc>
          <w:tcPr>
            <w:tcW w:w="3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143,012</w:t>
            </w:r>
          </w:p>
        </w:tc>
        <w:tc>
          <w:tcPr>
            <w:tcW w:w="100" w:type="dxa"/>
            <w:vAlign w:val="bottom"/>
            <w:shd w:val="clear" w:color="auto" w:fill="CFF0FC"/>
          </w:tcPr>
          <w:p>
            <w:pPr>
              <w:spacing w:after="0"/>
              <w:rPr>
                <w:sz w:val="21"/>
                <w:szCs w:val="21"/>
                <w:color w:val="auto"/>
              </w:rPr>
            </w:pPr>
          </w:p>
        </w:tc>
      </w:tr>
      <w:tr>
        <w:trPr>
          <w:trHeight w:val="235"/>
        </w:trPr>
        <w:tc>
          <w:tcPr>
            <w:tcW w:w="4180" w:type="dxa"/>
            <w:vAlign w:val="bottom"/>
          </w:tcPr>
          <w:p>
            <w:pPr>
              <w:ind w:left="20"/>
              <w:spacing w:after="0"/>
              <w:rPr>
                <w:sz w:val="20"/>
                <w:szCs w:val="20"/>
                <w:color w:val="auto"/>
              </w:rPr>
            </w:pPr>
            <w:r>
              <w:rPr>
                <w:rFonts w:ascii="Arial" w:cs="Arial" w:eastAsia="Arial" w:hAnsi="Arial"/>
                <w:sz w:val="18"/>
                <w:szCs w:val="18"/>
                <w:color w:val="auto"/>
              </w:rPr>
              <w:t>Theater</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14,788</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13,526</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45,705</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37,997</w:t>
            </w:r>
          </w:p>
        </w:tc>
        <w:tc>
          <w:tcPr>
            <w:tcW w:w="100" w:type="dxa"/>
            <w:vAlign w:val="bottom"/>
          </w:tcPr>
          <w:p>
            <w:pPr>
              <w:spacing w:after="0"/>
              <w:rPr>
                <w:sz w:val="20"/>
                <w:szCs w:val="20"/>
                <w:color w:val="auto"/>
              </w:rPr>
            </w:pPr>
          </w:p>
        </w:tc>
      </w:tr>
      <w:tr>
        <w:trPr>
          <w:trHeight w:val="245"/>
        </w:trPr>
        <w:tc>
          <w:tcPr>
            <w:tcW w:w="4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3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3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1,534</w:t>
            </w:r>
          </w:p>
        </w:tc>
        <w:tc>
          <w:tcPr>
            <w:tcW w:w="3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180" w:type="dxa"/>
            <w:vAlign w:val="bottom"/>
          </w:tcPr>
          <w:p>
            <w:pPr>
              <w:ind w:left="20"/>
              <w:spacing w:after="0"/>
              <w:rPr>
                <w:sz w:val="20"/>
                <w:szCs w:val="20"/>
                <w:color w:val="auto"/>
              </w:rPr>
            </w:pPr>
            <w:r>
              <w:rPr>
                <w:rFonts w:ascii="Arial" w:cs="Arial" w:eastAsia="Arial" w:hAnsi="Arial"/>
                <w:sz w:val="18"/>
                <w:szCs w:val="18"/>
                <w:b w:val="1"/>
                <w:bCs w:val="1"/>
                <w:color w:val="auto"/>
              </w:rPr>
              <w:t>Total Marketplace revenues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154,388</w:t>
            </w:r>
          </w:p>
        </w:tc>
        <w:tc>
          <w:tcPr>
            <w:tcW w:w="3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130,542</w:t>
            </w:r>
          </w:p>
        </w:tc>
        <w:tc>
          <w:tcPr>
            <w:tcW w:w="6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430,119</w:t>
            </w:r>
          </w:p>
        </w:tc>
        <w:tc>
          <w:tcPr>
            <w:tcW w:w="7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370,972</w:t>
            </w:r>
          </w:p>
        </w:tc>
        <w:tc>
          <w:tcPr>
            <w:tcW w:w="100" w:type="dxa"/>
            <w:vAlign w:val="bottom"/>
          </w:tcPr>
          <w:p>
            <w:pPr>
              <w:spacing w:after="0"/>
              <w:rPr>
                <w:sz w:val="20"/>
                <w:szCs w:val="20"/>
                <w:color w:val="auto"/>
              </w:rPr>
            </w:pPr>
          </w:p>
        </w:tc>
      </w:tr>
      <w:tr>
        <w:trPr>
          <w:trHeight w:val="20"/>
        </w:trPr>
        <w:tc>
          <w:tcPr>
            <w:tcW w:w="4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-1765300</wp:posOffset>
            </wp:positionV>
            <wp:extent cx="77470" cy="1885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-1765300</wp:posOffset>
            </wp:positionV>
            <wp:extent cx="68580" cy="1885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-1765300</wp:posOffset>
            </wp:positionV>
            <wp:extent cx="68580" cy="1885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1885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-187960</wp:posOffset>
            </wp:positionV>
            <wp:extent cx="77470" cy="1885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-187960</wp:posOffset>
            </wp:positionV>
            <wp:extent cx="68580" cy="1885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-187960</wp:posOffset>
            </wp:positionV>
            <wp:extent cx="68580" cy="1885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9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Resale revenues were $33.7 million and $84.5 million during the three and nine months ended September 30, 2023, respectvely, and $26.3 million and $64.3 million during the three and nine months ended September 30, 2022, respectvely.</w:t>
      </w:r>
    </w:p>
    <w:p>
      <w:pPr>
        <w:spacing w:after="0" w:line="1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September 30, 2023, Deferred revenue in the Condensed Consolidated Balance Sheets was $34.4 million, which primarily relates to Vivid Seats Rewards, our loyalty program. Stamps earned under the program expire in two to three years, if not converted to credits, and credits expire in two to four years, if not redeemed. We expect to recognize all outstanding deferred revenue in the next seven years.</w:t>
      </w:r>
    </w:p>
    <w:p>
      <w:pPr>
        <w:spacing w:after="0" w:line="10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At December 31, 2022, $32.0 million was recorded as Deferred revenue, of which $1.9 million and $13.6 million was recognized as revenue during the three and nine months ended September 30, 2023, respectvely. At December 31,</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2021, $25.1 million was recorded as Deferred revenue, of which $1.2 million and $7.2 million was recognized as revenue during the three and nine months ended September 30, 2022, respectvely.</w:t>
      </w:r>
    </w:p>
    <w:p>
      <w:pPr>
        <w:spacing w:after="0" w:line="94"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egment</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eporting</w:t>
      </w:r>
    </w:p>
    <w:p>
      <w:pPr>
        <w:spacing w:after="0" w:line="160"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Our reportable segments are Marketplace and Resale. Through the Marketplace segment, we act as an intermediary between tcket buyers and sellers within our online secondary tcket marketplace. Through the Resale segment, we acquire tckets from primary sellers, which we then sell through secondary tcket marketplaces, including our own. Revenues and contributon margin are used by our Chief Operatng Decision Maker ("CODM") to assess performance of the business. We defne contributon margin as revenues less cost of revenues and marketng and selling expenses.</w:t>
      </w:r>
    </w:p>
    <w:p>
      <w:pPr>
        <w:spacing w:after="0" w:line="9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We do not report our assets, capital expenditures, general and administratve expenses or related depreciaton and amortzaton expenses by segment because our CODM does not use this informaton to evaluate the performance of our operatng segments.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represent our segment informaton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40" w:type="dxa"/>
            <w:vAlign w:val="bottom"/>
            <w:gridSpan w:val="6"/>
          </w:tcPr>
          <w:p>
            <w:pPr>
              <w:jc w:val="right"/>
              <w:spacing w:after="0"/>
              <w:rPr>
                <w:sz w:val="20"/>
                <w:szCs w:val="20"/>
                <w:color w:val="auto"/>
              </w:rPr>
            </w:pPr>
            <w:r>
              <w:rPr>
                <w:rFonts w:ascii="Arial" w:cs="Arial" w:eastAsia="Arial" w:hAnsi="Arial"/>
                <w:sz w:val="14"/>
                <w:szCs w:val="14"/>
                <w:b w:val="1"/>
                <w:bCs w:val="1"/>
                <w:color w:val="auto"/>
              </w:rPr>
              <w:t>Three Months Ended September 30, 2023</w:t>
            </w: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72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0"/>
              </w:rPr>
              <w:t>Nine Months Ended September 30, 2023</w:t>
            </w:r>
          </w:p>
        </w:tc>
        <w:tc>
          <w:tcPr>
            <w:tcW w:w="0" w:type="dxa"/>
            <w:vAlign w:val="bottom"/>
          </w:tcPr>
          <w:p>
            <w:pPr>
              <w:spacing w:after="0"/>
              <w:rPr>
                <w:sz w:val="1"/>
                <w:szCs w:val="1"/>
                <w:color w:val="auto"/>
              </w:rPr>
            </w:pPr>
          </w:p>
        </w:tc>
      </w:tr>
      <w:tr>
        <w:trPr>
          <w:trHeight w:val="29"/>
        </w:trPr>
        <w:tc>
          <w:tcPr>
            <w:tcW w:w="2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58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Marketplace</w:t>
            </w:r>
          </w:p>
        </w:tc>
        <w:tc>
          <w:tcPr>
            <w:tcW w:w="360" w:type="dxa"/>
            <w:vAlign w:val="bottom"/>
            <w:tcBorders>
              <w:top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Resale</w:t>
            </w:r>
          </w:p>
        </w:tc>
        <w:tc>
          <w:tcPr>
            <w:tcW w:w="28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85"/>
              </w:rPr>
              <w:t>Consolidated</w:t>
            </w:r>
          </w:p>
        </w:tc>
        <w:tc>
          <w:tcPr>
            <w:tcW w:w="26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6"/>
              </w:rPr>
              <w:t>Marketplace</w:t>
            </w:r>
          </w:p>
        </w:tc>
        <w:tc>
          <w:tcPr>
            <w:tcW w:w="24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4"/>
              </w:rPr>
              <w:t>Resale</w:t>
            </w:r>
          </w:p>
        </w:tc>
        <w:tc>
          <w:tcPr>
            <w:tcW w:w="26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Revenues</w:t>
            </w:r>
          </w:p>
        </w:tc>
        <w:tc>
          <w:tcPr>
            <w:tcW w:w="180" w:type="dxa"/>
            <w:vAlign w:val="bottom"/>
            <w:tcBorders>
              <w:bottom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154,388</w:t>
            </w:r>
          </w:p>
        </w:tc>
        <w:tc>
          <w:tcPr>
            <w:tcW w:w="3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33,745</w:t>
            </w:r>
          </w:p>
        </w:tc>
        <w:tc>
          <w:tcPr>
            <w:tcW w:w="28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188,133</w:t>
            </w:r>
          </w:p>
        </w:tc>
        <w:tc>
          <w:tcPr>
            <w:tcW w:w="2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430,119</w:t>
            </w:r>
          </w:p>
        </w:tc>
        <w:tc>
          <w:tcPr>
            <w:tcW w:w="2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84,457</w:t>
            </w:r>
          </w:p>
        </w:tc>
        <w:tc>
          <w:tcPr>
            <w:tcW w:w="2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514,576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580" w:type="dxa"/>
            <w:vAlign w:val="bottom"/>
          </w:tcPr>
          <w:p>
            <w:pPr>
              <w:ind w:left="20"/>
              <w:spacing w:after="0"/>
              <w:rPr>
                <w:sz w:val="20"/>
                <w:szCs w:val="20"/>
                <w:color w:val="auto"/>
              </w:rPr>
            </w:pPr>
            <w:r>
              <w:rPr>
                <w:rFonts w:ascii="Arial" w:cs="Arial" w:eastAsia="Arial" w:hAnsi="Arial"/>
                <w:sz w:val="14"/>
                <w:szCs w:val="14"/>
                <w:color w:val="auto"/>
              </w:rPr>
              <w:t>Cost of revenues (exclusive of</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rPr>
                <w:sz w:val="20"/>
                <w:szCs w:val="20"/>
                <w:color w:val="auto"/>
              </w:rPr>
            </w:pPr>
            <w:r>
              <w:rPr>
                <w:rFonts w:ascii="Arial" w:cs="Arial" w:eastAsia="Arial" w:hAnsi="Arial"/>
                <w:sz w:val="14"/>
                <w:szCs w:val="14"/>
                <w:color w:val="auto"/>
              </w:rPr>
              <w:t>depreciaton and amortzaton shown</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23,923</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26,539</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50,462</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66,749</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64,089</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130,838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580" w:type="dxa"/>
            <w:vAlign w:val="bottom"/>
          </w:tcPr>
          <w:p>
            <w:pPr>
              <w:ind w:left="20"/>
              <w:spacing w:after="0"/>
              <w:rPr>
                <w:sz w:val="20"/>
                <w:szCs w:val="20"/>
                <w:color w:val="auto"/>
              </w:rPr>
            </w:pPr>
            <w:r>
              <w:rPr>
                <w:rFonts w:ascii="Arial" w:cs="Arial" w:eastAsia="Arial" w:hAnsi="Arial"/>
                <w:sz w:val="14"/>
                <w:szCs w:val="14"/>
                <w:color w:val="auto"/>
              </w:rPr>
              <w:t>separately below)</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Marketng and selling</w:t>
            </w:r>
          </w:p>
        </w:tc>
        <w:tc>
          <w:tcPr>
            <w:tcW w:w="18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77,006</w:t>
            </w:r>
          </w:p>
        </w:tc>
        <w:tc>
          <w:tcPr>
            <w:tcW w:w="3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77,006</w:t>
            </w:r>
          </w:p>
        </w:tc>
        <w:tc>
          <w:tcPr>
            <w:tcW w:w="2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196,970</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196,970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580" w:type="dxa"/>
            <w:vAlign w:val="bottom"/>
            <w:tcBorders>
              <w:top w:val="single" w:sz="8" w:color="CFF0FC"/>
            </w:tcBorders>
          </w:tcPr>
          <w:p>
            <w:pPr>
              <w:ind w:left="20"/>
              <w:spacing w:after="0"/>
              <w:rPr>
                <w:sz w:val="20"/>
                <w:szCs w:val="20"/>
                <w:color w:val="auto"/>
              </w:rPr>
            </w:pPr>
            <w:r>
              <w:rPr>
                <w:rFonts w:ascii="Arial" w:cs="Arial" w:eastAsia="Arial" w:hAnsi="Arial"/>
                <w:sz w:val="14"/>
                <w:szCs w:val="14"/>
                <w:b w:val="1"/>
                <w:bCs w:val="1"/>
                <w:color w:val="auto"/>
              </w:rPr>
              <w:t>Contributon margin</w:t>
            </w: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53,459</w:t>
            </w:r>
          </w:p>
        </w:tc>
        <w:tc>
          <w:tcPr>
            <w:tcW w:w="360" w:type="dxa"/>
            <w:vAlign w:val="bottom"/>
            <w:tcBorders>
              <w:top w:val="single" w:sz="8" w:color="CFF0FC"/>
            </w:tcBorders>
          </w:tcPr>
          <w:p>
            <w:pPr>
              <w:spacing w:after="0"/>
              <w:rPr>
                <w:sz w:val="16"/>
                <w:szCs w:val="16"/>
                <w:color w:val="auto"/>
              </w:rPr>
            </w:pPr>
          </w:p>
        </w:tc>
        <w:tc>
          <w:tcPr>
            <w:tcW w:w="2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7,206</w:t>
            </w:r>
          </w:p>
        </w:tc>
        <w:tc>
          <w:tcPr>
            <w:tcW w:w="280" w:type="dxa"/>
            <w:vAlign w:val="bottom"/>
            <w:tcBorders>
              <w:top w:val="single" w:sz="8" w:color="CFF0FC"/>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60,665</w:t>
            </w:r>
          </w:p>
        </w:tc>
        <w:tc>
          <w:tcPr>
            <w:tcW w:w="26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166,400</w:t>
            </w:r>
          </w:p>
        </w:tc>
        <w:tc>
          <w:tcPr>
            <w:tcW w:w="240" w:type="dxa"/>
            <w:vAlign w:val="bottom"/>
            <w:tcBorders>
              <w:top w:val="single" w:sz="8" w:color="CFF0FC"/>
            </w:tcBorders>
          </w:tcPr>
          <w:p>
            <w:pPr>
              <w:spacing w:after="0"/>
              <w:rPr>
                <w:sz w:val="16"/>
                <w:szCs w:val="16"/>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20,368</w:t>
            </w:r>
          </w:p>
        </w:tc>
        <w:tc>
          <w:tcPr>
            <w:tcW w:w="26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186,768</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General and administratve</w:t>
            </w:r>
          </w:p>
        </w:tc>
        <w:tc>
          <w:tcPr>
            <w:tcW w:w="18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37,225</w:t>
            </w:r>
          </w:p>
        </w:tc>
        <w:tc>
          <w:tcPr>
            <w:tcW w:w="2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107,921</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580" w:type="dxa"/>
            <w:vAlign w:val="bottom"/>
          </w:tcPr>
          <w:p>
            <w:pPr>
              <w:ind w:left="20"/>
              <w:spacing w:after="0"/>
              <w:rPr>
                <w:sz w:val="20"/>
                <w:szCs w:val="20"/>
                <w:color w:val="auto"/>
              </w:rPr>
            </w:pPr>
            <w:r>
              <w:rPr>
                <w:rFonts w:ascii="Arial" w:cs="Arial" w:eastAsia="Arial" w:hAnsi="Arial"/>
                <w:sz w:val="14"/>
                <w:szCs w:val="14"/>
                <w:color w:val="auto"/>
              </w:rPr>
              <w:t>Depreciaton and amortzaton</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3,301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8,603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580" w:type="dxa"/>
            <w:vAlign w:val="bottom"/>
            <w:shd w:val="clear" w:color="auto" w:fill="CFF0FC"/>
          </w:tcPr>
          <w:p>
            <w:pPr>
              <w:ind w:left="20"/>
              <w:spacing w:after="0"/>
              <w:rPr>
                <w:sz w:val="20"/>
                <w:szCs w:val="20"/>
                <w:color w:val="auto"/>
              </w:rPr>
            </w:pPr>
            <w:r>
              <w:rPr>
                <w:rFonts w:ascii="Arial" w:cs="Arial" w:eastAsia="Arial" w:hAnsi="Arial"/>
                <w:sz w:val="14"/>
                <w:szCs w:val="14"/>
                <w:color w:val="auto"/>
              </w:rPr>
              <w:t>Change in fair value of contngent</w:t>
            </w:r>
          </w:p>
        </w:tc>
        <w:tc>
          <w:tcPr>
            <w:tcW w:w="1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4"/>
                <w:szCs w:val="14"/>
                <w:color w:val="auto"/>
              </w:rPr>
              <w:t>(998 )</w:t>
            </w:r>
          </w:p>
        </w:tc>
        <w:tc>
          <w:tcPr>
            <w:tcW w:w="0" w:type="dxa"/>
            <w:vAlign w:val="bottom"/>
          </w:tcPr>
          <w:p>
            <w:pPr>
              <w:spacing w:after="0"/>
              <w:rPr>
                <w:sz w:val="1"/>
                <w:szCs w:val="1"/>
                <w:color w:val="auto"/>
              </w:rPr>
            </w:pPr>
          </w:p>
        </w:tc>
      </w:tr>
      <w:tr>
        <w:trPr>
          <w:trHeight w:val="87"/>
        </w:trPr>
        <w:tc>
          <w:tcPr>
            <w:tcW w:w="2580" w:type="dxa"/>
            <w:vAlign w:val="bottom"/>
            <w:vMerge w:val="restart"/>
            <w:shd w:val="clear" w:color="auto" w:fill="CFF0FC"/>
          </w:tcPr>
          <w:p>
            <w:pPr>
              <w:ind w:left="20"/>
              <w:spacing w:after="0"/>
              <w:rPr>
                <w:sz w:val="20"/>
                <w:szCs w:val="20"/>
                <w:color w:val="auto"/>
              </w:rPr>
            </w:pPr>
            <w:r>
              <w:rPr>
                <w:rFonts w:ascii="Arial" w:cs="Arial" w:eastAsia="Arial" w:hAnsi="Arial"/>
                <w:sz w:val="14"/>
                <w:szCs w:val="14"/>
                <w:color w:val="auto"/>
              </w:rPr>
              <w:t>consideraton</w:t>
            </w:r>
          </w:p>
        </w:tc>
        <w:tc>
          <w:tcPr>
            <w:tcW w:w="180" w:type="dxa"/>
            <w:vAlign w:val="bottom"/>
            <w:shd w:val="clear" w:color="auto" w:fill="CFF0FC"/>
          </w:tcPr>
          <w:p>
            <w:pPr>
              <w:spacing w:after="0"/>
              <w:rPr>
                <w:sz w:val="7"/>
                <w:szCs w:val="7"/>
                <w:color w:val="auto"/>
              </w:rPr>
            </w:pPr>
          </w:p>
        </w:tc>
        <w:tc>
          <w:tcPr>
            <w:tcW w:w="1140" w:type="dxa"/>
            <w:vAlign w:val="bottom"/>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1020" w:type="dxa"/>
            <w:vAlign w:val="bottom"/>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1040" w:type="dxa"/>
            <w:vAlign w:val="bottom"/>
            <w:vMerge w:val="continue"/>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00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76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1120" w:type="dxa"/>
            <w:vAlign w:val="bottom"/>
            <w:gridSpan w:val="2"/>
            <w:vMerge w:val="continue"/>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580" w:type="dxa"/>
            <w:vAlign w:val="bottom"/>
            <w:tcBorders>
              <w:bottom w:val="single" w:sz="8" w:color="CFF0FC"/>
            </w:tcBorders>
            <w:vMerge w:val="continue"/>
            <w:shd w:val="clear" w:color="auto" w:fill="CFF0FC"/>
          </w:tcPr>
          <w:p>
            <w:pPr>
              <w:spacing w:after="0"/>
              <w:rPr>
                <w:sz w:val="9"/>
                <w:szCs w:val="9"/>
                <w:color w:val="auto"/>
              </w:rPr>
            </w:pPr>
          </w:p>
        </w:tc>
        <w:tc>
          <w:tcPr>
            <w:tcW w:w="180" w:type="dxa"/>
            <w:vAlign w:val="bottom"/>
            <w:tcBorders>
              <w:bottom w:val="single" w:sz="8" w:color="CFF0FC"/>
            </w:tcBorders>
            <w:shd w:val="clear" w:color="auto" w:fill="CFF0FC"/>
          </w:tcPr>
          <w:p>
            <w:pPr>
              <w:spacing w:after="0"/>
              <w:rPr>
                <w:sz w:val="9"/>
                <w:szCs w:val="9"/>
                <w:color w:val="auto"/>
              </w:rPr>
            </w:pPr>
          </w:p>
        </w:tc>
        <w:tc>
          <w:tcPr>
            <w:tcW w:w="1140" w:type="dxa"/>
            <w:vAlign w:val="bottom"/>
            <w:tcBorders>
              <w:bottom w:val="single" w:sz="8" w:color="CFF0FC"/>
            </w:tcBorders>
            <w:shd w:val="clear" w:color="auto" w:fill="CFF0FC"/>
          </w:tcPr>
          <w:p>
            <w:pPr>
              <w:spacing w:after="0"/>
              <w:rPr>
                <w:sz w:val="9"/>
                <w:szCs w:val="9"/>
                <w:color w:val="auto"/>
              </w:rPr>
            </w:pPr>
          </w:p>
        </w:tc>
        <w:tc>
          <w:tcPr>
            <w:tcW w:w="360" w:type="dxa"/>
            <w:vAlign w:val="bottom"/>
            <w:tcBorders>
              <w:bottom w:val="single" w:sz="8" w:color="CFF0FC"/>
            </w:tcBorders>
            <w:shd w:val="clear" w:color="auto" w:fill="CFF0FC"/>
          </w:tcPr>
          <w:p>
            <w:pPr>
              <w:spacing w:after="0"/>
              <w:rPr>
                <w:sz w:val="9"/>
                <w:szCs w:val="9"/>
                <w:color w:val="auto"/>
              </w:rPr>
            </w:pPr>
          </w:p>
        </w:tc>
        <w:tc>
          <w:tcPr>
            <w:tcW w:w="280" w:type="dxa"/>
            <w:vAlign w:val="bottom"/>
            <w:tcBorders>
              <w:bottom w:val="single" w:sz="8" w:color="CFF0FC"/>
            </w:tcBorders>
            <w:shd w:val="clear" w:color="auto" w:fill="CFF0FC"/>
          </w:tcPr>
          <w:p>
            <w:pPr>
              <w:spacing w:after="0"/>
              <w:rPr>
                <w:sz w:val="9"/>
                <w:szCs w:val="9"/>
                <w:color w:val="auto"/>
              </w:rPr>
            </w:pPr>
          </w:p>
        </w:tc>
        <w:tc>
          <w:tcPr>
            <w:tcW w:w="1020" w:type="dxa"/>
            <w:vAlign w:val="bottom"/>
            <w:tcBorders>
              <w:bottom w:val="single" w:sz="8" w:color="CFF0FC"/>
            </w:tcBorders>
            <w:shd w:val="clear" w:color="auto" w:fill="CFF0FC"/>
          </w:tcPr>
          <w:p>
            <w:pPr>
              <w:spacing w:after="0"/>
              <w:rPr>
                <w:sz w:val="9"/>
                <w:szCs w:val="9"/>
                <w:color w:val="auto"/>
              </w:rPr>
            </w:pPr>
          </w:p>
        </w:tc>
        <w:tc>
          <w:tcPr>
            <w:tcW w:w="280" w:type="dxa"/>
            <w:vAlign w:val="bottom"/>
            <w:tcBorders>
              <w:bottom w:val="single" w:sz="8" w:color="CFF0FC"/>
            </w:tcBorders>
            <w:shd w:val="clear" w:color="auto" w:fill="CFF0FC"/>
          </w:tcPr>
          <w:p>
            <w:pPr>
              <w:spacing w:after="0"/>
              <w:rPr>
                <w:sz w:val="9"/>
                <w:szCs w:val="9"/>
                <w:color w:val="auto"/>
              </w:rPr>
            </w:pPr>
          </w:p>
        </w:tc>
        <w:tc>
          <w:tcPr>
            <w:tcW w:w="260" w:type="dxa"/>
            <w:vAlign w:val="bottom"/>
            <w:tcBorders>
              <w:bottom w:val="single" w:sz="8" w:color="auto"/>
            </w:tcBorders>
            <w:shd w:val="clear" w:color="auto" w:fill="CFF0FC"/>
          </w:tcPr>
          <w:p>
            <w:pPr>
              <w:spacing w:after="0"/>
              <w:rPr>
                <w:sz w:val="9"/>
                <w:szCs w:val="9"/>
                <w:color w:val="auto"/>
              </w:rPr>
            </w:pPr>
          </w:p>
        </w:tc>
        <w:tc>
          <w:tcPr>
            <w:tcW w:w="1040" w:type="dxa"/>
            <w:vAlign w:val="bottom"/>
            <w:tcBorders>
              <w:bottom w:val="single" w:sz="8" w:color="auto"/>
            </w:tcBorders>
            <w:shd w:val="clear" w:color="auto" w:fill="CFF0FC"/>
          </w:tcPr>
          <w:p>
            <w:pPr>
              <w:spacing w:after="0"/>
              <w:rPr>
                <w:sz w:val="9"/>
                <w:szCs w:val="9"/>
                <w:color w:val="auto"/>
              </w:rPr>
            </w:pPr>
          </w:p>
        </w:tc>
        <w:tc>
          <w:tcPr>
            <w:tcW w:w="26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1000" w:type="dxa"/>
            <w:vAlign w:val="bottom"/>
            <w:tcBorders>
              <w:bottom w:val="single" w:sz="8" w:color="CFF0FC"/>
            </w:tcBorders>
            <w:shd w:val="clear" w:color="auto" w:fill="CFF0FC"/>
          </w:tcPr>
          <w:p>
            <w:pPr>
              <w:spacing w:after="0"/>
              <w:rPr>
                <w:sz w:val="9"/>
                <w:szCs w:val="9"/>
                <w:color w:val="auto"/>
              </w:rPr>
            </w:pPr>
          </w:p>
        </w:tc>
        <w:tc>
          <w:tcPr>
            <w:tcW w:w="240" w:type="dxa"/>
            <w:vAlign w:val="bottom"/>
            <w:tcBorders>
              <w:bottom w:val="single" w:sz="8" w:color="CFF0FC"/>
            </w:tcBorders>
            <w:shd w:val="clear" w:color="auto" w:fill="CFF0FC"/>
          </w:tcPr>
          <w:p>
            <w:pPr>
              <w:spacing w:after="0"/>
              <w:rPr>
                <w:sz w:val="9"/>
                <w:szCs w:val="9"/>
                <w:color w:val="auto"/>
              </w:rPr>
            </w:pPr>
          </w:p>
        </w:tc>
        <w:tc>
          <w:tcPr>
            <w:tcW w:w="20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CFF0FC"/>
            </w:tcBorders>
            <w:shd w:val="clear" w:color="auto" w:fill="CFF0FC"/>
          </w:tcPr>
          <w:p>
            <w:pPr>
              <w:spacing w:after="0"/>
              <w:rPr>
                <w:sz w:val="9"/>
                <w:szCs w:val="9"/>
                <w:color w:val="auto"/>
              </w:rPr>
            </w:pPr>
          </w:p>
        </w:tc>
        <w:tc>
          <w:tcPr>
            <w:tcW w:w="260" w:type="dxa"/>
            <w:vAlign w:val="bottom"/>
            <w:tcBorders>
              <w:bottom w:val="single" w:sz="8" w:color="CFF0FC"/>
            </w:tcBorders>
            <w:shd w:val="clear" w:color="auto" w:fill="CFF0FC"/>
          </w:tcPr>
          <w:p>
            <w:pPr>
              <w:spacing w:after="0"/>
              <w:rPr>
                <w:sz w:val="9"/>
                <w:szCs w:val="9"/>
                <w:color w:val="auto"/>
              </w:rPr>
            </w:pPr>
          </w:p>
        </w:tc>
        <w:tc>
          <w:tcPr>
            <w:tcW w:w="140" w:type="dxa"/>
            <w:vAlign w:val="bottom"/>
            <w:tcBorders>
              <w:bottom w:val="single" w:sz="8" w:color="auto"/>
            </w:tcBorders>
            <w:shd w:val="clear" w:color="auto" w:fill="CFF0FC"/>
          </w:tcPr>
          <w:p>
            <w:pPr>
              <w:spacing w:after="0"/>
              <w:rPr>
                <w:sz w:val="9"/>
                <w:szCs w:val="9"/>
                <w:color w:val="auto"/>
              </w:rPr>
            </w:pPr>
          </w:p>
        </w:tc>
        <w:tc>
          <w:tcPr>
            <w:tcW w:w="1020" w:type="dxa"/>
            <w:vAlign w:val="bottom"/>
            <w:tcBorders>
              <w:bottom w:val="single" w:sz="8" w:color="auto"/>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580" w:type="dxa"/>
            <w:vAlign w:val="bottom"/>
          </w:tcPr>
          <w:p>
            <w:pPr>
              <w:ind w:left="20"/>
              <w:spacing w:after="0"/>
              <w:rPr>
                <w:sz w:val="20"/>
                <w:szCs w:val="20"/>
                <w:color w:val="auto"/>
              </w:rPr>
            </w:pPr>
            <w:r>
              <w:rPr>
                <w:rFonts w:ascii="Arial" w:cs="Arial" w:eastAsia="Arial" w:hAnsi="Arial"/>
                <w:sz w:val="14"/>
                <w:szCs w:val="14"/>
                <w:b w:val="1"/>
                <w:bCs w:val="1"/>
                <w:color w:val="auto"/>
              </w:rPr>
              <w:t>Income from operatons</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20,119</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71,242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Interest expense – net</w:t>
            </w:r>
          </w:p>
        </w:tc>
        <w:tc>
          <w:tcPr>
            <w:tcW w:w="18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2,544</w:t>
            </w:r>
          </w:p>
        </w:tc>
        <w:tc>
          <w:tcPr>
            <w:tcW w:w="2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8,596</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580" w:type="dxa"/>
            <w:vAlign w:val="bottom"/>
          </w:tcPr>
          <w:p>
            <w:pPr>
              <w:ind w:left="20"/>
              <w:spacing w:after="0"/>
              <w:rPr>
                <w:sz w:val="20"/>
                <w:szCs w:val="20"/>
                <w:color w:val="auto"/>
              </w:rPr>
            </w:pPr>
            <w:r>
              <w:rPr>
                <w:rFonts w:ascii="Arial" w:cs="Arial" w:eastAsia="Arial" w:hAnsi="Arial"/>
                <w:sz w:val="14"/>
                <w:szCs w:val="14"/>
                <w:color w:val="auto"/>
              </w:rPr>
              <w:t>Other income</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(1,038 )</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(365 )</w:t>
            </w:r>
          </w:p>
        </w:tc>
        <w:tc>
          <w:tcPr>
            <w:tcW w:w="0" w:type="dxa"/>
            <w:vAlign w:val="bottom"/>
          </w:tcPr>
          <w:p>
            <w:pPr>
              <w:spacing w:after="0"/>
              <w:rPr>
                <w:sz w:val="1"/>
                <w:szCs w:val="1"/>
                <w:color w:val="auto"/>
              </w:rPr>
            </w:pPr>
          </w:p>
        </w:tc>
      </w:tr>
      <w:tr>
        <w:trPr>
          <w:trHeight w:val="21"/>
        </w:trPr>
        <w:tc>
          <w:tcPr>
            <w:tcW w:w="2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Income before income taxes</w:t>
            </w:r>
          </w:p>
        </w:tc>
        <w:tc>
          <w:tcPr>
            <w:tcW w:w="18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18,613</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63,011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525"/>
        </w:trPr>
        <w:tc>
          <w:tcPr>
            <w:tcW w:w="2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40" w:type="dxa"/>
            <w:vAlign w:val="bottom"/>
            <w:gridSpan w:val="6"/>
          </w:tcPr>
          <w:p>
            <w:pPr>
              <w:jc w:val="right"/>
              <w:spacing w:after="0"/>
              <w:rPr>
                <w:sz w:val="20"/>
                <w:szCs w:val="20"/>
                <w:color w:val="auto"/>
              </w:rPr>
            </w:pPr>
            <w:r>
              <w:rPr>
                <w:rFonts w:ascii="Arial" w:cs="Arial" w:eastAsia="Arial" w:hAnsi="Arial"/>
                <w:sz w:val="14"/>
                <w:szCs w:val="14"/>
                <w:b w:val="1"/>
                <w:bCs w:val="1"/>
                <w:color w:val="auto"/>
              </w:rPr>
              <w:t>Three Months Ended September 30, 2022</w:t>
            </w: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0"/>
              </w:rPr>
              <w:t>Nine Months Ended September 30, 2022</w:t>
            </w:r>
          </w:p>
        </w:tc>
        <w:tc>
          <w:tcPr>
            <w:tcW w:w="0" w:type="dxa"/>
            <w:vAlign w:val="bottom"/>
          </w:tcPr>
          <w:p>
            <w:pPr>
              <w:spacing w:after="0"/>
              <w:rPr>
                <w:sz w:val="1"/>
                <w:szCs w:val="1"/>
                <w:color w:val="auto"/>
              </w:rPr>
            </w:pPr>
          </w:p>
        </w:tc>
      </w:tr>
      <w:tr>
        <w:trPr>
          <w:trHeight w:val="30"/>
        </w:trPr>
        <w:tc>
          <w:tcPr>
            <w:tcW w:w="2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58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Marketplace</w:t>
            </w:r>
          </w:p>
        </w:tc>
        <w:tc>
          <w:tcPr>
            <w:tcW w:w="360" w:type="dxa"/>
            <w:vAlign w:val="bottom"/>
            <w:tcBorders>
              <w:top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Resale</w:t>
            </w:r>
          </w:p>
        </w:tc>
        <w:tc>
          <w:tcPr>
            <w:tcW w:w="28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85"/>
              </w:rPr>
              <w:t>Consolidated</w:t>
            </w:r>
          </w:p>
        </w:tc>
        <w:tc>
          <w:tcPr>
            <w:tcW w:w="26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6"/>
              </w:rPr>
              <w:t>Marketplace</w:t>
            </w:r>
          </w:p>
        </w:tc>
        <w:tc>
          <w:tcPr>
            <w:tcW w:w="24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4"/>
              </w:rPr>
              <w:t>Resale</w:t>
            </w:r>
          </w:p>
        </w:tc>
        <w:tc>
          <w:tcPr>
            <w:tcW w:w="26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Revenues</w:t>
            </w:r>
          </w:p>
        </w:tc>
        <w:tc>
          <w:tcPr>
            <w:tcW w:w="180" w:type="dxa"/>
            <w:vAlign w:val="bottom"/>
            <w:tcBorders>
              <w:bottom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130,542</w:t>
            </w:r>
          </w:p>
        </w:tc>
        <w:tc>
          <w:tcPr>
            <w:tcW w:w="3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26,276</w:t>
            </w:r>
          </w:p>
        </w:tc>
        <w:tc>
          <w:tcPr>
            <w:tcW w:w="28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156,818</w:t>
            </w:r>
          </w:p>
        </w:tc>
        <w:tc>
          <w:tcPr>
            <w:tcW w:w="2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370,972</w:t>
            </w:r>
          </w:p>
        </w:tc>
        <w:tc>
          <w:tcPr>
            <w:tcW w:w="2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64,312</w:t>
            </w:r>
          </w:p>
        </w:tc>
        <w:tc>
          <w:tcPr>
            <w:tcW w:w="2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435,284</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580" w:type="dxa"/>
            <w:vAlign w:val="bottom"/>
          </w:tcPr>
          <w:p>
            <w:pPr>
              <w:ind w:left="20"/>
              <w:spacing w:after="0"/>
              <w:rPr>
                <w:sz w:val="20"/>
                <w:szCs w:val="20"/>
                <w:color w:val="auto"/>
              </w:rPr>
            </w:pPr>
            <w:r>
              <w:rPr>
                <w:rFonts w:ascii="Arial" w:cs="Arial" w:eastAsia="Arial" w:hAnsi="Arial"/>
                <w:sz w:val="14"/>
                <w:szCs w:val="14"/>
                <w:color w:val="auto"/>
              </w:rPr>
              <w:t>Cost of revenues (exclusive of</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rPr>
                <w:sz w:val="20"/>
                <w:szCs w:val="20"/>
                <w:color w:val="auto"/>
              </w:rPr>
            </w:pPr>
            <w:r>
              <w:rPr>
                <w:rFonts w:ascii="Arial" w:cs="Arial" w:eastAsia="Arial" w:hAnsi="Arial"/>
                <w:sz w:val="14"/>
                <w:szCs w:val="14"/>
                <w:color w:val="auto"/>
              </w:rPr>
              <w:t>depreciaton and amortzaton shown</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580" w:type="dxa"/>
            <w:vAlign w:val="bottom"/>
          </w:tcPr>
          <w:p>
            <w:pPr>
              <w:ind w:left="20"/>
              <w:spacing w:after="0"/>
              <w:rPr>
                <w:sz w:val="20"/>
                <w:szCs w:val="20"/>
                <w:color w:val="auto"/>
              </w:rPr>
            </w:pPr>
            <w:r>
              <w:rPr>
                <w:rFonts w:ascii="Arial" w:cs="Arial" w:eastAsia="Arial" w:hAnsi="Arial"/>
                <w:sz w:val="14"/>
                <w:szCs w:val="14"/>
                <w:color w:val="auto"/>
              </w:rPr>
              <w:t>separately below)</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17,950</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19,667</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37,617</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52,912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49,291</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102,203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Marketng and selling</w:t>
            </w:r>
          </w:p>
        </w:tc>
        <w:tc>
          <w:tcPr>
            <w:tcW w:w="18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66,323</w:t>
            </w:r>
          </w:p>
        </w:tc>
        <w:tc>
          <w:tcPr>
            <w:tcW w:w="3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66,323</w:t>
            </w:r>
          </w:p>
        </w:tc>
        <w:tc>
          <w:tcPr>
            <w:tcW w:w="2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179,963</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179,963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580" w:type="dxa"/>
            <w:vAlign w:val="bottom"/>
            <w:tcBorders>
              <w:top w:val="single" w:sz="8" w:color="CFF0FC"/>
            </w:tcBorders>
          </w:tcPr>
          <w:p>
            <w:pPr>
              <w:ind w:left="20"/>
              <w:spacing w:after="0"/>
              <w:rPr>
                <w:sz w:val="20"/>
                <w:szCs w:val="20"/>
                <w:color w:val="auto"/>
              </w:rPr>
            </w:pPr>
            <w:r>
              <w:rPr>
                <w:rFonts w:ascii="Arial" w:cs="Arial" w:eastAsia="Arial" w:hAnsi="Arial"/>
                <w:sz w:val="14"/>
                <w:szCs w:val="14"/>
                <w:b w:val="1"/>
                <w:bCs w:val="1"/>
                <w:color w:val="auto"/>
              </w:rPr>
              <w:t>Contributon margin</w:t>
            </w: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46,269</w:t>
            </w:r>
          </w:p>
        </w:tc>
        <w:tc>
          <w:tcPr>
            <w:tcW w:w="360" w:type="dxa"/>
            <w:vAlign w:val="bottom"/>
            <w:tcBorders>
              <w:top w:val="single" w:sz="8" w:color="CFF0FC"/>
            </w:tcBorders>
          </w:tcPr>
          <w:p>
            <w:pPr>
              <w:spacing w:after="0"/>
              <w:rPr>
                <w:sz w:val="16"/>
                <w:szCs w:val="16"/>
                <w:color w:val="auto"/>
              </w:rPr>
            </w:pPr>
          </w:p>
        </w:tc>
        <w:tc>
          <w:tcPr>
            <w:tcW w:w="2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6,609</w:t>
            </w:r>
          </w:p>
        </w:tc>
        <w:tc>
          <w:tcPr>
            <w:tcW w:w="280" w:type="dxa"/>
            <w:vAlign w:val="bottom"/>
            <w:tcBorders>
              <w:top w:val="single" w:sz="8" w:color="CFF0FC"/>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52,878</w:t>
            </w:r>
          </w:p>
        </w:tc>
        <w:tc>
          <w:tcPr>
            <w:tcW w:w="26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138,097</w:t>
            </w:r>
          </w:p>
        </w:tc>
        <w:tc>
          <w:tcPr>
            <w:tcW w:w="240" w:type="dxa"/>
            <w:vAlign w:val="bottom"/>
            <w:tcBorders>
              <w:top w:val="single" w:sz="8" w:color="CFF0FC"/>
            </w:tcBorders>
          </w:tcPr>
          <w:p>
            <w:pPr>
              <w:spacing w:after="0"/>
              <w:rPr>
                <w:sz w:val="16"/>
                <w:szCs w:val="16"/>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15,021</w:t>
            </w:r>
          </w:p>
        </w:tc>
        <w:tc>
          <w:tcPr>
            <w:tcW w:w="26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153,118</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General and administratve</w:t>
            </w:r>
          </w:p>
        </w:tc>
        <w:tc>
          <w:tcPr>
            <w:tcW w:w="18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30,239</w:t>
            </w:r>
          </w:p>
        </w:tc>
        <w:tc>
          <w:tcPr>
            <w:tcW w:w="2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95,721</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580" w:type="dxa"/>
            <w:vAlign w:val="bottom"/>
          </w:tcPr>
          <w:p>
            <w:pPr>
              <w:ind w:left="20"/>
              <w:spacing w:after="0"/>
              <w:rPr>
                <w:sz w:val="20"/>
                <w:szCs w:val="20"/>
                <w:color w:val="auto"/>
              </w:rPr>
            </w:pPr>
            <w:r>
              <w:rPr>
                <w:rFonts w:ascii="Arial" w:cs="Arial" w:eastAsia="Arial" w:hAnsi="Arial"/>
                <w:sz w:val="14"/>
                <w:szCs w:val="14"/>
                <w:color w:val="auto"/>
              </w:rPr>
              <w:t>Depreciaton and amortzaton</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2,158</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5,269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580" w:type="dxa"/>
            <w:vAlign w:val="bottom"/>
            <w:shd w:val="clear" w:color="auto" w:fill="CFF0FC"/>
          </w:tcPr>
          <w:p>
            <w:pPr>
              <w:ind w:left="20"/>
              <w:spacing w:after="0"/>
              <w:rPr>
                <w:sz w:val="20"/>
                <w:szCs w:val="20"/>
                <w:color w:val="auto"/>
              </w:rPr>
            </w:pPr>
            <w:r>
              <w:rPr>
                <w:rFonts w:ascii="Arial" w:cs="Arial" w:eastAsia="Arial" w:hAnsi="Arial"/>
                <w:sz w:val="14"/>
                <w:szCs w:val="14"/>
                <w:color w:val="auto"/>
              </w:rPr>
              <w:t>Change in fair value of contngent</w:t>
            </w:r>
          </w:p>
        </w:tc>
        <w:tc>
          <w:tcPr>
            <w:tcW w:w="1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4"/>
                <w:szCs w:val="14"/>
                <w:color w:val="auto"/>
              </w:rPr>
              <w:t>(1,220 )</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4"/>
                <w:szCs w:val="14"/>
                <w:color w:val="auto"/>
              </w:rPr>
              <w:t>(1,220 )</w:t>
            </w:r>
          </w:p>
        </w:tc>
        <w:tc>
          <w:tcPr>
            <w:tcW w:w="0" w:type="dxa"/>
            <w:vAlign w:val="bottom"/>
          </w:tcPr>
          <w:p>
            <w:pPr>
              <w:spacing w:after="0"/>
              <w:rPr>
                <w:sz w:val="1"/>
                <w:szCs w:val="1"/>
                <w:color w:val="auto"/>
              </w:rPr>
            </w:pPr>
          </w:p>
        </w:tc>
      </w:tr>
      <w:tr>
        <w:trPr>
          <w:trHeight w:val="193"/>
        </w:trPr>
        <w:tc>
          <w:tcPr>
            <w:tcW w:w="258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consideraton</w:t>
            </w:r>
          </w:p>
        </w:tc>
        <w:tc>
          <w:tcPr>
            <w:tcW w:w="1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0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580" w:type="dxa"/>
            <w:vAlign w:val="bottom"/>
            <w:tcBorders>
              <w:top w:val="single" w:sz="8" w:color="CFF0FC"/>
            </w:tcBorders>
          </w:tcPr>
          <w:p>
            <w:pPr>
              <w:ind w:left="20"/>
              <w:spacing w:after="0"/>
              <w:rPr>
                <w:sz w:val="20"/>
                <w:szCs w:val="20"/>
                <w:color w:val="auto"/>
              </w:rPr>
            </w:pPr>
            <w:r>
              <w:rPr>
                <w:rFonts w:ascii="Arial" w:cs="Arial" w:eastAsia="Arial" w:hAnsi="Arial"/>
                <w:sz w:val="14"/>
                <w:szCs w:val="14"/>
                <w:b w:val="1"/>
                <w:bCs w:val="1"/>
                <w:color w:val="auto"/>
              </w:rPr>
              <w:t>Income from operatons</w:t>
            </w:r>
          </w:p>
        </w:tc>
        <w:tc>
          <w:tcPr>
            <w:tcW w:w="180" w:type="dxa"/>
            <w:vAlign w:val="bottom"/>
            <w:tcBorders>
              <w:top w:val="single" w:sz="8" w:color="CFF0FC"/>
            </w:tcBorders>
          </w:tcPr>
          <w:p>
            <w:pPr>
              <w:spacing w:after="0"/>
              <w:rPr>
                <w:sz w:val="16"/>
                <w:szCs w:val="16"/>
                <w:color w:val="auto"/>
              </w:rPr>
            </w:pPr>
          </w:p>
        </w:tc>
        <w:tc>
          <w:tcPr>
            <w:tcW w:w="1140" w:type="dxa"/>
            <w:vAlign w:val="bottom"/>
            <w:tcBorders>
              <w:top w:val="single" w:sz="8" w:color="CFF0FC"/>
            </w:tcBorders>
          </w:tcPr>
          <w:p>
            <w:pPr>
              <w:spacing w:after="0"/>
              <w:rPr>
                <w:sz w:val="16"/>
                <w:szCs w:val="16"/>
                <w:color w:val="auto"/>
              </w:rPr>
            </w:pPr>
          </w:p>
        </w:tc>
        <w:tc>
          <w:tcPr>
            <w:tcW w:w="360" w:type="dxa"/>
            <w:vAlign w:val="bottom"/>
            <w:tcBorders>
              <w:top w:val="single" w:sz="8" w:color="CFF0FC"/>
            </w:tcBorders>
          </w:tcPr>
          <w:p>
            <w:pPr>
              <w:spacing w:after="0"/>
              <w:rPr>
                <w:sz w:val="16"/>
                <w:szCs w:val="16"/>
                <w:color w:val="auto"/>
              </w:rPr>
            </w:pPr>
          </w:p>
        </w:tc>
        <w:tc>
          <w:tcPr>
            <w:tcW w:w="280" w:type="dxa"/>
            <w:vAlign w:val="bottom"/>
            <w:tcBorders>
              <w:top w:val="single" w:sz="8" w:color="CFF0FC"/>
            </w:tcBorders>
          </w:tcPr>
          <w:p>
            <w:pPr>
              <w:spacing w:after="0"/>
              <w:rPr>
                <w:sz w:val="16"/>
                <w:szCs w:val="16"/>
                <w:color w:val="auto"/>
              </w:rPr>
            </w:pPr>
          </w:p>
        </w:tc>
        <w:tc>
          <w:tcPr>
            <w:tcW w:w="1020" w:type="dxa"/>
            <w:vAlign w:val="bottom"/>
            <w:tcBorders>
              <w:top w:val="single" w:sz="8" w:color="CFF0FC"/>
            </w:tcBorders>
          </w:tcPr>
          <w:p>
            <w:pPr>
              <w:spacing w:after="0"/>
              <w:rPr>
                <w:sz w:val="16"/>
                <w:szCs w:val="16"/>
                <w:color w:val="auto"/>
              </w:rPr>
            </w:pPr>
          </w:p>
        </w:tc>
        <w:tc>
          <w:tcPr>
            <w:tcW w:w="280" w:type="dxa"/>
            <w:vAlign w:val="bottom"/>
            <w:tcBorders>
              <w:top w:val="single" w:sz="8" w:color="CFF0FC"/>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21,701</w:t>
            </w:r>
          </w:p>
        </w:tc>
        <w:tc>
          <w:tcPr>
            <w:tcW w:w="26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000" w:type="dxa"/>
            <w:vAlign w:val="bottom"/>
            <w:tcBorders>
              <w:top w:val="single" w:sz="8" w:color="CFF0FC"/>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760" w:type="dxa"/>
            <w:vAlign w:val="bottom"/>
            <w:tcBorders>
              <w:top w:val="single" w:sz="8" w:color="CFF0FC"/>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53,348</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Interest expense – net</w:t>
            </w:r>
          </w:p>
        </w:tc>
        <w:tc>
          <w:tcPr>
            <w:tcW w:w="18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2,901</w:t>
            </w:r>
          </w:p>
        </w:tc>
        <w:tc>
          <w:tcPr>
            <w:tcW w:w="2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9,542</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580" w:type="dxa"/>
            <w:vAlign w:val="bottom"/>
          </w:tcPr>
          <w:p>
            <w:pPr>
              <w:ind w:left="20"/>
              <w:spacing w:after="0"/>
              <w:rPr>
                <w:sz w:val="20"/>
                <w:szCs w:val="20"/>
                <w:color w:val="auto"/>
              </w:rPr>
            </w:pPr>
            <w:r>
              <w:rPr>
                <w:rFonts w:ascii="Arial" w:cs="Arial" w:eastAsia="Arial" w:hAnsi="Arial"/>
                <w:sz w:val="14"/>
                <w:szCs w:val="14"/>
                <w:color w:val="auto"/>
              </w:rPr>
              <w:t>Loss on extnguishment of debt</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4,285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Other expenses</w:t>
            </w:r>
          </w:p>
        </w:tc>
        <w:tc>
          <w:tcPr>
            <w:tcW w:w="18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(65 )</w:t>
            </w: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(6,618 )</w:t>
            </w:r>
          </w:p>
        </w:tc>
        <w:tc>
          <w:tcPr>
            <w:tcW w:w="0" w:type="dxa"/>
            <w:vAlign w:val="bottom"/>
          </w:tcPr>
          <w:p>
            <w:pPr>
              <w:spacing w:after="0"/>
              <w:rPr>
                <w:sz w:val="1"/>
                <w:szCs w:val="1"/>
                <w:color w:val="auto"/>
              </w:rPr>
            </w:pPr>
          </w:p>
        </w:tc>
      </w:tr>
      <w:tr>
        <w:trPr>
          <w:trHeight w:val="190"/>
        </w:trPr>
        <w:tc>
          <w:tcPr>
            <w:tcW w:w="2580" w:type="dxa"/>
            <w:vAlign w:val="bottom"/>
            <w:tcBorders>
              <w:top w:val="single" w:sz="8" w:color="CFF0FC"/>
            </w:tcBorders>
          </w:tcPr>
          <w:p>
            <w:pPr>
              <w:ind w:left="20"/>
              <w:spacing w:after="0"/>
              <w:rPr>
                <w:sz w:val="20"/>
                <w:szCs w:val="20"/>
                <w:color w:val="auto"/>
              </w:rPr>
            </w:pPr>
            <w:r>
              <w:rPr>
                <w:rFonts w:ascii="Arial" w:cs="Arial" w:eastAsia="Arial" w:hAnsi="Arial"/>
                <w:sz w:val="14"/>
                <w:szCs w:val="14"/>
                <w:b w:val="1"/>
                <w:bCs w:val="1"/>
                <w:color w:val="auto"/>
              </w:rPr>
              <w:t>Income before income taxes</w:t>
            </w:r>
          </w:p>
        </w:tc>
        <w:tc>
          <w:tcPr>
            <w:tcW w:w="180" w:type="dxa"/>
            <w:vAlign w:val="bottom"/>
            <w:tcBorders>
              <w:top w:val="single" w:sz="8" w:color="CFF0FC"/>
            </w:tcBorders>
          </w:tcPr>
          <w:p>
            <w:pPr>
              <w:spacing w:after="0"/>
              <w:rPr>
                <w:sz w:val="16"/>
                <w:szCs w:val="16"/>
                <w:color w:val="auto"/>
              </w:rPr>
            </w:pPr>
          </w:p>
        </w:tc>
        <w:tc>
          <w:tcPr>
            <w:tcW w:w="1140" w:type="dxa"/>
            <w:vAlign w:val="bottom"/>
            <w:tcBorders>
              <w:top w:val="single" w:sz="8" w:color="CFF0FC"/>
            </w:tcBorders>
          </w:tcPr>
          <w:p>
            <w:pPr>
              <w:spacing w:after="0"/>
              <w:rPr>
                <w:sz w:val="16"/>
                <w:szCs w:val="16"/>
                <w:color w:val="auto"/>
              </w:rPr>
            </w:pPr>
          </w:p>
        </w:tc>
        <w:tc>
          <w:tcPr>
            <w:tcW w:w="360" w:type="dxa"/>
            <w:vAlign w:val="bottom"/>
            <w:tcBorders>
              <w:top w:val="single" w:sz="8" w:color="CFF0FC"/>
            </w:tcBorders>
          </w:tcPr>
          <w:p>
            <w:pPr>
              <w:spacing w:after="0"/>
              <w:rPr>
                <w:sz w:val="16"/>
                <w:szCs w:val="16"/>
                <w:color w:val="auto"/>
              </w:rPr>
            </w:pPr>
          </w:p>
        </w:tc>
        <w:tc>
          <w:tcPr>
            <w:tcW w:w="280" w:type="dxa"/>
            <w:vAlign w:val="bottom"/>
            <w:tcBorders>
              <w:top w:val="single" w:sz="8" w:color="CFF0FC"/>
            </w:tcBorders>
          </w:tcPr>
          <w:p>
            <w:pPr>
              <w:spacing w:after="0"/>
              <w:rPr>
                <w:sz w:val="16"/>
                <w:szCs w:val="16"/>
                <w:color w:val="auto"/>
              </w:rPr>
            </w:pPr>
          </w:p>
        </w:tc>
        <w:tc>
          <w:tcPr>
            <w:tcW w:w="1020" w:type="dxa"/>
            <w:vAlign w:val="bottom"/>
            <w:tcBorders>
              <w:top w:val="single" w:sz="8" w:color="CFF0FC"/>
            </w:tcBorders>
          </w:tcPr>
          <w:p>
            <w:pPr>
              <w:spacing w:after="0"/>
              <w:rPr>
                <w:sz w:val="16"/>
                <w:szCs w:val="16"/>
                <w:color w:val="auto"/>
              </w:rPr>
            </w:pPr>
          </w:p>
        </w:tc>
        <w:tc>
          <w:tcPr>
            <w:tcW w:w="280" w:type="dxa"/>
            <w:vAlign w:val="bottom"/>
            <w:tcBorders>
              <w:top w:val="single" w:sz="8" w:color="CFF0FC"/>
            </w:tcBorders>
          </w:tcPr>
          <w:p>
            <w:pPr>
              <w:spacing w:after="0"/>
              <w:rPr>
                <w:sz w:val="16"/>
                <w:szCs w:val="16"/>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18,865</w:t>
            </w:r>
          </w:p>
        </w:tc>
        <w:tc>
          <w:tcPr>
            <w:tcW w:w="26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000" w:type="dxa"/>
            <w:vAlign w:val="bottom"/>
            <w:tcBorders>
              <w:top w:val="single" w:sz="8" w:color="CFF0FC"/>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760" w:type="dxa"/>
            <w:vAlign w:val="bottom"/>
            <w:tcBorders>
              <w:top w:val="single" w:sz="8" w:color="CFF0FC"/>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46,139</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-3608070</wp:posOffset>
            </wp:positionV>
            <wp:extent cx="76835"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-3608070</wp:posOffset>
            </wp:positionV>
            <wp:extent cx="76835"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-3608070</wp:posOffset>
            </wp:positionV>
            <wp:extent cx="6858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-3608070</wp:posOffset>
            </wp:positionV>
            <wp:extent cx="6858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-3608070</wp:posOffset>
            </wp:positionV>
            <wp:extent cx="6858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-3608070</wp:posOffset>
            </wp:positionV>
            <wp:extent cx="6858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-2982595</wp:posOffset>
            </wp:positionV>
            <wp:extent cx="6858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-2982595</wp:posOffset>
            </wp:positionV>
            <wp:extent cx="6858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-2451100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-2433955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-2451100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-2433955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-1310640</wp:posOffset>
            </wp:positionV>
            <wp:extent cx="76835"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-1310640</wp:posOffset>
            </wp:positionV>
            <wp:extent cx="76835"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-1310640</wp:posOffset>
            </wp:positionV>
            <wp:extent cx="6858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-1310640</wp:posOffset>
            </wp:positionV>
            <wp:extent cx="6858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-1310640</wp:posOffset>
            </wp:positionV>
            <wp:extent cx="6858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-685165</wp:posOffset>
            </wp:positionV>
            <wp:extent cx="6858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-161925</wp:posOffset>
            </wp:positionV>
            <wp:extent cx="68580" cy="1625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1625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Substantally all of our assets reside in the United States.</w:t>
      </w:r>
    </w:p>
    <w:p>
      <w:pPr>
        <w:spacing w:after="0" w:line="142"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ccounts</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eceivable</w:t>
      </w:r>
      <w:r>
        <w:rPr>
          <w:rFonts w:ascii="Arial" w:cs="Arial" w:eastAsia="Arial" w:hAnsi="Arial"/>
          <w:sz w:val="18"/>
          <w:szCs w:val="18"/>
          <w:b w:val="1"/>
          <w:bCs w:val="1"/>
          <w:color w:val="auto"/>
        </w:rPr>
        <w:t xml:space="preserve"> - N</w:t>
      </w:r>
      <w:r>
        <w:rPr>
          <w:rFonts w:ascii="Arial" w:cs="Arial" w:eastAsia="Arial" w:hAnsi="Arial"/>
          <w:sz w:val="12"/>
          <w:szCs w:val="12"/>
          <w:b w:val="1"/>
          <w:bCs w:val="1"/>
          <w:color w:val="auto"/>
        </w:rPr>
        <w:t>et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and December 31, 2022, Accounts receivable – net was $64.8 million and $36.5 million, respectvely.</w:t>
      </w:r>
    </w:p>
    <w:p>
      <w:pPr>
        <w:spacing w:after="0" w:line="14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$42.2 million and $18.9 million of the Accounts receivable balance at September 30, 2023 and December 31, 2022, respectvely, consisted of uncollateralized payment processor obligatons due under normal trade terms typically requiring payment within three business days. Credit risk with respect to accounts receivable from payment processing enttes is limited due to the consolidaton of those receivables with large fnancial insttutons and the frequency with which the receivables turn over.</w:t>
      </w:r>
    </w:p>
    <w:p>
      <w:pPr>
        <w:spacing w:after="0" w:line="12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$7.8 million and $1.0 million of the Accounts receivable balance at September 30, 2023 and December 31, 2022, respectvely, consisted of amounts due from marketplace tcket sellers for canceled events and costs of replacement tckets. We recorded an allowance for credit losses of $4.0 million and $0.1 million at September 30, 2023 and December 31, 2022, respectvely, to refect potental challenges in collectng funds from marketplace tcket sellers. The allowance for credit losses increased during the nine months ended September 30, 2023 as certain tcket sellers on the marketplace platorm generated balances in excess of their existng payables, creatng a greater risk of credit losses on these receivables.</w:t>
      </w:r>
    </w:p>
    <w:p>
      <w:pPr>
        <w:spacing w:after="0" w:line="11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$12.1 million and $11.7 million of the Accounts receivable balance at September 30, 2023 and December 31, 2022, respectvely, consisted of amounts due from distributon partners for cancellaton charges, primarily related to canceled events. We recorded an allowance for credit losses of $5.0 million and $3.6 million at September 30, 2023 and December 31, 2022, respectvely, to refect potental challenges in collectng funds from distributon partners, partcularly for amounts due upon usage of store credit previously issued to buyers.</w:t>
      </w:r>
    </w:p>
    <w:p>
      <w:pPr>
        <w:spacing w:after="0" w:line="109" w:lineRule="exact"/>
        <w:rPr>
          <w:sz w:val="20"/>
          <w:szCs w:val="20"/>
          <w:color w:val="auto"/>
        </w:rPr>
      </w:pPr>
    </w:p>
    <w:p>
      <w:pPr>
        <w:jc w:val="both"/>
        <w:ind w:right="20"/>
        <w:spacing w:after="0" w:line="273" w:lineRule="auto"/>
        <w:rPr>
          <w:sz w:val="20"/>
          <w:szCs w:val="20"/>
          <w:color w:val="auto"/>
        </w:rPr>
      </w:pPr>
      <w:r>
        <w:rPr>
          <w:rFonts w:ascii="Arial" w:cs="Arial" w:eastAsia="Arial" w:hAnsi="Arial"/>
          <w:sz w:val="18"/>
          <w:szCs w:val="18"/>
          <w:color w:val="auto"/>
        </w:rPr>
        <w:t>Accounts receivable balances are stated net of allowance for credit losses and bad debt expense is presented as a reducton of Revenues in the Condensed Consolidated Statement of Operatons.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write-ofs for the three and nine months ended September 30, 2023 and 2022.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560" w:type="dxa"/>
            <w:vAlign w:val="bottom"/>
          </w:tcPr>
          <w:p>
            <w:pPr>
              <w:spacing w:after="0"/>
              <w:rPr>
                <w:sz w:val="20"/>
                <w:szCs w:val="20"/>
                <w:color w:val="auto"/>
              </w:rPr>
            </w:pPr>
            <w:r>
              <w:rPr>
                <w:rFonts w:ascii="Arial" w:cs="Arial" w:eastAsia="Arial" w:hAnsi="Arial"/>
                <w:sz w:val="18"/>
                <w:szCs w:val="18"/>
                <w:b w:val="1"/>
                <w:bCs w:val="1"/>
                <w:color w:val="auto"/>
              </w:rPr>
              <w:t>7. P</w:t>
            </w:r>
            <w:r>
              <w:rPr>
                <w:rFonts w:ascii="Arial" w:cs="Arial" w:eastAsia="Arial" w:hAnsi="Arial"/>
                <w:sz w:val="12"/>
                <w:szCs w:val="12"/>
                <w:b w:val="1"/>
                <w:bCs w:val="1"/>
                <w:color w:val="auto"/>
              </w:rPr>
              <w:t>repaid</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xpenses and</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urrent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ssets</w:t>
            </w:r>
          </w:p>
        </w:tc>
        <w:tc>
          <w:tcPr>
            <w:tcW w:w="2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49"/>
        </w:trPr>
        <w:tc>
          <w:tcPr>
            <w:tcW w:w="6560" w:type="dxa"/>
            <w:vAlign w:val="bottom"/>
          </w:tcPr>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9"/>
        </w:trPr>
        <w:tc>
          <w:tcPr>
            <w:tcW w:w="6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jc w:val="right"/>
              <w:ind w:right="230"/>
              <w:spacing w:after="0"/>
              <w:rPr>
                <w:sz w:val="20"/>
                <w:szCs w:val="20"/>
                <w:color w:val="auto"/>
              </w:rPr>
            </w:pPr>
            <w:r>
              <w:rPr>
                <w:rFonts w:ascii="Arial" w:cs="Arial" w:eastAsia="Arial" w:hAnsi="Arial"/>
                <w:sz w:val="18"/>
                <w:szCs w:val="18"/>
                <w:b w:val="1"/>
                <w:bCs w:val="1"/>
                <w:color w:val="auto"/>
                <w:w w:val="93"/>
              </w:rPr>
              <w:t>September 30, 2023</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jc w:val="right"/>
              <w:ind w:right="250"/>
              <w:spacing w:after="0"/>
              <w:rPr>
                <w:sz w:val="20"/>
                <w:szCs w:val="20"/>
                <w:color w:val="auto"/>
              </w:rPr>
            </w:pPr>
            <w:r>
              <w:rPr>
                <w:rFonts w:ascii="Arial" w:cs="Arial" w:eastAsia="Arial" w:hAnsi="Arial"/>
                <w:sz w:val="18"/>
                <w:szCs w:val="18"/>
                <w:b w:val="1"/>
                <w:bCs w:val="1"/>
                <w:color w:val="auto"/>
                <w:w w:val="94"/>
              </w:rPr>
              <w:t>December 31, 2022</w:t>
            </w:r>
          </w:p>
        </w:tc>
        <w:tc>
          <w:tcPr>
            <w:tcW w:w="100" w:type="dxa"/>
            <w:vAlign w:val="bottom"/>
          </w:tcPr>
          <w:p>
            <w:pPr>
              <w:spacing w:after="0"/>
              <w:rPr>
                <w:sz w:val="24"/>
                <w:szCs w:val="24"/>
                <w:color w:val="auto"/>
              </w:rPr>
            </w:pPr>
          </w:p>
        </w:tc>
      </w:tr>
      <w:tr>
        <w:trPr>
          <w:trHeight w:val="33"/>
        </w:trPr>
        <w:tc>
          <w:tcPr>
            <w:tcW w:w="6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Recovery of future customer compensaton</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42,421</w:t>
            </w:r>
          </w:p>
        </w:tc>
        <w:tc>
          <w:tcPr>
            <w:tcW w:w="3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23,311</w:t>
            </w:r>
          </w:p>
        </w:tc>
        <w:tc>
          <w:tcPr>
            <w:tcW w:w="100" w:type="dxa"/>
            <w:vAlign w:val="bottom"/>
            <w:shd w:val="clear" w:color="auto" w:fill="CFF0FC"/>
          </w:tcPr>
          <w:p>
            <w:pPr>
              <w:spacing w:after="0"/>
              <w:rPr>
                <w:sz w:val="20"/>
                <w:szCs w:val="20"/>
                <w:color w:val="auto"/>
              </w:rPr>
            </w:pPr>
          </w:p>
        </w:tc>
      </w:tr>
      <w:tr>
        <w:trPr>
          <w:trHeight w:val="235"/>
        </w:trPr>
        <w:tc>
          <w:tcPr>
            <w:tcW w:w="656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2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6,591</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6,032</w:t>
            </w:r>
          </w:p>
        </w:tc>
        <w:tc>
          <w:tcPr>
            <w:tcW w:w="100" w:type="dxa"/>
            <w:vAlign w:val="bottom"/>
          </w:tcPr>
          <w:p>
            <w:pPr>
              <w:spacing w:after="0"/>
              <w:rPr>
                <w:sz w:val="20"/>
                <w:szCs w:val="20"/>
                <w:color w:val="auto"/>
              </w:rPr>
            </w:pPr>
          </w:p>
        </w:tc>
      </w:tr>
      <w:tr>
        <w:trPr>
          <w:trHeight w:val="245"/>
        </w:trPr>
        <w:tc>
          <w:tcPr>
            <w:tcW w:w="6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shd w:val="clear" w:color="auto" w:fill="CFF0FC"/>
          </w:tcPr>
          <w:p>
            <w:pPr>
              <w:spacing w:after="0"/>
              <w:rPr>
                <w:sz w:val="21"/>
                <w:szCs w:val="21"/>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3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Total prepaid expenses and other current assets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b w:val="1"/>
                <w:bCs w:val="1"/>
                <w:color w:val="auto"/>
              </w:rPr>
              <w:t>49,407</w:t>
            </w:r>
          </w:p>
        </w:tc>
        <w:tc>
          <w:tcPr>
            <w:tcW w:w="5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29,912</w:t>
            </w:r>
          </w:p>
        </w:tc>
        <w:tc>
          <w:tcPr>
            <w:tcW w:w="100" w:type="dxa"/>
            <w:vAlign w:val="bottom"/>
          </w:tcPr>
          <w:p>
            <w:pPr>
              <w:spacing w:after="0"/>
              <w:rPr>
                <w:sz w:val="21"/>
                <w:szCs w:val="21"/>
                <w:color w:val="auto"/>
              </w:rPr>
            </w:pPr>
          </w:p>
        </w:tc>
      </w:tr>
      <w:tr>
        <w:trPr>
          <w:trHeight w:val="20"/>
        </w:trPr>
        <w:tc>
          <w:tcPr>
            <w:tcW w:w="6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-187960</wp:posOffset>
            </wp:positionV>
            <wp:extent cx="68580" cy="1885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Recovery of future customer compensaton represents expected recoveries of compensaton to be paid to customers for event cancellatons or other service issues related to previously recorded sales transactons. Recovery of future customer compensaton costs increased by $19.1 million at September 30, 2023 compared to December 31, 2022 due to an increase in the reserve for future cancellatons driven by higher volume of sales for future events. The provision related to these expected recoveries is included in Accrued expenses and other current liabilites in the Condensed Consolidated Balance Sheets.</w:t>
      </w:r>
    </w:p>
    <w:p>
      <w:pPr>
        <w:spacing w:after="0" w:line="123"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oodwill and</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ntangible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ssets</w:t>
      </w:r>
    </w:p>
    <w:p>
      <w:pPr>
        <w:spacing w:after="0" w:line="14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Defnite-lived intangible assets includes developed technology and customer relatonships, which had a net carrying amount of $47.1 million and $17.3 million at September 30, 2023 and December 31, 2022, respectvely, and accumulated amortzaton of $17.2 million and $9.6 million at September 30, 2023 and December 31, 2022, respectvely. Our goodwill is included in our Marketplace segment.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net changes in the carrying amounts of our intangible assets and goodwill were as follows (in thousands):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2140" w:type="dxa"/>
            <w:vAlign w:val="bottom"/>
            <w:gridSpan w:val="3"/>
          </w:tcPr>
          <w:p>
            <w:pPr>
              <w:ind w:left="20"/>
              <w:spacing w:after="0"/>
              <w:rPr>
                <w:sz w:val="20"/>
                <w:szCs w:val="20"/>
                <w:color w:val="auto"/>
              </w:rPr>
            </w:pPr>
            <w:r>
              <w:rPr>
                <w:rFonts w:ascii="Arial" w:cs="Arial" w:eastAsia="Arial" w:hAnsi="Arial"/>
                <w:sz w:val="18"/>
                <w:szCs w:val="18"/>
                <w:b w:val="1"/>
                <w:bCs w:val="1"/>
                <w:color w:val="auto"/>
              </w:rPr>
              <w:t>Defnite-lived Intangible</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6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40" w:type="dxa"/>
            <w:vAlign w:val="bottom"/>
            <w:gridSpan w:val="2"/>
          </w:tcPr>
          <w:p>
            <w:pPr>
              <w:jc w:val="right"/>
              <w:ind w:right="96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0"/>
                <w:szCs w:val="20"/>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5"/>
              </w:rPr>
              <w:t>Trademark</w:t>
            </w:r>
          </w:p>
        </w:tc>
        <w:tc>
          <w:tcPr>
            <w:tcW w:w="22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Goodwill</w:t>
            </w:r>
          </w:p>
        </w:tc>
      </w:tr>
      <w:tr>
        <w:trPr>
          <w:trHeight w:val="33"/>
        </w:trPr>
        <w:tc>
          <w:tcPr>
            <w:tcW w:w="60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January 1, 2023</w:t>
            </w:r>
          </w:p>
        </w:tc>
        <w:tc>
          <w:tcPr>
            <w:tcW w:w="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17,310</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64,666</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715,258</w:t>
            </w:r>
          </w:p>
        </w:tc>
        <w:tc>
          <w:tcPr>
            <w:tcW w:w="100" w:type="dxa"/>
            <w:vAlign w:val="bottom"/>
            <w:shd w:val="clear" w:color="auto" w:fill="CFF0FC"/>
          </w:tcPr>
          <w:p>
            <w:pPr>
              <w:spacing w:after="0"/>
              <w:rPr>
                <w:sz w:val="20"/>
                <w:szCs w:val="20"/>
                <w:color w:val="auto"/>
              </w:rPr>
            </w:pPr>
          </w:p>
        </w:tc>
      </w:tr>
      <w:tr>
        <w:trPr>
          <w:trHeight w:val="235"/>
        </w:trPr>
        <w:tc>
          <w:tcPr>
            <w:tcW w:w="6040" w:type="dxa"/>
            <w:vAlign w:val="bottom"/>
          </w:tcPr>
          <w:p>
            <w:pPr>
              <w:ind w:left="20"/>
              <w:spacing w:after="0"/>
              <w:rPr>
                <w:sz w:val="20"/>
                <w:szCs w:val="20"/>
                <w:color w:val="auto"/>
              </w:rPr>
            </w:pPr>
            <w:r>
              <w:rPr>
                <w:rFonts w:ascii="Arial" w:cs="Arial" w:eastAsia="Arial" w:hAnsi="Arial"/>
                <w:sz w:val="18"/>
                <w:szCs w:val="18"/>
                <w:color w:val="auto"/>
              </w:rPr>
              <w:t>Wavedash acquisiton</w:t>
            </w:r>
          </w:p>
        </w:tc>
        <w:tc>
          <w:tcPr>
            <w:tcW w:w="4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29,673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2,173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45,351</w:t>
            </w:r>
          </w:p>
        </w:tc>
        <w:tc>
          <w:tcPr>
            <w:tcW w:w="100" w:type="dxa"/>
            <w:vAlign w:val="bottom"/>
          </w:tcPr>
          <w:p>
            <w:pPr>
              <w:spacing w:after="0"/>
              <w:rPr>
                <w:sz w:val="20"/>
                <w:szCs w:val="20"/>
                <w:color w:val="auto"/>
              </w:rPr>
            </w:pPr>
          </w:p>
        </w:tc>
      </w:tr>
      <w:tr>
        <w:trPr>
          <w:trHeight w:val="251"/>
        </w:trPr>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currency translaton</w:t>
            </w:r>
          </w:p>
        </w:tc>
        <w:tc>
          <w:tcPr>
            <w:tcW w:w="40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(418 )</w:t>
            </w:r>
          </w:p>
        </w:tc>
        <w:tc>
          <w:tcPr>
            <w:tcW w:w="1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(30 )</w:t>
            </w:r>
          </w:p>
        </w:tc>
        <w:tc>
          <w:tcPr>
            <w:tcW w:w="2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(638 )</w:t>
            </w:r>
          </w:p>
        </w:tc>
      </w:tr>
      <w:tr>
        <w:trPr>
          <w:trHeight w:val="235"/>
        </w:trPr>
        <w:tc>
          <w:tcPr>
            <w:tcW w:w="6040" w:type="dxa"/>
            <w:vAlign w:val="bottom"/>
          </w:tcPr>
          <w:p>
            <w:pPr>
              <w:ind w:left="20"/>
              <w:spacing w:after="0"/>
              <w:rPr>
                <w:sz w:val="20"/>
                <w:szCs w:val="20"/>
                <w:color w:val="auto"/>
              </w:rPr>
            </w:pPr>
            <w:r>
              <w:rPr>
                <w:rFonts w:ascii="Arial" w:cs="Arial" w:eastAsia="Arial" w:hAnsi="Arial"/>
                <w:sz w:val="18"/>
                <w:szCs w:val="18"/>
                <w:color w:val="auto"/>
              </w:rPr>
              <w:t>Capitalized development costs</w:t>
            </w:r>
          </w:p>
        </w:tc>
        <w:tc>
          <w:tcPr>
            <w:tcW w:w="4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8,067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1"/>
        </w:trPr>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Disposals</w:t>
            </w:r>
          </w:p>
        </w:tc>
        <w:tc>
          <w:tcPr>
            <w:tcW w:w="40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(43 )</w:t>
            </w:r>
          </w:p>
        </w:tc>
        <w:tc>
          <w:tcPr>
            <w:tcW w:w="1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color w:val="auto"/>
              </w:rPr>
              <w:t>Amortzaton</w:t>
            </w:r>
          </w:p>
        </w:tc>
        <w:tc>
          <w:tcPr>
            <w:tcW w:w="400" w:type="dxa"/>
            <w:vAlign w:val="bottom"/>
          </w:tcPr>
          <w:p>
            <w:pPr>
              <w:spacing w:after="0"/>
              <w:rPr>
                <w:sz w:val="20"/>
                <w:szCs w:val="20"/>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(7,525 )</w:t>
            </w:r>
          </w:p>
        </w:tc>
        <w:tc>
          <w:tcPr>
            <w:tcW w:w="18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83"/>
        </w:trPr>
        <w:tc>
          <w:tcPr>
            <w:tcW w:w="6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September 30, 2023</w:t>
            </w:r>
          </w:p>
        </w:tc>
        <w:tc>
          <w:tcPr>
            <w:tcW w:w="4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47,064</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66,809</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759,971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-25400</wp:posOffset>
            </wp:positionV>
            <wp:extent cx="768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-25400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January 1, 2022</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7"/>
          <w:szCs w:val="17"/>
          <w:color w:val="auto"/>
        </w:rPr>
        <w:t>Betcha acquisiton adjustment</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Capitalized development costs</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Amortzaton</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Balance at September 30,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140" w:type="dxa"/>
            <w:vAlign w:val="bottom"/>
            <w:gridSpan w:val="3"/>
          </w:tcPr>
          <w:p>
            <w:pPr>
              <w:ind w:left="20"/>
              <w:spacing w:after="0"/>
              <w:rPr>
                <w:sz w:val="20"/>
                <w:szCs w:val="20"/>
                <w:color w:val="auto"/>
              </w:rPr>
            </w:pPr>
            <w:r>
              <w:rPr>
                <w:rFonts w:ascii="Arial" w:cs="Arial" w:eastAsia="Arial" w:hAnsi="Arial"/>
                <w:sz w:val="18"/>
                <w:szCs w:val="18"/>
                <w:b w:val="1"/>
                <w:bCs w:val="1"/>
                <w:color w:val="auto"/>
              </w:rPr>
              <w:t>Defnite-lived Intangible</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00" w:type="dxa"/>
            <w:vAlign w:val="bottom"/>
          </w:tcPr>
          <w:p>
            <w:pPr>
              <w:spacing w:after="0"/>
              <w:rPr>
                <w:sz w:val="20"/>
                <w:szCs w:val="20"/>
                <w:color w:val="auto"/>
              </w:rPr>
            </w:pPr>
          </w:p>
        </w:tc>
        <w:tc>
          <w:tcPr>
            <w:tcW w:w="1740" w:type="dxa"/>
            <w:vAlign w:val="bottom"/>
            <w:gridSpan w:val="2"/>
          </w:tcPr>
          <w:p>
            <w:pPr>
              <w:jc w:val="right"/>
              <w:ind w:right="96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Trademark</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Goodwill</w:t>
            </w:r>
          </w:p>
        </w:tc>
        <w:tc>
          <w:tcPr>
            <w:tcW w:w="0" w:type="dxa"/>
            <w:vAlign w:val="bottom"/>
          </w:tcPr>
          <w:p>
            <w:pPr>
              <w:spacing w:after="0"/>
              <w:rPr>
                <w:sz w:val="1"/>
                <w:szCs w:val="1"/>
                <w:color w:val="auto"/>
              </w:rPr>
            </w:pPr>
          </w:p>
        </w:tc>
      </w:tr>
      <w:tr>
        <w:trPr>
          <w:trHeight w:val="33"/>
        </w:trPr>
        <w:tc>
          <w:tcPr>
            <w:tcW w:w="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13,845</w:t>
            </w: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64,666</w:t>
            </w:r>
          </w:p>
        </w:tc>
        <w:tc>
          <w:tcPr>
            <w:tcW w:w="260" w:type="dxa"/>
            <w:vAlign w:val="bottom"/>
            <w:vMerge w:val="continue"/>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718,204</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00" w:type="dxa"/>
            <w:vAlign w:val="bottom"/>
          </w:tcPr>
          <w:p>
            <w:pPr>
              <w:spacing w:after="0"/>
              <w:rPr>
                <w:sz w:val="19"/>
                <w:szCs w:val="19"/>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(890 )</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(2,946 )</w:t>
            </w: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8,988</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(5,009 )</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
        </w:trPr>
        <w:tc>
          <w:tcPr>
            <w:tcW w:w="4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60" w:type="dxa"/>
            <w:vAlign w:val="bottom"/>
            <w:vMerge w:val="restart"/>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16,934</w:t>
            </w:r>
          </w:p>
        </w:tc>
        <w:tc>
          <w:tcPr>
            <w:tcW w:w="2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64,666</w:t>
            </w:r>
          </w:p>
        </w:tc>
        <w:tc>
          <w:tcPr>
            <w:tcW w:w="260" w:type="dxa"/>
            <w:vAlign w:val="bottom"/>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715,258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-805180</wp:posOffset>
            </wp:positionV>
            <wp:extent cx="7132320" cy="154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-496570</wp:posOffset>
            </wp:positionV>
            <wp:extent cx="7132320" cy="1543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-179705</wp:posOffset>
            </wp:positionV>
            <wp:extent cx="7132320" cy="1803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103" w:lineRule="exact"/>
        <w:rPr>
          <w:sz w:val="20"/>
          <w:szCs w:val="20"/>
          <w:color w:val="auto"/>
        </w:rPr>
      </w:pPr>
    </w:p>
    <w:p>
      <w:pPr>
        <w:sectPr>
          <w:pgSz w:w="11900" w:h="16838" w:orient="portrait"/>
          <w:cols w:equalWidth="0" w:num="2">
            <w:col w:w="5320" w:space="720"/>
            <w:col w:w="5200"/>
          </w:cols>
          <w:pgMar w:left="320" w:top="105" w:right="339" w:bottom="1440" w:gutter="0" w:footer="0" w:header="0"/>
          <w:type w:val="continuous"/>
        </w:sectPr>
      </w:pPr>
    </w:p>
    <w:p>
      <w:pPr>
        <w:jc w:val="both"/>
        <w:ind w:right="20"/>
        <w:spacing w:after="0" w:line="273" w:lineRule="auto"/>
        <w:rPr>
          <w:sz w:val="20"/>
          <w:szCs w:val="20"/>
          <w:color w:val="auto"/>
        </w:rPr>
      </w:pPr>
      <w:r>
        <w:rPr>
          <w:rFonts w:ascii="Arial" w:cs="Arial" w:eastAsia="Arial" w:hAnsi="Arial"/>
          <w:sz w:val="18"/>
          <w:szCs w:val="18"/>
          <w:color w:val="auto"/>
        </w:rPr>
        <w:t>We had recorded $563.2 million of cumulatve impairment charges related to our intangible assets and goodwill as of September 30, 2023 and December 31, 2022.</w:t>
      </w:r>
    </w:p>
    <w:p>
      <w:pPr>
        <w:spacing w:after="0" w:line="1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Amortzaton expense on our defnite-lived intangible assets was $2.9 million and $7.5 million for the three and nine months ended September 30, 2023, respectvely, and $2.1 million and $5.0 million for the three and nine months ended September 30, 2022, respectvely. Amortzaton expense is presented in Depreciaton and amortzaton in the Condensed Consolidated Statements of Operatons.</w:t>
      </w:r>
    </w:p>
    <w:p>
      <w:pPr>
        <w:spacing w:after="0" w:line="117"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nvestments</w:t>
      </w:r>
    </w:p>
    <w:p>
      <w:pPr>
        <w:spacing w:after="0" w:line="14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July 2023, we invested $6.0 million in a privately held company in the form of a convertble promissory note (the “Note”) and a warrant to purchase up to 1,874,933 shares of the company's stock (the "Warrant"). Interest on the Note accrues at 8% per annum and outstanding principal and accrued interest is due and payable at the earlier of July 3, 2030 or a change in control of the company. The Warrant is exercisable untl the date three years afer the Note is repaid, subject to certain acceleratng events.</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account for the Note in accordance with ASC Topic 320, </w:t>
      </w:r>
      <w:r>
        <w:rPr>
          <w:rFonts w:ascii="Arial" w:cs="Arial" w:eastAsia="Arial" w:hAnsi="Arial"/>
          <w:sz w:val="18"/>
          <w:szCs w:val="18"/>
          <w:i w:val="1"/>
          <w:iCs w:val="1"/>
          <w:color w:val="auto"/>
        </w:rPr>
        <w:t>Investments - Debt and Equity Securites.</w:t>
      </w:r>
      <w:r>
        <w:rPr>
          <w:rFonts w:ascii="Arial" w:cs="Arial" w:eastAsia="Arial" w:hAnsi="Arial"/>
          <w:sz w:val="18"/>
          <w:szCs w:val="18"/>
          <w:color w:val="auto"/>
        </w:rPr>
        <w:t xml:space="preserve"> The Note is classifed as an available-for-sale security and is recorded at fair value with the change in unrealized gains and losses reported as a separate component on the Condensed Consolidated Statements of Comprehensive Income untl realized. The Note's unrealized gain for the three and nine months ended September 30, 2023 was less than $0.1 million. The Note's amortzed cost amounted to $2.5 million at September 30, 2023. We did not recognize any credit losses related to the Note during the three and nine months ended September 30, 2023.</w:t>
      </w:r>
    </w:p>
    <w:p>
      <w:pPr>
        <w:spacing w:after="0" w:line="11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We account for the Warrant in accordance with ASC Topic 815, </w:t>
      </w:r>
      <w:r>
        <w:rPr>
          <w:rFonts w:ascii="Arial" w:cs="Arial" w:eastAsia="Arial" w:hAnsi="Arial"/>
          <w:sz w:val="18"/>
          <w:szCs w:val="18"/>
          <w:i w:val="1"/>
          <w:iCs w:val="1"/>
          <w:color w:val="auto"/>
        </w:rPr>
        <w:t>Derivatves and Hedging</w:t>
      </w:r>
      <w:r>
        <w:rPr>
          <w:rFonts w:ascii="Arial" w:cs="Arial" w:eastAsia="Arial" w:hAnsi="Arial"/>
          <w:sz w:val="18"/>
          <w:szCs w:val="18"/>
          <w:color w:val="auto"/>
        </w:rPr>
        <w:t xml:space="preserve"> ("ASC 815"). As required by ASC 815, we record the derivatve instrument on the Condensed Consolidated Balance Sheets at fair value with changes in fair value recognized in Other (income) expense on the Condensed Consolidated Statements of Operatons on the recurring basis. The classifcaton of the derivatve instrument, including whether such instrument should be recorded as an asset or a liability, is evaluated at the end of each reportng period.</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type w:val="continuous"/>
        </w:sectPr>
      </w:pPr>
    </w:p>
    <w:bookmarkStart w:id="16" w:name="page17"/>
    <w:bookmarkEnd w:id="16"/>
    <w:p>
      <w:pPr>
        <w:jc w:val="center"/>
        <w:ind w:right="40"/>
        <w:spacing w:after="0"/>
        <w:rPr>
          <w:sz w:val="20"/>
          <w:szCs w:val="20"/>
          <w:color w:val="auto"/>
        </w:rPr>
      </w:pPr>
      <w:r>
        <w:rPr>
          <w:rFonts w:ascii="Arial" w:cs="Arial" w:eastAsia="Arial" w:hAnsi="Arial"/>
          <w:sz w:val="18"/>
          <w:szCs w:val="18"/>
          <w:b w:val="1"/>
          <w:bCs w:val="1"/>
          <w:color w:val="auto"/>
        </w:rPr>
        <w:t>VIVID SEATS INC.</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80" w:hanging="272"/>
        <w:spacing w:after="0"/>
        <w:tabs>
          <w:tab w:leader="none" w:pos="2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air</w:t>
      </w:r>
      <w:r>
        <w:rPr>
          <w:rFonts w:ascii="Arial" w:cs="Arial" w:eastAsia="Arial" w:hAnsi="Arial"/>
          <w:sz w:val="18"/>
          <w:szCs w:val="18"/>
          <w:b w:val="1"/>
          <w:bCs w:val="1"/>
          <w:color w:val="auto"/>
        </w:rPr>
        <w:t xml:space="preserve"> V</w:t>
      </w:r>
      <w:r>
        <w:rPr>
          <w:rFonts w:ascii="Arial" w:cs="Arial" w:eastAsia="Arial" w:hAnsi="Arial"/>
          <w:sz w:val="12"/>
          <w:szCs w:val="12"/>
          <w:b w:val="1"/>
          <w:bCs w:val="1"/>
          <w:color w:val="auto"/>
        </w:rPr>
        <w:t>alue</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easurements</w:t>
      </w:r>
    </w:p>
    <w:p>
      <w:pPr>
        <w:spacing w:after="0" w:line="146" w:lineRule="exact"/>
        <w:rPr>
          <w:sz w:val="20"/>
          <w:szCs w:val="20"/>
          <w:color w:val="auto"/>
        </w:rPr>
      </w:pPr>
    </w:p>
    <w:p>
      <w:pPr>
        <w:jc w:val="both"/>
        <w:ind w:right="40"/>
        <w:spacing w:after="0" w:line="258" w:lineRule="auto"/>
        <w:rPr>
          <w:sz w:val="20"/>
          <w:szCs w:val="20"/>
          <w:color w:val="auto"/>
        </w:rPr>
      </w:pPr>
      <w:r>
        <w:rPr>
          <w:rFonts w:ascii="Arial" w:cs="Arial" w:eastAsia="Arial" w:hAnsi="Arial"/>
          <w:sz w:val="18"/>
          <w:szCs w:val="18"/>
          <w:color w:val="auto"/>
        </w:rPr>
        <w:t xml:space="preserve">We account for fnancial instruments under ASC Topic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("ASC 820"). This statement defnes fair value, establishes a framework for measuring fair value in generally accepted accountng principles, and expands disclosures about fair value measurements. To increase consistency and comparability in fair value measurements, ASC 820 establishes a fair value hierarchy that prioritzes the inputs to valuaton techniques used to measure fair value into three levels as follows: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Level 1 </w:t>
      </w:r>
      <w:r>
        <w:rPr>
          <w:rFonts w:ascii="Arial" w:cs="Arial" w:eastAsia="Arial" w:hAnsi="Arial"/>
          <w:sz w:val="18"/>
          <w:szCs w:val="18"/>
          <w:color w:val="auto"/>
        </w:rPr>
        <w:t>- Measurements that refect quoted prices (unadjusted) for identcal assets or liabilites in actve markets.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Level 2 </w:t>
      </w:r>
      <w:r>
        <w:rPr>
          <w:rFonts w:ascii="Arial" w:cs="Arial" w:eastAsia="Arial" w:hAnsi="Arial"/>
          <w:sz w:val="18"/>
          <w:szCs w:val="18"/>
          <w:color w:val="auto"/>
        </w:rPr>
        <w:t>- Measurements that include other inputs that are directly or indirectly observable in the marketplace.</w:t>
      </w:r>
    </w:p>
    <w:p>
      <w:pPr>
        <w:spacing w:after="0" w:line="144" w:lineRule="exact"/>
        <w:rPr>
          <w:sz w:val="20"/>
          <w:szCs w:val="20"/>
          <w:color w:val="auto"/>
        </w:rPr>
      </w:pPr>
    </w:p>
    <w:p>
      <w:pPr>
        <w:jc w:val="both"/>
        <w:ind w:right="40"/>
        <w:spacing w:after="0" w:line="275" w:lineRule="auto"/>
        <w:rPr>
          <w:sz w:val="20"/>
          <w:szCs w:val="20"/>
          <w:color w:val="auto"/>
        </w:rPr>
      </w:pPr>
      <w:r>
        <w:rPr>
          <w:rFonts w:ascii="Arial" w:cs="Arial" w:eastAsia="Arial" w:hAnsi="Arial"/>
          <w:sz w:val="18"/>
          <w:szCs w:val="18"/>
          <w:b w:val="1"/>
          <w:bCs w:val="1"/>
          <w:i w:val="1"/>
          <w:iCs w:val="1"/>
          <w:color w:val="auto"/>
        </w:rPr>
        <w:t xml:space="preserve">Level 3 </w:t>
      </w:r>
      <w:r>
        <w:rPr>
          <w:rFonts w:ascii="Arial" w:cs="Arial" w:eastAsia="Arial" w:hAnsi="Arial"/>
          <w:sz w:val="18"/>
          <w:szCs w:val="18"/>
          <w:color w:val="auto"/>
        </w:rPr>
        <w:t>- Measurements derived from valuaton techniques in which one or more signifcant inputs or signifcant value drivers are unobservable. These fair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measurements require signifcant judgment.</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Financial instruments recorded at fair value on recurring basis as of September 30, 2023 and December 31, 2022 are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980" w:type="dxa"/>
            <w:vAlign w:val="bottom"/>
            <w:gridSpan w:val="7"/>
          </w:tcPr>
          <w:p>
            <w:pPr>
              <w:ind w:left="320"/>
              <w:spacing w:after="0"/>
              <w:rPr>
                <w:sz w:val="20"/>
                <w:szCs w:val="20"/>
                <w:color w:val="auto"/>
              </w:rPr>
            </w:pPr>
            <w:r>
              <w:rPr>
                <w:rFonts w:ascii="Arial" w:cs="Arial" w:eastAsia="Arial" w:hAnsi="Arial"/>
                <w:sz w:val="18"/>
                <w:szCs w:val="18"/>
                <w:b w:val="1"/>
                <w:bCs w:val="1"/>
                <w:color w:val="auto"/>
                <w:w w:val="97"/>
              </w:rPr>
              <w:t>Fair Value Measurements Using</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
        </w:trPr>
        <w:tc>
          <w:tcPr>
            <w:tcW w:w="5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0"/>
        </w:trPr>
        <w:tc>
          <w:tcPr>
            <w:tcW w:w="5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Arial" w:cs="Arial" w:eastAsia="Arial" w:hAnsi="Arial"/>
                <w:sz w:val="18"/>
                <w:szCs w:val="18"/>
                <w:b w:val="1"/>
                <w:bCs w:val="1"/>
                <w:color w:val="auto"/>
              </w:rPr>
              <w:t>Level 2</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43"/>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September 30, 2023</w:t>
            </w:r>
          </w:p>
        </w:tc>
        <w:tc>
          <w:tcPr>
            <w:tcW w:w="22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780" w:type="dxa"/>
            <w:vAlign w:val="bottom"/>
            <w:tcBorders>
              <w:top w:val="single" w:sz="8" w:color="auto"/>
            </w:tcBorders>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800" w:type="dxa"/>
            <w:vAlign w:val="bottom"/>
            <w:tcBorders>
              <w:top w:val="single" w:sz="8" w:color="auto"/>
            </w:tcBorders>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5"/>
        </w:trPr>
        <w:tc>
          <w:tcPr>
            <w:tcW w:w="5660" w:type="dxa"/>
            <w:vAlign w:val="bottom"/>
          </w:tcPr>
          <w:p>
            <w:pPr>
              <w:ind w:left="20"/>
              <w:spacing w:after="0"/>
              <w:rPr>
                <w:sz w:val="20"/>
                <w:szCs w:val="20"/>
                <w:color w:val="auto"/>
              </w:rPr>
            </w:pPr>
            <w:r>
              <w:rPr>
                <w:rFonts w:ascii="Arial" w:cs="Arial" w:eastAsia="Arial" w:hAnsi="Arial"/>
                <w:sz w:val="18"/>
                <w:szCs w:val="18"/>
                <w:color w:val="auto"/>
              </w:rPr>
              <w:t>Money market funds (cash equivalent)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190,054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600"/>
              <w:spacing w:after="0"/>
              <w:rPr>
                <w:sz w:val="20"/>
                <w:szCs w:val="20"/>
                <w:color w:val="auto"/>
              </w:rPr>
            </w:pPr>
            <w:r>
              <w:rPr>
                <w:rFonts w:ascii="Arial" w:cs="Arial" w:eastAsia="Arial" w:hAnsi="Arial"/>
                <w:sz w:val="18"/>
                <w:szCs w:val="18"/>
                <w:color w:val="auto"/>
                <w:w w:val="88"/>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190,054</w:t>
            </w:r>
          </w:p>
        </w:tc>
        <w:tc>
          <w:tcPr>
            <w:tcW w:w="100" w:type="dxa"/>
            <w:vAlign w:val="bottom"/>
          </w:tcPr>
          <w:p>
            <w:pPr>
              <w:spacing w:after="0"/>
              <w:rPr>
                <w:sz w:val="20"/>
                <w:szCs w:val="20"/>
                <w:color w:val="auto"/>
              </w:rPr>
            </w:pPr>
          </w:p>
        </w:tc>
      </w:tr>
      <w:tr>
        <w:trPr>
          <w:trHeight w:val="251"/>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Investments:</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5"/>
        </w:trPr>
        <w:tc>
          <w:tcPr>
            <w:tcW w:w="5660" w:type="dxa"/>
            <w:vAlign w:val="bottom"/>
          </w:tcPr>
          <w:p>
            <w:pPr>
              <w:ind w:left="120"/>
              <w:spacing w:after="0"/>
              <w:rPr>
                <w:sz w:val="20"/>
                <w:szCs w:val="20"/>
                <w:color w:val="auto"/>
              </w:rPr>
            </w:pPr>
            <w:r>
              <w:rPr>
                <w:rFonts w:ascii="Arial" w:cs="Arial" w:eastAsia="Arial" w:hAnsi="Arial"/>
                <w:sz w:val="18"/>
                <w:szCs w:val="18"/>
                <w:color w:val="auto"/>
              </w:rPr>
              <w:t>Note</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ind w:left="60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2,536</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2,536</w:t>
            </w:r>
          </w:p>
        </w:tc>
        <w:tc>
          <w:tcPr>
            <w:tcW w:w="100" w:type="dxa"/>
            <w:vAlign w:val="bottom"/>
          </w:tcPr>
          <w:p>
            <w:pPr>
              <w:spacing w:after="0"/>
              <w:rPr>
                <w:sz w:val="20"/>
                <w:szCs w:val="20"/>
                <w:color w:val="auto"/>
              </w:rPr>
            </w:pPr>
          </w:p>
        </w:tc>
      </w:tr>
      <w:tr>
        <w:trPr>
          <w:trHeight w:val="245"/>
        </w:trPr>
        <w:tc>
          <w:tcPr>
            <w:tcW w:w="56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Warrant</w:t>
            </w:r>
          </w:p>
        </w:tc>
        <w:tc>
          <w:tcPr>
            <w:tcW w:w="2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w w:val="88"/>
              </w:rPr>
              <w:t>—</w:t>
            </w:r>
          </w:p>
        </w:tc>
        <w:tc>
          <w:tcPr>
            <w:tcW w:w="3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3,506</w:t>
            </w:r>
          </w:p>
        </w:tc>
        <w:tc>
          <w:tcPr>
            <w:tcW w:w="3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66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190,054</w:t>
            </w:r>
          </w:p>
        </w:tc>
        <w:tc>
          <w:tcPr>
            <w:tcW w:w="3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w w:val="88"/>
              </w:rPr>
              <w:t>—</w:t>
            </w:r>
          </w:p>
        </w:tc>
        <w:tc>
          <w:tcPr>
            <w:tcW w:w="34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6,042</w:t>
            </w:r>
          </w:p>
        </w:tc>
        <w:tc>
          <w:tcPr>
            <w:tcW w:w="34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196,096</w:t>
            </w:r>
          </w:p>
        </w:tc>
        <w:tc>
          <w:tcPr>
            <w:tcW w:w="100" w:type="dxa"/>
            <w:vAlign w:val="bottom"/>
          </w:tcPr>
          <w:p>
            <w:pPr>
              <w:spacing w:after="0"/>
              <w:rPr>
                <w:sz w:val="20"/>
                <w:szCs w:val="20"/>
                <w:color w:val="auto"/>
              </w:rPr>
            </w:pPr>
          </w:p>
        </w:tc>
      </w:tr>
      <w:tr>
        <w:trPr>
          <w:trHeight w:val="20"/>
        </w:trPr>
        <w:tc>
          <w:tcPr>
            <w:tcW w:w="5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5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980" w:type="dxa"/>
            <w:vAlign w:val="bottom"/>
            <w:gridSpan w:val="7"/>
          </w:tcPr>
          <w:p>
            <w:pPr>
              <w:ind w:left="320"/>
              <w:spacing w:after="0"/>
              <w:rPr>
                <w:sz w:val="20"/>
                <w:szCs w:val="20"/>
                <w:color w:val="auto"/>
              </w:rPr>
            </w:pPr>
            <w:r>
              <w:rPr>
                <w:rFonts w:ascii="Arial" w:cs="Arial" w:eastAsia="Arial" w:hAnsi="Arial"/>
                <w:sz w:val="18"/>
                <w:szCs w:val="18"/>
                <w:b w:val="1"/>
                <w:bCs w:val="1"/>
                <w:color w:val="auto"/>
                <w:w w:val="97"/>
              </w:rPr>
              <w:t>Fair Value Measurements Using</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
        </w:trPr>
        <w:tc>
          <w:tcPr>
            <w:tcW w:w="5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0"/>
        </w:trPr>
        <w:tc>
          <w:tcPr>
            <w:tcW w:w="5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Arial" w:cs="Arial" w:eastAsia="Arial" w:hAnsi="Arial"/>
                <w:sz w:val="18"/>
                <w:szCs w:val="18"/>
                <w:b w:val="1"/>
                <w:bCs w:val="1"/>
                <w:color w:val="auto"/>
              </w:rPr>
              <w:t>Level 2</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43"/>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December 31, 2022</w:t>
            </w:r>
          </w:p>
        </w:tc>
        <w:tc>
          <w:tcPr>
            <w:tcW w:w="22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780" w:type="dxa"/>
            <w:vAlign w:val="bottom"/>
            <w:tcBorders>
              <w:top w:val="single" w:sz="8" w:color="auto"/>
            </w:tcBorders>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800" w:type="dxa"/>
            <w:vAlign w:val="bottom"/>
            <w:tcBorders>
              <w:top w:val="single" w:sz="8" w:color="auto"/>
            </w:tcBorders>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5660" w:type="dxa"/>
            <w:vAlign w:val="bottom"/>
          </w:tcPr>
          <w:p>
            <w:pPr>
              <w:ind w:left="20"/>
              <w:spacing w:after="0"/>
              <w:rPr>
                <w:sz w:val="20"/>
                <w:szCs w:val="20"/>
                <w:color w:val="auto"/>
              </w:rPr>
            </w:pPr>
            <w:r>
              <w:rPr>
                <w:rFonts w:ascii="Arial" w:cs="Arial" w:eastAsia="Arial" w:hAnsi="Arial"/>
                <w:sz w:val="18"/>
                <w:szCs w:val="18"/>
                <w:color w:val="auto"/>
              </w:rPr>
              <w:t>Money market funds (cash equivalent)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203,285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600"/>
              <w:spacing w:after="0"/>
              <w:rPr>
                <w:sz w:val="20"/>
                <w:szCs w:val="20"/>
                <w:color w:val="auto"/>
              </w:rPr>
            </w:pPr>
            <w:r>
              <w:rPr>
                <w:rFonts w:ascii="Arial" w:cs="Arial" w:eastAsia="Arial" w:hAnsi="Arial"/>
                <w:sz w:val="18"/>
                <w:szCs w:val="18"/>
                <w:color w:val="auto"/>
                <w:w w:val="88"/>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203,285</w:t>
            </w:r>
          </w:p>
        </w:tc>
        <w:tc>
          <w:tcPr>
            <w:tcW w:w="100" w:type="dxa"/>
            <w:vAlign w:val="bottom"/>
          </w:tcPr>
          <w:p>
            <w:pPr>
              <w:spacing w:after="0"/>
              <w:rPr>
                <w:sz w:val="20"/>
                <w:szCs w:val="20"/>
                <w:color w:val="auto"/>
              </w:rPr>
            </w:pPr>
          </w:p>
        </w:tc>
      </w:tr>
      <w:tr>
        <w:trPr>
          <w:trHeight w:val="277"/>
        </w:trPr>
        <w:tc>
          <w:tcPr>
            <w:tcW w:w="56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203,285</w:t>
            </w:r>
          </w:p>
        </w:tc>
        <w:tc>
          <w:tcPr>
            <w:tcW w:w="3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FF0FC"/>
          </w:tcPr>
          <w:p>
            <w:pPr>
              <w:ind w:left="600"/>
              <w:spacing w:after="0"/>
              <w:rPr>
                <w:sz w:val="20"/>
                <w:szCs w:val="20"/>
                <w:color w:val="auto"/>
              </w:rPr>
            </w:pPr>
            <w:r>
              <w:rPr>
                <w:rFonts w:ascii="Arial" w:cs="Arial" w:eastAsia="Arial" w:hAnsi="Arial"/>
                <w:sz w:val="18"/>
                <w:szCs w:val="18"/>
                <w:b w:val="1"/>
                <w:bCs w:val="1"/>
                <w:color w:val="auto"/>
                <w:w w:val="88"/>
              </w:rPr>
              <w:t>—</w:t>
            </w:r>
          </w:p>
        </w:tc>
        <w:tc>
          <w:tcPr>
            <w:tcW w:w="3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203,285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-1182370</wp:posOffset>
            </wp:positionV>
            <wp:extent cx="77470" cy="3600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3600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-1182370</wp:posOffset>
            </wp:positionV>
            <wp:extent cx="68580" cy="3600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3600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-1182370</wp:posOffset>
            </wp:positionV>
            <wp:extent cx="68580" cy="3600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3600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6858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68580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-24765</wp:posOffset>
            </wp:positionV>
            <wp:extent cx="774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-7620</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-24765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6" w:lineRule="exact"/>
        <w:rPr>
          <w:sz w:val="20"/>
          <w:szCs w:val="20"/>
          <w:color w:val="auto"/>
        </w:rPr>
      </w:pPr>
    </w:p>
    <w:p>
      <w:pPr>
        <w:jc w:val="both"/>
        <w:ind w:right="40"/>
        <w:spacing w:after="0" w:line="278" w:lineRule="auto"/>
        <w:rPr>
          <w:sz w:val="20"/>
          <w:szCs w:val="20"/>
          <w:color w:val="auto"/>
        </w:rPr>
      </w:pPr>
      <w:r>
        <w:rPr>
          <w:rFonts w:ascii="Arial" w:cs="Arial" w:eastAsia="Arial" w:hAnsi="Arial"/>
          <w:sz w:val="17"/>
          <w:szCs w:val="17"/>
          <w:color w:val="auto"/>
        </w:rPr>
        <w:t>The fair value of the Note is determined using the income approach, utlizing Level 3 inputs. The estmated fair value of the Warrant is determined using the Black-Scholes model, which requires us to make assumptons and judgments about the variables used in the calculaton related to volatlity, expected term, dividend yield and risk-free interest rate. Because of the inherent uncertainty of valuaton, these estmated values may difer signifcantly from the values that would have been used had a ready market for the investments existed, and the diferences could be material.</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quanttatve informaton about the signifcant unobservable inputs applied to these Level 3 fair value measurements: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580" w:type="dxa"/>
            <w:vAlign w:val="bottom"/>
          </w:tcPr>
          <w:p>
            <w:pPr>
              <w:ind w:left="2020"/>
              <w:spacing w:after="0"/>
              <w:rPr>
                <w:sz w:val="20"/>
                <w:szCs w:val="20"/>
                <w:color w:val="auto"/>
              </w:rPr>
            </w:pPr>
            <w:r>
              <w:rPr>
                <w:rFonts w:ascii="Arial" w:cs="Arial" w:eastAsia="Arial" w:hAnsi="Arial"/>
                <w:sz w:val="18"/>
                <w:szCs w:val="18"/>
                <w:b w:val="1"/>
                <w:bCs w:val="1"/>
                <w:color w:val="auto"/>
              </w:rPr>
              <w:t>Assets</w:t>
            </w:r>
          </w:p>
        </w:tc>
        <w:tc>
          <w:tcPr>
            <w:tcW w:w="5400" w:type="dxa"/>
            <w:vAlign w:val="bottom"/>
          </w:tcPr>
          <w:p>
            <w:pPr>
              <w:ind w:left="2060"/>
              <w:spacing w:after="0"/>
              <w:rPr>
                <w:sz w:val="20"/>
                <w:szCs w:val="20"/>
                <w:color w:val="auto"/>
              </w:rPr>
            </w:pPr>
            <w:r>
              <w:rPr>
                <w:rFonts w:ascii="Arial" w:cs="Arial" w:eastAsia="Arial" w:hAnsi="Arial"/>
                <w:sz w:val="18"/>
                <w:szCs w:val="18"/>
                <w:b w:val="1"/>
                <w:bCs w:val="1"/>
                <w:color w:val="auto"/>
              </w:rPr>
              <w:t>Signifcant Unobservable Inputs</w:t>
            </w:r>
          </w:p>
        </w:tc>
        <w:tc>
          <w:tcPr>
            <w:tcW w:w="140" w:type="dxa"/>
            <w:vAlign w:val="bottom"/>
          </w:tcPr>
          <w:p>
            <w:pPr>
              <w:spacing w:after="0"/>
              <w:rPr>
                <w:sz w:val="20"/>
                <w:szCs w:val="20"/>
                <w:color w:val="auto"/>
              </w:rPr>
            </w:pPr>
          </w:p>
        </w:tc>
        <w:tc>
          <w:tcPr>
            <w:tcW w:w="216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September 30, 2023</w:t>
            </w:r>
          </w:p>
        </w:tc>
        <w:tc>
          <w:tcPr>
            <w:tcW w:w="0" w:type="dxa"/>
            <w:vAlign w:val="bottom"/>
          </w:tcPr>
          <w:p>
            <w:pPr>
              <w:spacing w:after="0"/>
              <w:rPr>
                <w:sz w:val="1"/>
                <w:szCs w:val="1"/>
                <w:color w:val="auto"/>
              </w:rPr>
            </w:pPr>
          </w:p>
        </w:tc>
      </w:tr>
      <w:tr>
        <w:trPr>
          <w:trHeight w:val="33"/>
        </w:trPr>
        <w:tc>
          <w:tcPr>
            <w:tcW w:w="3580" w:type="dxa"/>
            <w:vAlign w:val="bottom"/>
            <w:tcBorders>
              <w:bottom w:val="single" w:sz="8" w:color="auto"/>
            </w:tcBorders>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w:t>
            </w:r>
          </w:p>
        </w:tc>
        <w:tc>
          <w:tcPr>
            <w:tcW w:w="5400" w:type="dxa"/>
            <w:vAlign w:val="bottom"/>
            <w:shd w:val="clear" w:color="auto" w:fill="CFF0FC"/>
          </w:tcPr>
          <w:p>
            <w:pPr>
              <w:ind w:left="1120"/>
              <w:spacing w:after="0"/>
              <w:rPr>
                <w:sz w:val="20"/>
                <w:szCs w:val="20"/>
                <w:color w:val="auto"/>
              </w:rPr>
            </w:pPr>
            <w:r>
              <w:rPr>
                <w:rFonts w:ascii="Arial" w:cs="Arial" w:eastAsia="Arial" w:hAnsi="Arial"/>
                <w:sz w:val="18"/>
                <w:szCs w:val="18"/>
                <w:color w:val="auto"/>
              </w:rPr>
              <w:t>Expected terms (years)</w:t>
            </w:r>
          </w:p>
        </w:tc>
        <w:tc>
          <w:tcPr>
            <w:tcW w:w="140" w:type="dxa"/>
            <w:vAlign w:val="bottom"/>
            <w:shd w:val="clear" w:color="auto" w:fill="CFF0FC"/>
          </w:tcPr>
          <w:p>
            <w:pPr>
              <w:spacing w:after="0"/>
              <w:rPr>
                <w:sz w:val="20"/>
                <w:szCs w:val="20"/>
                <w:color w:val="auto"/>
              </w:rPr>
            </w:pP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FF0FC"/>
          </w:tcPr>
          <w:p>
            <w:pPr>
              <w:spacing w:after="0"/>
              <w:rPr>
                <w:sz w:val="20"/>
                <w:szCs w:val="20"/>
                <w:color w:val="auto"/>
              </w:rPr>
            </w:pP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580" w:type="dxa"/>
            <w:vAlign w:val="bottom"/>
          </w:tcPr>
          <w:p>
            <w:pPr>
              <w:spacing w:after="0"/>
              <w:rPr>
                <w:sz w:val="19"/>
                <w:szCs w:val="19"/>
                <w:color w:val="auto"/>
              </w:rPr>
            </w:pPr>
          </w:p>
        </w:tc>
        <w:tc>
          <w:tcPr>
            <w:tcW w:w="5400" w:type="dxa"/>
            <w:vAlign w:val="bottom"/>
          </w:tcPr>
          <w:p>
            <w:pPr>
              <w:ind w:left="1120"/>
              <w:spacing w:after="0"/>
              <w:rPr>
                <w:sz w:val="20"/>
                <w:szCs w:val="20"/>
                <w:color w:val="auto"/>
              </w:rPr>
            </w:pPr>
            <w:r>
              <w:rPr>
                <w:rFonts w:ascii="Arial" w:cs="Arial" w:eastAsia="Arial" w:hAnsi="Arial"/>
                <w:sz w:val="18"/>
                <w:szCs w:val="18"/>
                <w:color w:val="auto"/>
              </w:rPr>
              <w:t>Implied Yield</w:t>
            </w:r>
          </w:p>
        </w:tc>
        <w:tc>
          <w:tcPr>
            <w:tcW w:w="2300" w:type="dxa"/>
            <w:vAlign w:val="bottom"/>
            <w:gridSpan w:val="4"/>
          </w:tcPr>
          <w:p>
            <w:pPr>
              <w:jc w:val="right"/>
              <w:spacing w:after="0"/>
              <w:rPr>
                <w:sz w:val="20"/>
                <w:szCs w:val="20"/>
                <w:color w:val="auto"/>
              </w:rPr>
            </w:pPr>
            <w:r>
              <w:rPr>
                <w:rFonts w:ascii="Arial" w:cs="Arial" w:eastAsia="Arial" w:hAnsi="Arial"/>
                <w:sz w:val="18"/>
                <w:szCs w:val="18"/>
                <w:color w:val="auto"/>
              </w:rPr>
              <w:t>23.0 %</w:t>
            </w:r>
          </w:p>
        </w:tc>
        <w:tc>
          <w:tcPr>
            <w:tcW w:w="0" w:type="dxa"/>
            <w:vAlign w:val="bottom"/>
          </w:tcPr>
          <w:p>
            <w:pPr>
              <w:spacing w:after="0"/>
              <w:rPr>
                <w:sz w:val="1"/>
                <w:szCs w:val="1"/>
                <w:color w:val="auto"/>
              </w:rPr>
            </w:pPr>
          </w:p>
        </w:tc>
      </w:tr>
      <w:tr>
        <w:trPr>
          <w:trHeight w:val="227"/>
        </w:trPr>
        <w:tc>
          <w:tcPr>
            <w:tcW w:w="3580" w:type="dxa"/>
            <w:vAlign w:val="bottom"/>
          </w:tcPr>
          <w:p>
            <w:pPr>
              <w:ind w:left="20"/>
              <w:spacing w:after="0"/>
              <w:rPr>
                <w:sz w:val="20"/>
                <w:szCs w:val="20"/>
                <w:color w:val="auto"/>
              </w:rPr>
            </w:pPr>
            <w:r>
              <w:rPr>
                <w:rFonts w:ascii="Arial" w:cs="Arial" w:eastAsia="Arial" w:hAnsi="Arial"/>
                <w:sz w:val="18"/>
                <w:szCs w:val="18"/>
                <w:color w:val="auto"/>
              </w:rPr>
              <w:t>Warrant</w:t>
            </w:r>
          </w:p>
        </w:tc>
        <w:tc>
          <w:tcPr>
            <w:tcW w:w="5400" w:type="dxa"/>
            <w:vAlign w:val="bottom"/>
          </w:tcPr>
          <w:p>
            <w:pPr>
              <w:ind w:left="1120"/>
              <w:spacing w:after="0"/>
              <w:rPr>
                <w:sz w:val="20"/>
                <w:szCs w:val="20"/>
                <w:color w:val="auto"/>
              </w:rPr>
            </w:pPr>
            <w:r>
              <w:rPr>
                <w:rFonts w:ascii="Arial" w:cs="Arial" w:eastAsia="Arial" w:hAnsi="Arial"/>
                <w:sz w:val="18"/>
                <w:szCs w:val="18"/>
                <w:color w:val="auto"/>
              </w:rPr>
              <w:t>Estmated volatlity</w:t>
            </w:r>
          </w:p>
        </w:tc>
        <w:tc>
          <w:tcPr>
            <w:tcW w:w="2300" w:type="dxa"/>
            <w:vAlign w:val="bottom"/>
            <w:gridSpan w:val="4"/>
          </w:tcPr>
          <w:p>
            <w:pPr>
              <w:jc w:val="right"/>
              <w:spacing w:after="0"/>
              <w:rPr>
                <w:sz w:val="20"/>
                <w:szCs w:val="20"/>
                <w:color w:val="auto"/>
              </w:rPr>
            </w:pPr>
            <w:r>
              <w:rPr>
                <w:rFonts w:ascii="Arial" w:cs="Arial" w:eastAsia="Arial" w:hAnsi="Arial"/>
                <w:sz w:val="18"/>
                <w:szCs w:val="18"/>
                <w:color w:val="auto"/>
              </w:rPr>
              <w:t>55.0 %</w:t>
            </w:r>
          </w:p>
        </w:tc>
        <w:tc>
          <w:tcPr>
            <w:tcW w:w="0" w:type="dxa"/>
            <w:vAlign w:val="bottom"/>
          </w:tcPr>
          <w:p>
            <w:pPr>
              <w:spacing w:after="0"/>
              <w:rPr>
                <w:sz w:val="1"/>
                <w:szCs w:val="1"/>
                <w:color w:val="auto"/>
              </w:rPr>
            </w:pPr>
          </w:p>
        </w:tc>
      </w:tr>
      <w:tr>
        <w:trPr>
          <w:trHeight w:val="240"/>
        </w:trPr>
        <w:tc>
          <w:tcPr>
            <w:tcW w:w="3580" w:type="dxa"/>
            <w:vAlign w:val="bottom"/>
          </w:tcPr>
          <w:p>
            <w:pPr>
              <w:spacing w:after="0"/>
              <w:rPr>
                <w:sz w:val="20"/>
                <w:szCs w:val="20"/>
                <w:color w:val="auto"/>
              </w:rPr>
            </w:pPr>
          </w:p>
        </w:tc>
        <w:tc>
          <w:tcPr>
            <w:tcW w:w="5400" w:type="dxa"/>
            <w:vAlign w:val="bottom"/>
          </w:tcPr>
          <w:p>
            <w:pPr>
              <w:ind w:left="1120"/>
              <w:spacing w:after="0"/>
              <w:rPr>
                <w:sz w:val="20"/>
                <w:szCs w:val="20"/>
                <w:color w:val="auto"/>
              </w:rPr>
            </w:pPr>
            <w:r>
              <w:rPr>
                <w:rFonts w:ascii="Arial" w:cs="Arial" w:eastAsia="Arial" w:hAnsi="Arial"/>
                <w:sz w:val="18"/>
                <w:szCs w:val="18"/>
                <w:color w:val="auto"/>
              </w:rPr>
              <w:t>Expected terms (years)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80" w:type="dxa"/>
            <w:vAlign w:val="bottom"/>
          </w:tcPr>
          <w:p>
            <w:pPr>
              <w:spacing w:after="0"/>
              <w:rPr>
                <w:sz w:val="21"/>
                <w:szCs w:val="21"/>
                <w:color w:val="auto"/>
              </w:rPr>
            </w:pPr>
          </w:p>
        </w:tc>
        <w:tc>
          <w:tcPr>
            <w:tcW w:w="5400" w:type="dxa"/>
            <w:vAlign w:val="bottom"/>
          </w:tcPr>
          <w:p>
            <w:pPr>
              <w:ind w:left="1120"/>
              <w:spacing w:after="0"/>
              <w:rPr>
                <w:sz w:val="20"/>
                <w:szCs w:val="20"/>
                <w:color w:val="auto"/>
              </w:rPr>
            </w:pPr>
            <w:r>
              <w:rPr>
                <w:rFonts w:ascii="Arial" w:cs="Arial" w:eastAsia="Arial" w:hAnsi="Arial"/>
                <w:sz w:val="18"/>
                <w:szCs w:val="18"/>
                <w:color w:val="auto"/>
              </w:rPr>
              <w:t>Risk-free rate</w:t>
            </w:r>
          </w:p>
        </w:tc>
        <w:tc>
          <w:tcPr>
            <w:tcW w:w="2300" w:type="dxa"/>
            <w:vAlign w:val="bottom"/>
            <w:gridSpan w:val="4"/>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3"/>
                <w:szCs w:val="23"/>
                <w:color w:val="auto"/>
              </w:rPr>
            </w:pPr>
          </w:p>
        </w:tc>
        <w:tc>
          <w:tcPr>
            <w:tcW w:w="5400" w:type="dxa"/>
            <w:vAlign w:val="bottom"/>
          </w:tcPr>
          <w:p>
            <w:pPr>
              <w:ind w:left="1120"/>
              <w:spacing w:after="0"/>
              <w:rPr>
                <w:sz w:val="20"/>
                <w:szCs w:val="20"/>
                <w:color w:val="auto"/>
              </w:rPr>
            </w:pPr>
            <w:r>
              <w:rPr>
                <w:rFonts w:ascii="Arial" w:cs="Arial" w:eastAsia="Arial" w:hAnsi="Arial"/>
                <w:sz w:val="18"/>
                <w:szCs w:val="18"/>
                <w:color w:val="auto"/>
              </w:rPr>
              <w:t>Expected dividend yield</w:t>
            </w:r>
          </w:p>
        </w:tc>
        <w:tc>
          <w:tcPr>
            <w:tcW w:w="2300" w:type="dxa"/>
            <w:vAlign w:val="bottom"/>
            <w:gridSpan w:val="4"/>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-611505</wp:posOffset>
            </wp:positionV>
            <wp:extent cx="7132320" cy="1543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-302895</wp:posOffset>
            </wp:positionV>
            <wp:extent cx="7132320" cy="1543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31" w:lineRule="exact"/>
        <w:rPr>
          <w:sz w:val="20"/>
          <w:szCs w:val="20"/>
          <w:color w:val="auto"/>
        </w:rPr>
      </w:pPr>
    </w:p>
    <w:p>
      <w:pPr>
        <w:ind w:right="40"/>
        <w:spacing w:after="0" w:line="289" w:lineRule="auto"/>
        <w:rPr>
          <w:sz w:val="20"/>
          <w:szCs w:val="20"/>
          <w:color w:val="auto"/>
        </w:rPr>
      </w:pPr>
      <w:r>
        <w:rPr>
          <w:rFonts w:ascii="Arial" w:cs="Arial" w:eastAsia="Arial" w:hAnsi="Arial"/>
          <w:sz w:val="18"/>
          <w:szCs w:val="18"/>
          <w:color w:val="auto"/>
        </w:rPr>
        <w:t>The following table provides a reconciliaton of the fnancial instruments measured at fair value using Level 3 signifcant unobservable inputs for the three months ended September 30, 2023 (in thousands):</w:t>
      </w:r>
    </w:p>
    <w:p>
      <w:pPr>
        <w:spacing w:after="0" w:line="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05" w:right="29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Note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gridSpan w:val="2"/>
          </w:tcPr>
          <w:p>
            <w:pPr>
              <w:jc w:val="right"/>
              <w:ind w:right="1100"/>
              <w:spacing w:after="0"/>
              <w:rPr>
                <w:sz w:val="20"/>
                <w:szCs w:val="20"/>
                <w:color w:val="auto"/>
              </w:rPr>
            </w:pPr>
            <w:r>
              <w:rPr>
                <w:rFonts w:ascii="Arial" w:cs="Arial" w:eastAsia="Arial" w:hAnsi="Arial"/>
                <w:sz w:val="18"/>
                <w:szCs w:val="18"/>
                <w:b w:val="1"/>
                <w:bCs w:val="1"/>
                <w:color w:val="auto"/>
              </w:rPr>
              <w:t>Warrant</w:t>
            </w:r>
          </w:p>
        </w:tc>
        <w:tc>
          <w:tcPr>
            <w:tcW w:w="0" w:type="dxa"/>
            <w:vAlign w:val="bottom"/>
          </w:tcPr>
          <w:p>
            <w:pPr>
              <w:spacing w:after="0"/>
              <w:rPr>
                <w:sz w:val="1"/>
                <w:szCs w:val="1"/>
                <w:color w:val="auto"/>
              </w:rPr>
            </w:pPr>
          </w:p>
        </w:tc>
      </w:tr>
      <w:tr>
        <w:trPr>
          <w:trHeight w:val="33"/>
        </w:trPr>
        <w:tc>
          <w:tcPr>
            <w:tcW w:w="55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as of July 3, 2023 (incepton)</w:t>
            </w:r>
          </w:p>
        </w:tc>
        <w:tc>
          <w:tcPr>
            <w:tcW w:w="980" w:type="dxa"/>
            <w:vAlign w:val="bottom"/>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2,411</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580" w:type="dxa"/>
            <w:vAlign w:val="bottom"/>
          </w:tcPr>
          <w:p>
            <w:pPr>
              <w:ind w:left="20"/>
              <w:spacing w:after="0"/>
              <w:rPr>
                <w:sz w:val="20"/>
                <w:szCs w:val="20"/>
                <w:color w:val="auto"/>
              </w:rPr>
            </w:pPr>
            <w:r>
              <w:rPr>
                <w:rFonts w:ascii="Arial" w:cs="Arial" w:eastAsia="Arial" w:hAnsi="Arial"/>
                <w:sz w:val="18"/>
                <w:szCs w:val="18"/>
                <w:color w:val="auto"/>
              </w:rPr>
              <w:t>Accreton of discount</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paid-in-kind</w:t>
            </w:r>
          </w:p>
        </w:tc>
        <w:tc>
          <w:tcPr>
            <w:tcW w:w="9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580" w:type="dxa"/>
            <w:vAlign w:val="bottom"/>
          </w:tcPr>
          <w:p>
            <w:pPr>
              <w:ind w:left="20"/>
              <w:spacing w:after="0"/>
              <w:rPr>
                <w:sz w:val="20"/>
                <w:szCs w:val="20"/>
                <w:color w:val="auto"/>
              </w:rPr>
            </w:pPr>
            <w:r>
              <w:rPr>
                <w:rFonts w:ascii="Arial" w:cs="Arial" w:eastAsia="Arial" w:hAnsi="Arial"/>
                <w:sz w:val="18"/>
                <w:szCs w:val="18"/>
                <w:color w:val="auto"/>
              </w:rPr>
              <w:t>Total unrealized gains or losses:</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55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Recognized in earnings</w:t>
            </w:r>
          </w:p>
        </w:tc>
        <w:tc>
          <w:tcPr>
            <w:tcW w:w="9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37"/>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2023</w:t>
            </w: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b w:val="1"/>
                <w:bCs w:val="1"/>
                <w:color w:val="auto"/>
              </w:rPr>
              <w:t>11. A</w:t>
            </w:r>
            <w:r>
              <w:rPr>
                <w:rFonts w:ascii="Arial" w:cs="Arial" w:eastAsia="Arial" w:hAnsi="Arial"/>
                <w:sz w:val="12"/>
                <w:szCs w:val="12"/>
                <w:b w:val="1"/>
                <w:bCs w:val="1"/>
                <w:color w:val="auto"/>
              </w:rPr>
              <w:t>ccrued</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xpenses and</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urrent</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iabilities</w:t>
            </w:r>
          </w:p>
        </w:tc>
        <w:tc>
          <w:tcPr>
            <w:tcW w:w="9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55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7440" w:type="dxa"/>
            <w:vAlign w:val="bottom"/>
            <w:gridSpan w:val="3"/>
          </w:tcPr>
          <w:p>
            <w:pPr>
              <w:spacing w:after="0"/>
              <w:rPr>
                <w:sz w:val="20"/>
                <w:szCs w:val="20"/>
                <w:color w:val="auto"/>
              </w:rPr>
            </w:pPr>
            <w:r>
              <w:rPr>
                <w:rFonts w:ascii="Arial" w:cs="Arial" w:eastAsia="Arial" w:hAnsi="Arial"/>
                <w:sz w:val="18"/>
                <w:szCs w:val="18"/>
                <w:color w:val="auto"/>
              </w:rPr>
              <w:t>Accrued expenses and other current liabilites consist of the following (in thousands):</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20" w:type="dxa"/>
            <w:vAlign w:val="bottom"/>
            <w:gridSpan w:val="3"/>
          </w:tcPr>
          <w:p>
            <w:pPr>
              <w:ind w:left="300"/>
              <w:spacing w:after="0"/>
              <w:rPr>
                <w:sz w:val="20"/>
                <w:szCs w:val="20"/>
                <w:color w:val="auto"/>
              </w:rPr>
            </w:pPr>
            <w:r>
              <w:rPr>
                <w:rFonts w:ascii="Arial" w:cs="Arial" w:eastAsia="Arial" w:hAnsi="Arial"/>
                <w:sz w:val="18"/>
                <w:szCs w:val="18"/>
                <w:b w:val="1"/>
                <w:bCs w:val="1"/>
                <w:color w:val="auto"/>
                <w:w w:val="89"/>
              </w:rPr>
              <w:t>September 30, 2023</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4"/>
              </w:rPr>
              <w:t>December 31, 2022</w:t>
            </w:r>
          </w:p>
        </w:tc>
        <w:tc>
          <w:tcPr>
            <w:tcW w:w="0" w:type="dxa"/>
            <w:vAlign w:val="bottom"/>
          </w:tcPr>
          <w:p>
            <w:pPr>
              <w:spacing w:after="0"/>
              <w:rPr>
                <w:sz w:val="1"/>
                <w:szCs w:val="1"/>
                <w:color w:val="auto"/>
              </w:rPr>
            </w:pPr>
          </w:p>
        </w:tc>
      </w:tr>
      <w:tr>
        <w:trPr>
          <w:trHeight w:val="33"/>
        </w:trPr>
        <w:tc>
          <w:tcPr>
            <w:tcW w:w="5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4"/>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marketng expense</w:t>
            </w:r>
          </w:p>
        </w:tc>
        <w:tc>
          <w:tcPr>
            <w:tcW w:w="98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12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44,709</w:t>
            </w:r>
          </w:p>
        </w:tc>
        <w:tc>
          <w:tcPr>
            <w:tcW w:w="3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26,873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580" w:type="dxa"/>
            <w:vAlign w:val="bottom"/>
          </w:tcPr>
          <w:p>
            <w:pPr>
              <w:ind w:left="20"/>
              <w:spacing w:after="0"/>
              <w:rPr>
                <w:sz w:val="20"/>
                <w:szCs w:val="20"/>
                <w:color w:val="auto"/>
              </w:rPr>
            </w:pPr>
            <w:r>
              <w:rPr>
                <w:rFonts w:ascii="Arial" w:cs="Arial" w:eastAsia="Arial" w:hAnsi="Arial"/>
                <w:sz w:val="18"/>
                <w:szCs w:val="18"/>
                <w:color w:val="auto"/>
              </w:rPr>
              <w:t>Accrued taxes</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86"/>
              </w:rPr>
              <w:t>938</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customer credits</w:t>
            </w:r>
          </w:p>
        </w:tc>
        <w:tc>
          <w:tcPr>
            <w:tcW w:w="9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63,754</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88,167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580" w:type="dxa"/>
            <w:vAlign w:val="bottom"/>
          </w:tcPr>
          <w:p>
            <w:pPr>
              <w:ind w:left="20"/>
              <w:spacing w:after="0"/>
              <w:rPr>
                <w:sz w:val="20"/>
                <w:szCs w:val="20"/>
                <w:color w:val="auto"/>
              </w:rPr>
            </w:pPr>
            <w:r>
              <w:rPr>
                <w:rFonts w:ascii="Arial" w:cs="Arial" w:eastAsia="Arial" w:hAnsi="Arial"/>
                <w:sz w:val="18"/>
                <w:szCs w:val="18"/>
                <w:color w:val="auto"/>
              </w:rPr>
              <w:t>Accrued future customer compensaton</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46,263</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30,181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contngencies</w:t>
            </w:r>
          </w:p>
        </w:tc>
        <w:tc>
          <w:tcPr>
            <w:tcW w:w="9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580" w:type="dxa"/>
            <w:vAlign w:val="bottom"/>
          </w:tcPr>
          <w:p>
            <w:pPr>
              <w:ind w:left="20"/>
              <w:spacing w:after="0"/>
              <w:rPr>
                <w:sz w:val="20"/>
                <w:szCs w:val="20"/>
                <w:color w:val="auto"/>
              </w:rPr>
            </w:pPr>
            <w:r>
              <w:rPr>
                <w:rFonts w:ascii="Arial" w:cs="Arial" w:eastAsia="Arial" w:hAnsi="Arial"/>
                <w:sz w:val="18"/>
                <w:szCs w:val="18"/>
                <w:color w:val="auto"/>
              </w:rPr>
              <w:t>Accrued payroll</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13,363</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10,660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current liabilites</w:t>
            </w:r>
          </w:p>
        </w:tc>
        <w:tc>
          <w:tcPr>
            <w:tcW w:w="98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28,220</w:t>
            </w:r>
          </w:p>
        </w:tc>
        <w:tc>
          <w:tcPr>
            <w:tcW w:w="3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19,649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Total accrued expenses and other current liabilites</w:t>
            </w:r>
          </w:p>
        </w:tc>
        <w:tc>
          <w:tcPr>
            <w:tcW w:w="1860" w:type="dxa"/>
            <w:vAlign w:val="bottom"/>
            <w:gridSpan w:val="2"/>
          </w:tcPr>
          <w:p>
            <w:pPr>
              <w:jc w:val="right"/>
              <w:ind w:right="69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4"/>
          </w:tcPr>
          <w:p>
            <w:pPr>
              <w:jc w:val="right"/>
              <w:spacing w:after="0"/>
              <w:rPr>
                <w:sz w:val="20"/>
                <w:szCs w:val="20"/>
                <w:color w:val="auto"/>
              </w:rPr>
            </w:pPr>
            <w:r>
              <w:rPr>
                <w:rFonts w:ascii="Arial" w:cs="Arial" w:eastAsia="Arial" w:hAnsi="Arial"/>
                <w:sz w:val="18"/>
                <w:szCs w:val="18"/>
                <w:b w:val="1"/>
                <w:bCs w:val="1"/>
                <w:color w:val="auto"/>
              </w:rPr>
              <w:t>197,247</w:t>
            </w:r>
          </w:p>
        </w:tc>
        <w:tc>
          <w:tcPr>
            <w:tcW w:w="5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181,970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-187960</wp:posOffset>
            </wp:positionV>
            <wp:extent cx="68580" cy="1885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Accrued customer credits represent credits issued and outstanding for event cancellatons or other service issues related to recorded sales transactons. The accrued amount is reduced by the amount of credits estmated to go unused, known as breakage, provided that the credits are not subject to escheatment. We estmate breakage based on historical usage trends and available data on comparable programs and recognize breakage in proporton to the patern of redempton for customer credits. Our breakage estmate could be impacted by future actvity difering from our estmates, the efects of which could be material.</w:t>
      </w:r>
    </w:p>
    <w:p>
      <w:pPr>
        <w:spacing w:after="0" w:line="125"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During the three and nine months ended September 30, 2023, $2.6 million and $7.8 million of accrued customer credits were redeemed, respectvely, and we recognized $7.7 million and $18.4 million of revenue from breakage, respectvely. During the three and nine months ended September 30, 2022, $5.6 million and $22.9 million of accrued customer credits were redeemed, respectvely, and we recognized $1.8 million and $5.0 million of revenue from breakage, respectvely. Breakage amounts are net of reductons in associated accounts receivable balances.</w:t>
      </w:r>
    </w:p>
    <w:p>
      <w:pPr>
        <w:spacing w:after="0" w:line="9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Accrued future customer compensaton represents an estmate of the amount of customer compensaton due from cancellaton charges in the future. These provisions are based on historic experience, revenue volumes for future events, and management’s estmate of the likelihood of future event cancellatons and are recognized as a component of Revenues in the Condensed Consolidated Statements of Operatons. The expected recoveries of these obligatons are included in Prepaid expenses and other current assets in the Condensed Consolidated Balance Sheets. This estmated accrual could be impacted by future actvity difering from our estmates, the efects of which could be material. During the three and nine months ended September 30, 2023, we recognized a net increase in revenue of $1.5 million and $0.2 million, respectvely, and during the three and nine months ended September 30, 2022, we recognized a net increase in revenue of $4.6 million and $4.5 million, respectvely, from the reversals of previously recorded revenue and changes to accrued future customer compensaton related to event cancellatons where the performance obligatons were satsfed in prior periods.</w:t>
      </w:r>
    </w:p>
    <w:p>
      <w:pPr>
        <w:spacing w:after="0" w:line="104"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Accrued contngencies primarily decreased as a result of milestone payments to Betcha Sports, Inc. ("Betcha," which was rebranded as "Vivid Picks") of $6.0 million in cash during the nine months ended September 30, 2023.</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liabilites primarily increased as a result of accrued interest during the nine months ended September 30,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160" w:type="dxa"/>
            <w:vAlign w:val="bottom"/>
          </w:tcPr>
          <w:p>
            <w:pPr>
              <w:spacing w:after="0"/>
              <w:rPr>
                <w:sz w:val="20"/>
                <w:szCs w:val="20"/>
                <w:color w:val="auto"/>
              </w:rPr>
            </w:pPr>
            <w:r>
              <w:rPr>
                <w:rFonts w:ascii="Arial" w:cs="Arial" w:eastAsia="Arial" w:hAnsi="Arial"/>
                <w:sz w:val="18"/>
                <w:szCs w:val="18"/>
                <w:b w:val="1"/>
                <w:bCs w:val="1"/>
                <w:color w:val="auto"/>
              </w:rPr>
              <w:t>12. D</w:t>
            </w:r>
            <w:r>
              <w:rPr>
                <w:rFonts w:ascii="Arial" w:cs="Arial" w:eastAsia="Arial" w:hAnsi="Arial"/>
                <w:sz w:val="12"/>
                <w:szCs w:val="12"/>
                <w:b w:val="1"/>
                <w:bCs w:val="1"/>
                <w:color w:val="auto"/>
              </w:rPr>
              <w:t>ebt</w:t>
            </w:r>
          </w:p>
        </w:tc>
        <w:tc>
          <w:tcPr>
            <w:tcW w:w="2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2"/>
        </w:trPr>
        <w:tc>
          <w:tcPr>
            <w:tcW w:w="6160" w:type="dxa"/>
            <w:vAlign w:val="bottom"/>
          </w:tcPr>
          <w:p>
            <w:pPr>
              <w:spacing w:after="0"/>
              <w:rPr>
                <w:sz w:val="20"/>
                <w:szCs w:val="20"/>
                <w:color w:val="auto"/>
              </w:rPr>
            </w:pPr>
            <w:r>
              <w:rPr>
                <w:rFonts w:ascii="Arial" w:cs="Arial" w:eastAsia="Arial" w:hAnsi="Arial"/>
                <w:sz w:val="18"/>
                <w:szCs w:val="18"/>
                <w:color w:val="auto"/>
              </w:rPr>
              <w:t>Our outstanding debt is comprised of the following (in thousands):</w:t>
            </w:r>
          </w:p>
        </w:tc>
        <w:tc>
          <w:tcPr>
            <w:tcW w:w="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6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w w:val="97"/>
              </w:rPr>
              <w:t>September 30, 2023</w:t>
            </w:r>
          </w:p>
        </w:tc>
        <w:tc>
          <w:tcPr>
            <w:tcW w:w="280" w:type="dxa"/>
            <w:vAlign w:val="bottom"/>
          </w:tcPr>
          <w:p>
            <w:pPr>
              <w:spacing w:after="0"/>
              <w:rPr>
                <w:sz w:val="24"/>
                <w:szCs w:val="24"/>
                <w:color w:val="auto"/>
              </w:rPr>
            </w:pPr>
          </w:p>
        </w:tc>
        <w:tc>
          <w:tcPr>
            <w:tcW w:w="21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8"/>
              </w:rPr>
              <w:t>December 31, 2022</w:t>
            </w:r>
          </w:p>
        </w:tc>
      </w:tr>
      <w:tr>
        <w:trPr>
          <w:trHeight w:val="47"/>
        </w:trPr>
        <w:tc>
          <w:tcPr>
            <w:tcW w:w="61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43"/>
        </w:trPr>
        <w:tc>
          <w:tcPr>
            <w:tcW w:w="6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February 2022 First Lien Loan</w:t>
            </w: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270,875</w:t>
            </w:r>
          </w:p>
        </w:tc>
        <w:tc>
          <w:tcPr>
            <w:tcW w:w="3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272,938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27"/>
        </w:trPr>
        <w:tc>
          <w:tcPr>
            <w:tcW w:w="6160" w:type="dxa"/>
            <w:vAlign w:val="bottom"/>
          </w:tcPr>
          <w:p>
            <w:pPr>
              <w:ind w:left="20"/>
              <w:spacing w:after="0"/>
              <w:rPr>
                <w:sz w:val="20"/>
                <w:szCs w:val="20"/>
                <w:color w:val="auto"/>
              </w:rPr>
            </w:pPr>
            <w:r>
              <w:rPr>
                <w:rFonts w:ascii="Arial" w:cs="Arial" w:eastAsia="Arial" w:hAnsi="Arial"/>
                <w:sz w:val="18"/>
                <w:szCs w:val="18"/>
                <w:color w:val="auto"/>
              </w:rPr>
              <w:t>Shoko Chukin Bank Loan</w:t>
            </w:r>
          </w:p>
        </w:tc>
        <w:tc>
          <w:tcPr>
            <w:tcW w:w="2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3,068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30"/>
        </w:trPr>
        <w:tc>
          <w:tcPr>
            <w:tcW w:w="6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61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Total long-term debt, gross</w:t>
            </w:r>
          </w:p>
        </w:tc>
        <w:tc>
          <w:tcPr>
            <w:tcW w:w="240" w:type="dxa"/>
            <w:vAlign w:val="bottom"/>
            <w:shd w:val="clear" w:color="auto" w:fill="CFF0FC"/>
          </w:tcPr>
          <w:p>
            <w:pPr>
              <w:spacing w:after="0"/>
              <w:rPr>
                <w:sz w:val="20"/>
                <w:szCs w:val="20"/>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273,943</w:t>
            </w:r>
          </w:p>
        </w:tc>
        <w:tc>
          <w:tcPr>
            <w:tcW w:w="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272,938</w:t>
            </w:r>
          </w:p>
        </w:tc>
        <w:tc>
          <w:tcPr>
            <w:tcW w:w="100" w:type="dxa"/>
            <w:vAlign w:val="bottom"/>
            <w:shd w:val="clear" w:color="auto" w:fill="CFF0FC"/>
          </w:tcPr>
          <w:p>
            <w:pPr>
              <w:spacing w:after="0"/>
              <w:rPr>
                <w:sz w:val="20"/>
                <w:szCs w:val="20"/>
                <w:color w:val="auto"/>
              </w:rPr>
            </w:pPr>
          </w:p>
        </w:tc>
      </w:tr>
      <w:tr>
        <w:trPr>
          <w:trHeight w:val="237"/>
        </w:trPr>
        <w:tc>
          <w:tcPr>
            <w:tcW w:w="6160" w:type="dxa"/>
            <w:vAlign w:val="bottom"/>
          </w:tcPr>
          <w:p>
            <w:pPr>
              <w:ind w:left="20"/>
              <w:spacing w:after="0"/>
              <w:rPr>
                <w:sz w:val="20"/>
                <w:szCs w:val="20"/>
                <w:color w:val="auto"/>
              </w:rPr>
            </w:pPr>
            <w:r>
              <w:rPr>
                <w:rFonts w:ascii="Arial" w:cs="Arial" w:eastAsia="Arial" w:hAnsi="Arial"/>
                <w:sz w:val="18"/>
                <w:szCs w:val="18"/>
                <w:color w:val="auto"/>
              </w:rPr>
              <w:t>Less: unamortzed debt issuance costs</w:t>
            </w:r>
          </w:p>
        </w:tc>
        <w:tc>
          <w:tcPr>
            <w:tcW w:w="240" w:type="dxa"/>
            <w:vAlign w:val="bottom"/>
          </w:tcPr>
          <w:p>
            <w:pPr>
              <w:spacing w:after="0"/>
              <w:rPr>
                <w:sz w:val="20"/>
                <w:szCs w:val="20"/>
                <w:color w:val="auto"/>
              </w:rPr>
            </w:pPr>
          </w:p>
        </w:tc>
        <w:tc>
          <w:tcPr>
            <w:tcW w:w="2400" w:type="dxa"/>
            <w:vAlign w:val="bottom"/>
            <w:gridSpan w:val="2"/>
          </w:tcPr>
          <w:p>
            <w:pPr>
              <w:jc w:val="right"/>
              <w:ind w:right="280"/>
              <w:spacing w:after="0"/>
              <w:rPr>
                <w:sz w:val="20"/>
                <w:szCs w:val="20"/>
                <w:color w:val="auto"/>
              </w:rPr>
            </w:pPr>
            <w:r>
              <w:rPr>
                <w:rFonts w:ascii="Arial" w:cs="Arial" w:eastAsia="Arial" w:hAnsi="Arial"/>
                <w:sz w:val="18"/>
                <w:szCs w:val="18"/>
                <w:color w:val="auto"/>
              </w:rPr>
              <w:t>(4,760 )</w:t>
            </w:r>
          </w:p>
        </w:tc>
        <w:tc>
          <w:tcPr>
            <w:tcW w:w="280" w:type="dxa"/>
            <w:vAlign w:val="bottom"/>
          </w:tcPr>
          <w:p>
            <w:pPr>
              <w:spacing w:after="0"/>
              <w:rPr>
                <w:sz w:val="20"/>
                <w:szCs w:val="20"/>
                <w:color w:val="auto"/>
              </w:rPr>
            </w:pPr>
          </w:p>
        </w:tc>
        <w:tc>
          <w:tcPr>
            <w:tcW w:w="2160" w:type="dxa"/>
            <w:vAlign w:val="bottom"/>
            <w:gridSpan w:val="2"/>
          </w:tcPr>
          <w:p>
            <w:pPr>
              <w:jc w:val="right"/>
              <w:ind w:right="40"/>
              <w:spacing w:after="0"/>
              <w:rPr>
                <w:sz w:val="20"/>
                <w:szCs w:val="20"/>
                <w:color w:val="auto"/>
              </w:rPr>
            </w:pPr>
            <w:r>
              <w:rPr>
                <w:rFonts w:ascii="Arial" w:cs="Arial" w:eastAsia="Arial" w:hAnsi="Arial"/>
                <w:sz w:val="18"/>
                <w:szCs w:val="18"/>
                <w:color w:val="auto"/>
              </w:rPr>
              <w:t>(5,290 )</w:t>
            </w:r>
          </w:p>
        </w:tc>
      </w:tr>
      <w:tr>
        <w:trPr>
          <w:trHeight w:val="243"/>
        </w:trPr>
        <w:tc>
          <w:tcPr>
            <w:tcW w:w="61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Total long-term debt, net of issuance costs</w:t>
            </w:r>
          </w:p>
        </w:tc>
        <w:tc>
          <w:tcPr>
            <w:tcW w:w="240" w:type="dxa"/>
            <w:vAlign w:val="bottom"/>
            <w:tcBorders>
              <w:top w:val="single" w:sz="8" w:color="auto"/>
            </w:tcBorders>
            <w:shd w:val="clear" w:color="auto" w:fill="CFF0FC"/>
          </w:tcPr>
          <w:p>
            <w:pPr>
              <w:spacing w:after="0"/>
              <w:rPr>
                <w:sz w:val="21"/>
                <w:szCs w:val="21"/>
                <w:color w:val="auto"/>
              </w:rPr>
            </w:pPr>
          </w:p>
        </w:tc>
        <w:tc>
          <w:tcPr>
            <w:tcW w:w="2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269,183</w:t>
            </w:r>
          </w:p>
        </w:tc>
        <w:tc>
          <w:tcPr>
            <w:tcW w:w="34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2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267,648</w:t>
            </w:r>
          </w:p>
        </w:tc>
        <w:tc>
          <w:tcPr>
            <w:tcW w:w="100" w:type="dxa"/>
            <w:vAlign w:val="bottom"/>
            <w:shd w:val="clear" w:color="auto" w:fill="CFF0FC"/>
          </w:tcPr>
          <w:p>
            <w:pPr>
              <w:spacing w:after="0"/>
              <w:rPr>
                <w:sz w:val="21"/>
                <w:szCs w:val="21"/>
                <w:color w:val="auto"/>
              </w:rPr>
            </w:pPr>
          </w:p>
        </w:tc>
      </w:tr>
      <w:tr>
        <w:trPr>
          <w:trHeight w:val="236"/>
        </w:trPr>
        <w:tc>
          <w:tcPr>
            <w:tcW w:w="6160" w:type="dxa"/>
            <w:vAlign w:val="bottom"/>
          </w:tcPr>
          <w:p>
            <w:pPr>
              <w:ind w:left="20"/>
              <w:spacing w:after="0"/>
              <w:rPr>
                <w:sz w:val="20"/>
                <w:szCs w:val="20"/>
                <w:color w:val="auto"/>
              </w:rPr>
            </w:pPr>
            <w:r>
              <w:rPr>
                <w:rFonts w:ascii="Arial" w:cs="Arial" w:eastAsia="Arial" w:hAnsi="Arial"/>
                <w:sz w:val="18"/>
                <w:szCs w:val="18"/>
                <w:color w:val="auto"/>
              </w:rPr>
              <w:t>Less: current porton</w:t>
            </w:r>
          </w:p>
        </w:tc>
        <w:tc>
          <w:tcPr>
            <w:tcW w:w="240" w:type="dxa"/>
            <w:vAlign w:val="bottom"/>
          </w:tcPr>
          <w:p>
            <w:pPr>
              <w:spacing w:after="0"/>
              <w:rPr>
                <w:sz w:val="20"/>
                <w:szCs w:val="20"/>
                <w:color w:val="auto"/>
              </w:rPr>
            </w:pPr>
          </w:p>
        </w:tc>
        <w:tc>
          <w:tcPr>
            <w:tcW w:w="2400" w:type="dxa"/>
            <w:vAlign w:val="bottom"/>
            <w:gridSpan w:val="2"/>
          </w:tcPr>
          <w:p>
            <w:pPr>
              <w:jc w:val="right"/>
              <w:ind w:right="280"/>
              <w:spacing w:after="0"/>
              <w:rPr>
                <w:sz w:val="20"/>
                <w:szCs w:val="20"/>
                <w:color w:val="auto"/>
              </w:rPr>
            </w:pPr>
            <w:r>
              <w:rPr>
                <w:rFonts w:ascii="Arial" w:cs="Arial" w:eastAsia="Arial" w:hAnsi="Arial"/>
                <w:sz w:val="18"/>
                <w:szCs w:val="18"/>
                <w:color w:val="auto"/>
              </w:rPr>
              <w:t>(3,308 )</w:t>
            </w:r>
          </w:p>
        </w:tc>
        <w:tc>
          <w:tcPr>
            <w:tcW w:w="280" w:type="dxa"/>
            <w:vAlign w:val="bottom"/>
          </w:tcPr>
          <w:p>
            <w:pPr>
              <w:spacing w:after="0"/>
              <w:rPr>
                <w:sz w:val="20"/>
                <w:szCs w:val="20"/>
                <w:color w:val="auto"/>
              </w:rPr>
            </w:pPr>
          </w:p>
        </w:tc>
        <w:tc>
          <w:tcPr>
            <w:tcW w:w="2160" w:type="dxa"/>
            <w:vAlign w:val="bottom"/>
            <w:gridSpan w:val="2"/>
          </w:tcPr>
          <w:p>
            <w:pPr>
              <w:jc w:val="right"/>
              <w:ind w:right="40"/>
              <w:spacing w:after="0"/>
              <w:rPr>
                <w:sz w:val="20"/>
                <w:szCs w:val="20"/>
                <w:color w:val="auto"/>
              </w:rPr>
            </w:pPr>
            <w:r>
              <w:rPr>
                <w:rFonts w:ascii="Arial" w:cs="Arial" w:eastAsia="Arial" w:hAnsi="Arial"/>
                <w:sz w:val="18"/>
                <w:szCs w:val="18"/>
                <w:color w:val="auto"/>
              </w:rPr>
              <w:t>(2,750 )</w:t>
            </w:r>
          </w:p>
        </w:tc>
      </w:tr>
      <w:tr>
        <w:trPr>
          <w:trHeight w:val="283"/>
        </w:trPr>
        <w:tc>
          <w:tcPr>
            <w:tcW w:w="6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long-term debt, net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2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265,875</w:t>
            </w:r>
          </w:p>
        </w:tc>
        <w:tc>
          <w:tcPr>
            <w:tcW w:w="3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2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264,898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-25400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-8255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2017 Term Loans</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30, 2017, we entered into a $575.0 million frst lien debt facility, comprised of a $50.0 million revolving credit facility and a $525.0 million term loan (the “June 2017 First Lien Loan”), and a second lien credit facility, comprised of a $185.0 million second lien term loan (the “June 2017 Second Lien Loan”). The June 2017 First Lien Loan was amended to upsize the commited amount by $115.0 million on July 2, 2018. On October 28, 2019, we paid of the June 2017 Second Lien Loan balance. The revolving credit facility component of the frst lien debt facility was subsequently retred on May 22, 2020. On October 18, 2021, we made an early principal payment related to the June 2017 First Lien Loan of $148.2 million in connecton with, and using the proceeds from, the merger transacton with Horizon Acquisiton Corporaton ("Merger Transacton") and a private investment in public equity. On February 3, 2022, we repaid $190.7 million of the outstanding balance of the June 2017 First Lien Loan and refnanced the remaining balance with a new $275.0 million term loan.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2022 First Lien Loan</w:t>
      </w:r>
    </w:p>
    <w:p>
      <w:pPr>
        <w:spacing w:after="0" w:line="15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February 3, 2022, we entered into an amendment which refnanced the remaining balance of the June 2017 First Lien Loan with a new $275.0 million term loan (the "February 2022 First Lien Loan"), which has a maturity date of February 3, 2029 and added a new $100.0 million revolving credit facility (the “Revolving Facility”) with a maturity date of February 3, 2027. At September 30, 2023, we had no outstanding borrowings under our Revolving Facility.</w:t>
      </w:r>
    </w:p>
    <w:p>
      <w:pPr>
        <w:spacing w:after="0" w:line="1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terms of the February 2022 First Lien Loan specify a secured overnight fnancing rate (“SOFR”) based foatng interest rate and contain a springing fnancial covenant that requires compliance with a frst lien net leverage rato when revolver borrowings exceed certain levels. All obligatons under the February 2022 First Lien Loan are unconditonally guaranteed by Hoya Intermediate and substantally all of Hoya Intermediate’s existng and future direct and indirect wholly owned domestc subsidiaries. The February 2022 First Lien Loan requires quarterly amortzaton payments of $0.7 million. The Revolving Facility does not require periodic payments. All obligatons under the February 2022 First Lien Loan are secured, subject to permited liens and other exceptons, by frst-priority perfected security interests in substantally all of our assets. The February 2022 First Lien Loan carries an interest rate of SOFR (subject to a 0.5% foor) plus 3.25%. The efectve interest rate on the February 2022 First Lien Loan was 9.04% and 7.98% per annum at September 30, 2023 and December 31, 2022, respectvely.</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February 2022 First Lien Loan is held by third-party fnancial insttutons and is carried at the outstanding principal balance, less debt issuance costs and any unamortzed discount or premium. The fair value was estmated using quoted prices that are directly observable in the marketplace. Therefore, the fair value is estmated on a Level</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2 basis. At September 30, 2023 and December 31, 2022, the fair value of our February 2022 First Lien Loan approximated the carrying value.</w:t>
      </w:r>
    </w:p>
    <w:p>
      <w:pPr>
        <w:spacing w:after="0" w:line="1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subject to certain reportng and compliance-related covenants to remain in good standing under the February 2022 First Lien Loan. These covenants, among other things, limit our ability to incur additonal indebtedness and, in certain circumstances, restrict our ability to enter into transactons with afliates, create liens, merge or consolidate, and make certain payments. Non-compliance with these covenants and failure to remedy could result in the acceleraton of the loans or foreclosure on the collateral. As of September 30, 2023, we were in compliance with all of our debt covenants related to the February 2022 First Lien Loan.</w:t>
      </w:r>
    </w:p>
    <w:p>
      <w:pPr>
        <w:spacing w:after="0" w:line="84"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Due to the refnancing of the June 2017 First Lien Loan with the February 2022 First Lien Loan, we incurred a loss of $4.3 million for the nine months ended September 30, 2022, which is presented in Loss on extnguishment of debt in the Condensed Consolidated Statements of Operatons.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Shoko Chukin Bank Loan</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In connecton with our acquisiton of Wavedash, we assumed long-term debt of JPY 458.3 million (approximately $3.1 million), which has a maturity date of June 24, 2026, subject to a fxed interest rate of 1.27% per annum.</w:t>
      </w:r>
    </w:p>
    <w:p>
      <w:pPr>
        <w:spacing w:after="0" w:line="94"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inancial</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nstruments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We issued the following warrants during the year ended December 31, 2021 in connecton with the Merger Transacton: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Warrants</w:t>
      </w:r>
    </w:p>
    <w:p>
      <w:pPr>
        <w:spacing w:after="0" w:line="14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issued warrants to purchase 18,132,776 shares of our Class A common stock at an exercise price of $11.50 per share ("Public Warrants") to former warrant holders of Horizon Acquisiton Corporaton, of which warrants to purchase 5,166,666 shares were issued to Horizon Sponsor, LLC. The Public Warrants are traded on the Nasdaq Stock Market under the symbol “SEATW.” As of September 30, 2023, there were 6,766,853 outstanding Public Warrants.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Warrants</w:t>
      </w:r>
    </w:p>
    <w:p>
      <w:pPr>
        <w:spacing w:after="0" w:line="1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issued warrants to purchase 6,519,791 shares of our Class A common stock at an exercise price of $11.50 per share ("Private Warrants") to Horizon Sponsor, LLC. The Private Warrants have similar terms to the Public Warrants, except that the Private Warrants are not redeemable by us. As of September 30, 2023, there were 6,519,791 outstanding Private Warrants.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Warrants</w:t>
      </w:r>
    </w:p>
    <w:p>
      <w:pPr>
        <w:spacing w:after="0" w:line="15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issued to Horizon Sponsor, LLC warrants to purchase 17,000,000 shares of our Class A common stock at an exercise price of $10.00 per share (“$10 Exercise Warrants”) and warrants to purchase 17,000,000 shares of our Class A common stock at an exercise of $15.00 per share (“$15 Exercise Warrants”; together with the $10 Exercise Warrants, “Exercise Warrants”). The Exercise Warrants have similar terms to the Public Warrants, except that the Exercise Warrants have diferent exercise prices, an inital term of 10 years, are not redeemable by us, and are fully transferable. As of September 30, 2023, there were 17,000,000 $10 Exercise Warrants outstanding and 17,000,000 $15 Exercise Warrants outstanding.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Mirror Warrants</w:t>
      </w:r>
    </w:p>
    <w:p>
      <w:pPr>
        <w:spacing w:after="0" w:line="14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Hoya Intermediate issued to us warrants to purchase 17,000,000 of its common units (“Intermediate Units”) at an exercise price of $10.00 per unit (“$10 Mirror Warrants”), warrants to purchase 17,000,000 Intermediate Units at an exercise of $15.00 per unit (“$15 Mirror Warrants”), and warrants to purchase 24,652,557 Intermediate Units at an exercise price of $11.50 per unit (“$11.50 Mirror Warrants”; together with the $10 Mirror Warrants and $15 Mirror Warrants, “Mirror Warrants”). The number and terms of the Mirror Warrants are identcal to the Public,</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20" w:name="page21"/>
    <w:bookmarkEnd w:id="20"/>
    <w:p>
      <w:pPr>
        <w:jc w:val="center"/>
        <w:ind w:right="40"/>
        <w:spacing w:after="0"/>
        <w:rPr>
          <w:sz w:val="20"/>
          <w:szCs w:val="20"/>
          <w:color w:val="auto"/>
        </w:rPr>
      </w:pPr>
      <w:r>
        <w:rPr>
          <w:rFonts w:ascii="Arial" w:cs="Arial" w:eastAsia="Arial" w:hAnsi="Arial"/>
          <w:sz w:val="18"/>
          <w:szCs w:val="18"/>
          <w:b w:val="1"/>
          <w:bCs w:val="1"/>
          <w:color w:val="auto"/>
        </w:rPr>
        <w:t>VIVID SEATS INC.</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right="40"/>
        <w:spacing w:after="0" w:line="258" w:lineRule="auto"/>
        <w:rPr>
          <w:sz w:val="20"/>
          <w:szCs w:val="20"/>
          <w:color w:val="auto"/>
        </w:rPr>
      </w:pPr>
      <w:r>
        <w:rPr>
          <w:rFonts w:ascii="Arial" w:cs="Arial" w:eastAsia="Arial" w:hAnsi="Arial"/>
          <w:sz w:val="18"/>
          <w:szCs w:val="18"/>
          <w:color w:val="auto"/>
        </w:rPr>
        <w:t>Private and Exercise Warrants, respectvely. Upon the valid exercise of a Public, Private or Exercise Warrant, Hoya Intermediate will issue to us an equivalent number of Intermediate Units. Similarly, if a Public, Private or Exercise Warrant is tendered, an equivalent number of Mirror Warrants will be tendered. As of September 30, 2023, there were 17,000,000 $10 Mirror Warrants outstanding, 17,000,000 $15 Mirror Warrants outstanding and 13,286,644 $11.50 Mirror Warrants outstanding.</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Hoya Intermediate Warrants</w:t>
      </w:r>
    </w:p>
    <w:p>
      <w:pPr>
        <w:spacing w:after="0" w:line="158" w:lineRule="exact"/>
        <w:rPr>
          <w:sz w:val="20"/>
          <w:szCs w:val="20"/>
          <w:color w:val="auto"/>
        </w:rPr>
      </w:pPr>
    </w:p>
    <w:p>
      <w:pPr>
        <w:jc w:val="both"/>
        <w:ind w:right="40"/>
        <w:spacing w:after="0" w:line="303" w:lineRule="auto"/>
        <w:rPr>
          <w:sz w:val="20"/>
          <w:szCs w:val="20"/>
          <w:color w:val="auto"/>
        </w:rPr>
      </w:pPr>
      <w:r>
        <w:rPr>
          <w:rFonts w:ascii="Arial" w:cs="Arial" w:eastAsia="Arial" w:hAnsi="Arial"/>
          <w:sz w:val="17"/>
          <w:szCs w:val="17"/>
          <w:color w:val="auto"/>
        </w:rPr>
        <w:t>Hoya Intermediate issued to Hoya Topco, LLC (“Hoya Topco”) warrants to purchase 3,000,000 Intermediate Units at an exercise price of $10.00 per unit and warrants to purchase 3,000,000 Intermediate Units at an exercise of $15.00 per unit (collectvely, the "Hoya Intermediate Warrants").</w:t>
      </w:r>
    </w:p>
    <w:p>
      <w:pPr>
        <w:spacing w:after="0" w:line="87" w:lineRule="exact"/>
        <w:rPr>
          <w:sz w:val="20"/>
          <w:szCs w:val="20"/>
          <w:color w:val="auto"/>
        </w:rPr>
      </w:pPr>
    </w:p>
    <w:p>
      <w:pPr>
        <w:jc w:val="both"/>
        <w:ind w:right="40"/>
        <w:spacing w:after="0" w:line="258" w:lineRule="auto"/>
        <w:rPr>
          <w:sz w:val="20"/>
          <w:szCs w:val="20"/>
          <w:color w:val="auto"/>
        </w:rPr>
      </w:pPr>
      <w:r>
        <w:rPr>
          <w:rFonts w:ascii="Arial" w:cs="Arial" w:eastAsia="Arial" w:hAnsi="Arial"/>
          <w:sz w:val="18"/>
          <w:szCs w:val="18"/>
          <w:color w:val="auto"/>
        </w:rPr>
        <w:t>A porton of the Hoya Intermediate Warrants, consistng of warrants to purchase 1,000,000 Intermediate Units at exercise prices of $10.00 and $15.00 per unit, respectvely (“Opton Contngent Warrants”), were issued in tandem with stock optons we issued to members of our management team (“Management Optons”). The Opton Contngent Warrants only become exercisable by Hoya Topco if a Management Opton is forfeited or expires unexercised. As of September 30, 2023, 0.1 million Management Optons were forfeited or expired.</w:t>
      </w:r>
    </w:p>
    <w:p>
      <w:pPr>
        <w:spacing w:after="0" w:line="109"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Because the Hoya Intermediate Warrants allow for cash redempton at the opton of the warrant holder, they are classifed as a liability in Other liabilites in the Condensed Consolidated Balance Sheets. Upon consummaton of the Merger Transacton, we recorded a warrant liability of $20.4 million, refectng the fair value of the Hoya Intermediate Warrants determined using the Black-Scholes model. Upon consummaton of the Merger Transacton, the fair value of the Hoya Intermediate Warrants included Opton Contngent Warrants of $1.6 million. The estmated fair value of the Opton Contngent Warrants is adjusted to refect the probability of forfeiture of the corresponding Management Optons based on historical forfeiture rates for Hoya Topco profts interests.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assumptons were used to calculate the fair value of the Hoya Intermediate Warrants and the Opton Contngent Warrants: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060" w:type="dxa"/>
            <w:vAlign w:val="bottom"/>
          </w:tcPr>
          <w:p>
            <w:pPr>
              <w:spacing w:after="0"/>
              <w:rPr>
                <w:sz w:val="20"/>
                <w:szCs w:val="20"/>
                <w:color w:val="auto"/>
              </w:rPr>
            </w:pPr>
          </w:p>
        </w:tc>
        <w:tc>
          <w:tcPr>
            <w:tcW w:w="2020" w:type="dxa"/>
            <w:vAlign w:val="bottom"/>
          </w:tcPr>
          <w:p>
            <w:pPr>
              <w:ind w:left="480"/>
              <w:spacing w:after="0"/>
              <w:rPr>
                <w:sz w:val="20"/>
                <w:szCs w:val="20"/>
                <w:color w:val="auto"/>
              </w:rPr>
            </w:pPr>
            <w:r>
              <w:rPr>
                <w:rFonts w:ascii="Arial" w:cs="Arial" w:eastAsia="Arial" w:hAnsi="Arial"/>
                <w:sz w:val="18"/>
                <w:szCs w:val="18"/>
                <w:b w:val="1"/>
                <w:bCs w:val="1"/>
                <w:color w:val="auto"/>
                <w:w w:val="90"/>
              </w:rPr>
              <w:t>September 30, 2023</w:t>
            </w: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0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December 31, 2022</w:t>
            </w:r>
          </w:p>
        </w:tc>
        <w:tc>
          <w:tcPr>
            <w:tcW w:w="0" w:type="dxa"/>
            <w:vAlign w:val="bottom"/>
          </w:tcPr>
          <w:p>
            <w:pPr>
              <w:spacing w:after="0"/>
              <w:rPr>
                <w:sz w:val="1"/>
                <w:szCs w:val="1"/>
                <w:color w:val="auto"/>
              </w:rPr>
            </w:pPr>
          </w:p>
        </w:tc>
      </w:tr>
      <w:tr>
        <w:trPr>
          <w:trHeight w:val="33"/>
        </w:trPr>
        <w:tc>
          <w:tcPr>
            <w:tcW w:w="6060" w:type="dxa"/>
            <w:vAlign w:val="bottom"/>
            <w:vMerge w:val="restart"/>
          </w:tcPr>
          <w:p>
            <w:pPr>
              <w:ind w:left="20"/>
              <w:spacing w:after="0"/>
              <w:rPr>
                <w:sz w:val="20"/>
                <w:szCs w:val="20"/>
                <w:color w:val="auto"/>
              </w:rPr>
            </w:pPr>
            <w:r>
              <w:rPr>
                <w:rFonts w:ascii="Arial" w:cs="Arial" w:eastAsia="Arial" w:hAnsi="Arial"/>
                <w:sz w:val="18"/>
                <w:szCs w:val="18"/>
                <w:color w:val="auto"/>
              </w:rPr>
              <w:t>Estmated volatlity</w:t>
            </w:r>
          </w:p>
        </w:tc>
        <w:tc>
          <w:tcPr>
            <w:tcW w:w="2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0" w:type="dxa"/>
            <w:vAlign w:val="bottom"/>
            <w:vMerge w:val="restart"/>
          </w:tcPr>
          <w:p>
            <w:pPr>
              <w:jc w:val="right"/>
              <w:ind w:right="70"/>
              <w:spacing w:after="0"/>
              <w:rPr>
                <w:sz w:val="20"/>
                <w:szCs w:val="20"/>
                <w:color w:val="auto"/>
              </w:rPr>
            </w:pPr>
            <w:r>
              <w:rPr>
                <w:rFonts w:ascii="Arial" w:cs="Arial" w:eastAsia="Arial" w:hAnsi="Arial"/>
                <w:sz w:val="18"/>
                <w:szCs w:val="18"/>
                <w:color w:val="auto"/>
                <w:w w:val="74"/>
              </w:rPr>
              <w:t>%</w:t>
            </w:r>
          </w:p>
        </w:tc>
        <w:tc>
          <w:tcPr>
            <w:tcW w:w="2360" w:type="dxa"/>
            <w:vAlign w:val="bottom"/>
            <w:tcBorders>
              <w:bottom w:val="single" w:sz="8" w:color="auto"/>
            </w:tcBorders>
          </w:tcPr>
          <w:p>
            <w:pPr>
              <w:spacing w:after="0"/>
              <w:rPr>
                <w:sz w:val="2"/>
                <w:szCs w:val="2"/>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20"/>
        </w:trPr>
        <w:tc>
          <w:tcPr>
            <w:tcW w:w="6060" w:type="dxa"/>
            <w:vAlign w:val="bottom"/>
            <w:vMerge w:val="continue"/>
          </w:tcPr>
          <w:p>
            <w:pPr>
              <w:spacing w:after="0"/>
              <w:rPr>
                <w:sz w:val="19"/>
                <w:szCs w:val="19"/>
                <w:color w:val="auto"/>
              </w:rPr>
            </w:pPr>
          </w:p>
        </w:tc>
        <w:tc>
          <w:tcPr>
            <w:tcW w:w="2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46.0</w:t>
            </w:r>
          </w:p>
        </w:tc>
        <w:tc>
          <w:tcPr>
            <w:tcW w:w="300" w:type="dxa"/>
            <w:vAlign w:val="bottom"/>
            <w:vMerge w:val="continue"/>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39.0</w:t>
            </w:r>
          </w:p>
        </w:tc>
        <w:tc>
          <w:tcPr>
            <w:tcW w:w="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Expected term (years)</w:t>
            </w:r>
          </w:p>
        </w:tc>
        <w:tc>
          <w:tcPr>
            <w:tcW w:w="400" w:type="dxa"/>
            <w:vAlign w:val="bottom"/>
          </w:tcPr>
          <w:p>
            <w:pPr>
              <w:jc w:val="right"/>
              <w:spacing w:after="0"/>
              <w:rPr>
                <w:sz w:val="20"/>
                <w:szCs w:val="20"/>
                <w:color w:val="auto"/>
              </w:rPr>
            </w:pPr>
            <w:r>
              <w:rPr>
                <w:rFonts w:ascii="Arial" w:cs="Arial" w:eastAsia="Arial" w:hAnsi="Arial"/>
                <w:sz w:val="18"/>
                <w:szCs w:val="18"/>
                <w:color w:val="auto"/>
              </w:rPr>
              <w:t>8.1</w:t>
            </w:r>
          </w:p>
        </w:tc>
        <w:tc>
          <w:tcPr>
            <w:tcW w:w="30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Risk-free rate</w:t>
            </w:r>
          </w:p>
        </w:tc>
        <w:tc>
          <w:tcPr>
            <w:tcW w:w="700" w:type="dxa"/>
            <w:vAlign w:val="bottom"/>
            <w:gridSpan w:val="2"/>
          </w:tcPr>
          <w:p>
            <w:pPr>
              <w:jc w:val="right"/>
              <w:ind w:right="70"/>
              <w:spacing w:after="0"/>
              <w:rPr>
                <w:sz w:val="20"/>
                <w:szCs w:val="20"/>
                <w:color w:val="auto"/>
              </w:rPr>
            </w:pPr>
            <w:r>
              <w:rPr>
                <w:rFonts w:ascii="Arial" w:cs="Arial" w:eastAsia="Arial" w:hAnsi="Arial"/>
                <w:sz w:val="18"/>
                <w:szCs w:val="18"/>
                <w:color w:val="auto"/>
              </w:rPr>
              <w:t>4.6 %</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43"/>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Expected dividend yield</w:t>
            </w:r>
          </w:p>
        </w:tc>
        <w:tc>
          <w:tcPr>
            <w:tcW w:w="700" w:type="dxa"/>
            <w:vAlign w:val="bottom"/>
            <w:gridSpan w:val="2"/>
          </w:tcPr>
          <w:p>
            <w:pPr>
              <w:jc w:val="right"/>
              <w:ind w:right="70"/>
              <w:spacing w:after="0"/>
              <w:rPr>
                <w:sz w:val="20"/>
                <w:szCs w:val="20"/>
                <w:color w:val="auto"/>
              </w:rPr>
            </w:pPr>
            <w:r>
              <w:rPr>
                <w:rFonts w:ascii="Arial" w:cs="Arial" w:eastAsia="Arial" w:hAnsi="Arial"/>
                <w:sz w:val="18"/>
                <w:szCs w:val="18"/>
                <w:color w:val="auto"/>
              </w:rPr>
              <w:t>0.0 %</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-594360</wp:posOffset>
            </wp:positionV>
            <wp:extent cx="7132320"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1543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31" w:lineRule="exact"/>
        <w:rPr>
          <w:sz w:val="20"/>
          <w:szCs w:val="20"/>
          <w:color w:val="auto"/>
        </w:rPr>
      </w:pPr>
    </w:p>
    <w:p>
      <w:pPr>
        <w:jc w:val="both"/>
        <w:ind w:right="40"/>
        <w:spacing w:after="0" w:line="284" w:lineRule="auto"/>
        <w:rPr>
          <w:sz w:val="20"/>
          <w:szCs w:val="20"/>
          <w:color w:val="auto"/>
        </w:rPr>
      </w:pPr>
      <w:r>
        <w:rPr>
          <w:rFonts w:ascii="Arial" w:cs="Arial" w:eastAsia="Arial" w:hAnsi="Arial"/>
          <w:sz w:val="17"/>
          <w:szCs w:val="17"/>
          <w:color w:val="auto"/>
        </w:rPr>
        <w:t>For the three and nine months ended September 30, 2023, the fair value of the Hoya Intermediate Warrants and the Opton Contngent Warrants decreased by $1.7 million and $1.0 million, respectvely, and for the three and nine months ended September 30, 2022 decreased by less than $0.1 million and $6.6 million, respectvely, which is presented in Other (income) expense on the Condensed Consolidated Statements of Operatons.</w:t>
      </w:r>
    </w:p>
    <w:p>
      <w:pPr>
        <w:spacing w:after="0" w:line="89" w:lineRule="exact"/>
        <w:rPr>
          <w:sz w:val="20"/>
          <w:szCs w:val="20"/>
          <w:color w:val="auto"/>
        </w:rPr>
      </w:pPr>
    </w:p>
    <w:p>
      <w:pPr>
        <w:jc w:val="both"/>
        <w:ind w:right="40"/>
        <w:spacing w:after="0" w:line="273" w:lineRule="auto"/>
        <w:rPr>
          <w:sz w:val="20"/>
          <w:szCs w:val="20"/>
          <w:color w:val="auto"/>
        </w:rPr>
      </w:pPr>
      <w:r>
        <w:rPr>
          <w:rFonts w:ascii="Arial" w:cs="Arial" w:eastAsia="Arial" w:hAnsi="Arial"/>
          <w:sz w:val="18"/>
          <w:szCs w:val="18"/>
          <w:color w:val="auto"/>
        </w:rPr>
        <w:t>Upon the valid exercise of a Hoya Intermediate Warrant for Intermediate Units, we will issue an equivalent amount of shares of our Class B common stock to Hoya Topco.</w:t>
      </w:r>
    </w:p>
    <w:p>
      <w:pPr>
        <w:spacing w:after="0" w:line="110" w:lineRule="exact"/>
        <w:rPr>
          <w:sz w:val="20"/>
          <w:szCs w:val="20"/>
          <w:color w:val="auto"/>
        </w:rPr>
      </w:pPr>
    </w:p>
    <w:p>
      <w:pPr>
        <w:jc w:val="both"/>
        <w:ind w:right="40"/>
        <w:spacing w:after="0" w:line="273" w:lineRule="auto"/>
        <w:rPr>
          <w:sz w:val="20"/>
          <w:szCs w:val="20"/>
          <w:color w:val="auto"/>
        </w:rPr>
      </w:pPr>
      <w:r>
        <w:rPr>
          <w:rFonts w:ascii="Arial" w:cs="Arial" w:eastAsia="Arial" w:hAnsi="Arial"/>
          <w:sz w:val="18"/>
          <w:szCs w:val="18"/>
          <w:color w:val="auto"/>
        </w:rPr>
        <w:t>Other fnancial instruments, including accounts receivable and accounts payable, are carried at cost, which approximates their fair value because of the short-term nature of these instruments.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44"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On May 25, 2022, our board of directors (“Board”) authorized a share repurchase program of our Class A common stock of up to $40.0 million ("Repurchase Program"). The Repurchase Program was announced on May 26, 2022 and its authorizaton was fully utlized during 2022 and the three months ended March 31, 2023. Cumulatvely under the Repurchase Program, we repurchased 5.3 million shares of our Class A common stock for $40.0 million and paid $0.1 million in commissions. The share repurchases are accounted for as Treasury stock in the Condensed Consolidated Balance Sheets. We made no share repurchases during the three months ended September 30, 2023.</w:t>
      </w:r>
    </w:p>
    <w:p>
      <w:pPr>
        <w:spacing w:after="0" w:line="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05" w:right="29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Secondary Ofering</w:t>
      </w:r>
    </w:p>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completed a public ofering of 18,400,000 shares of our Class A common stock, comprised of 16,000,000 shares sold on May 22, 2023 and 2,400,000 shares sold on June 15, 2023 pursuant to the full exercise by the underwriters of their opton to purchase additonal shares (the "Secondary Ofering"). The shares were sold at a public ofering price of $8.00 per share and were purchased by the underwriters from Hoya Topco (the "Selling Stockholder") at a price of $7.68 per share. The Selling Stockholder exchanged 18,400,000 shares of our Class B common stock and 18,400,000 Intermediate Units for the shares of our Class A common stock that it sold in the Secondary Ofering. We did not receive any of the proceeds from the sale of the shares by the Selling Stockholder in the Secondary Ofering. In connecton with the Secondary Ofering, we incurred $1.5 million of expenses during the nine months ended September 30, 2023, which are included within General and administratve expenses in the Condensed Consolidated Statements of Operatons.</w:t>
      </w:r>
    </w:p>
    <w:p>
      <w:pPr>
        <w:spacing w:after="0" w:line="97" w:lineRule="exact"/>
        <w:rPr>
          <w:sz w:val="20"/>
          <w:szCs w:val="20"/>
          <w:color w:val="auto"/>
        </w:rPr>
      </w:pPr>
    </w:p>
    <w:p>
      <w:pPr>
        <w:ind w:left="280" w:hanging="272"/>
        <w:spacing w:after="0"/>
        <w:tabs>
          <w:tab w:leader="none" w:pos="2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ommitments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ontingencies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Litgaton</w:t>
      </w:r>
    </w:p>
    <w:p>
      <w:pPr>
        <w:spacing w:after="0" w:line="146"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From tme to tme, we are involved in various claims and legal actons arising in the ordinary course of business, none of which, in the opinion of management, could have a material efect on our business, fnancial positon or results of operatons other than those maters discussed herein.</w:t>
      </w:r>
    </w:p>
    <w:p>
      <w:pPr>
        <w:spacing w:after="0" w:line="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 co-defendant in a class acton lawsuit in Canada alleging a failure to disclose service fees prior to checkout, which we have setled. On January 5, 2022, we issued coupons to certain members of the class. Other members were notfed in 2022 that they are eligible to submit a claim for a coupon, which they received in 2023. As of September 30, 2023 and December 31, 2022, a liability of $0.9 million was recorded in Accrued expenses and other current liabilites in the Condensed Consolidated Balance Sheets related to expected claim submissions and credit redemptons as of the measurement date.</w:t>
      </w:r>
    </w:p>
    <w:p>
      <w:pPr>
        <w:spacing w:after="0" w:line="12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received multple class acton lawsuits related to customer compensaton for cancellatons, primarily as a result of COVID-19 restrictons. A fnal order approving setlement of one of the lawsuits was entered by the court on November 1, 2021. As such, afer insurance, $4.5 million was funded to a claims setlement pool in 2021 and fully disbursed in 2022. A setlement was reached in another of the lawsuits in July 2022 and received fnal approval from the court on January 31, 2023. Afer insurance, we paid $3.3 million to cover legal and administratve fees and approved claims. Payments for approved claims were made in August 2023. We had no accrued liability as of September 30, 2023 and an accrued liability of $1.6 million as of December 31, 2022 within Accrued expenses and other current liabilites in the Condensed Consolidated Balance Sheets related to these maters.</w:t>
      </w:r>
    </w:p>
    <w:p>
      <w:pPr>
        <w:spacing w:after="0" w:line="8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We are a defendant in a lawsuit related to an alleged violaton of the Illinois Biometric Informaton Privacy Act. We deny these allegatons and intend to vigorously defend against this lawsuit. Based on the informaton currently available, we are unable to reasonably estmate a possible loss or range of possible losses. As a result, no litgaton reserve has been recorded in the Condensed Consolidated Balance Sheets related to this mater.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6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2018, the U.S. Supreme Court issued its decision in South Dakota v. Wayfair Inc., which overturned previous case law that had precluded states from imposing sales tax collecton requirements on retailers without a physical presence in the state. In response, most states have already adopted laws that atempt to impose tax collecton obligatons on out-of-state companies, and we have registered and are collectng tax, where required by statute. However, states or local governments may contnue to adopt laws requiring that we calculate, collect, and remit taxes on sales in their jurisdictons. A successful asserton by one or more jurisdictons could result in tax liabilites,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including taxes on past sales, as well as penaltes and interest. Based on our analysis of certain state regulatons, specifcally related to marketplace facilitators and tcket sales, we do not believe risk of loss is probable on historical revenue actvites where tax has not already been remited. We contnuously monitor state regulatons and will implement required collecton and remitance procedures if and when we are subject to such regulatons.</w:t>
      </w:r>
    </w:p>
    <w:p>
      <w:pPr>
        <w:spacing w:after="0" w:line="87" w:lineRule="exact"/>
        <w:rPr>
          <w:sz w:val="20"/>
          <w:szCs w:val="20"/>
          <w:color w:val="auto"/>
        </w:rPr>
      </w:pPr>
    </w:p>
    <w:p>
      <w:pPr>
        <w:ind w:left="280" w:hanging="272"/>
        <w:spacing w:after="0"/>
        <w:tabs>
          <w:tab w:leader="none" w:pos="2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elated</w:t>
      </w:r>
      <w:r>
        <w:rPr>
          <w:rFonts w:ascii="Arial" w:cs="Arial" w:eastAsia="Arial" w:hAnsi="Arial"/>
          <w:sz w:val="18"/>
          <w:szCs w:val="18"/>
          <w:b w:val="1"/>
          <w:bCs w:val="1"/>
          <w:color w:val="auto"/>
        </w:rPr>
        <w:t>-P</w:t>
      </w:r>
      <w:r>
        <w:rPr>
          <w:rFonts w:ascii="Arial" w:cs="Arial" w:eastAsia="Arial" w:hAnsi="Arial"/>
          <w:sz w:val="12"/>
          <w:szCs w:val="12"/>
          <w:b w:val="1"/>
          <w:bCs w:val="1"/>
          <w:color w:val="auto"/>
        </w:rPr>
        <w:t>arty</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ransactions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Vivid Cheers Inc.</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December 2020, Vivid Cheers Inc. (“Vivid Cheers”) was incorporated as a non-proft organizaton within the meaning of Secton 501(c)(3) of the Internal Revenue Code of 1986, as amended (the "IRC"). Vivid Cheers’ mission is to support causes and organizatons dedicated to healthcare, educaton, and support of workers in the live events industry during tmes of need. We have the right to elect the board of directors of Vivid Cheers, which currently comprises our executves. We do not have a controlling fnancial interest in Vivid Cheers and, accordingly, do not consolidate its statement of actvites with our fnancial results. We made no charitable contributons to Vivid Cheers during the three and nine months ended September 30, 2023. We made no charitable contributons to Vivid Cheers during the three months ended September 30, 2022, and $0.6 million during the nine months ended September 30, 2022. We had no accrued charitable contributons payable as of September 30, 2023 and December 31, 2022.</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Viral Naton Inc.</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Viral Naton Inc. ("Viral Naton") is a marketng agency that creates viral social media infuencer campaigns and provides advertsing, marketng, and technology services. Todd Boehly, a member of our Board, is the Co-Founder, Chairman and CEO of Eldridge Industries, LLC, which owns in excess of 25% of Viral Naton. We incurred an expense of $0.1 million for the three and nine months ended September 30, 2023 and $0.2 million and $0.8 million for the three and nine months ended September 30, 2022, respectvely, which is presented in Marketng and selling expenses on the Condensed Consolidated Statements of Operatons.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Rolling Stone</w:t>
      </w:r>
    </w:p>
    <w:p>
      <w:pPr>
        <w:spacing w:after="0" w:line="14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Rolling Stone, LLC ("Rolling Stone") is a high-profle magazine and media platorm that focuses on music, flm, television, and news coverages. Todd Boehly, a member of our Board, is the Co-Founder, Chairman and CEO of Eldridge Industries, LLC, which owns in excess of 20% of Rolling Stone. We incurred an expense of $0.2 million and $0.7 million as part of our multfaceted partnership with Rolling Stone for the three and nine months ended September 30, 2023, respectvely, which is presented in Marketng and selling expenses on the Condensed Consolidated Statements of Operatons. We incurred an expense of $0.5 million and $0.6 million for the three and nine months ended September 30, 2022, respectvely.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Khoros, LLC</w:t>
      </w:r>
    </w:p>
    <w:p>
      <w:pPr>
        <w:spacing w:after="0" w:line="158" w:lineRule="exact"/>
        <w:rPr>
          <w:sz w:val="20"/>
          <w:szCs w:val="20"/>
          <w:color w:val="auto"/>
        </w:rPr>
      </w:pPr>
    </w:p>
    <w:p>
      <w:pPr>
        <w:jc w:val="both"/>
        <w:ind w:right="20"/>
        <w:spacing w:after="0" w:line="300" w:lineRule="auto"/>
        <w:rPr>
          <w:sz w:val="20"/>
          <w:szCs w:val="20"/>
          <w:color w:val="auto"/>
        </w:rPr>
      </w:pPr>
      <w:r>
        <w:rPr>
          <w:rFonts w:ascii="Arial" w:cs="Arial" w:eastAsia="Arial" w:hAnsi="Arial"/>
          <w:sz w:val="16"/>
          <w:szCs w:val="16"/>
          <w:color w:val="auto"/>
        </w:rPr>
        <w:t>Khoros, LLC ("Khoros") is a social media engagement and management platorm. Martn Taylor, a member of our Board, is a Senior Managing Director at Vista Equity Partners, which is one of our investors and a majority owner of Khoros. We incurred an expense of less than $0.1 million and $0.1 million for the three and nine months ended September 30, 2023, respectvely, and less than $0.1 million and $0.1 million for the three and nine months ended September 30, 2022, respectvely, which is presented in General and administratve expenses on the Condensed Consolidated Statements of Operatons.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 Angeles Dodgers</w:t>
      </w:r>
    </w:p>
    <w:p>
      <w:pPr>
        <w:spacing w:after="0" w:line="158" w:lineRule="exact"/>
        <w:rPr>
          <w:sz w:val="20"/>
          <w:szCs w:val="20"/>
          <w:color w:val="auto"/>
        </w:rPr>
      </w:pPr>
    </w:p>
    <w:p>
      <w:pPr>
        <w:jc w:val="both"/>
        <w:ind w:right="20"/>
        <w:spacing w:after="0" w:line="273" w:lineRule="auto"/>
        <w:rPr>
          <w:sz w:val="20"/>
          <w:szCs w:val="20"/>
          <w:color w:val="auto"/>
        </w:rPr>
      </w:pPr>
      <w:r>
        <w:rPr>
          <w:rFonts w:ascii="Arial" w:cs="Arial" w:eastAsia="Arial" w:hAnsi="Arial"/>
          <w:sz w:val="18"/>
          <w:szCs w:val="18"/>
          <w:color w:val="auto"/>
        </w:rPr>
        <w:t>The Los Angeles Dodgers (the “Dodgers”) is a Major League Baseball team based in Los Angeles, California. Todd Boehly, a member of our Board, is a minority owner of the Dodgers. As part of our strategic partnership with the</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Dodgers, including our designaton as the Ofcial Ticket Marketplace of the Dodgers and certain other advertsing, marketng, promotonal and sponsorship benefts, we incurred an expense of $1.1 million for the three and nine months ended September 30, 2023 and zero for the three and nine months ended September 30, 2022, respectvely, which is presented in Marketng and selling expenses on the Condensed Consolidated Statements of Operatons.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Receivable Agreement</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connecton with the Merger Transacton, we entered into a Tax Receivable Agreement with the existng Hoya Intermediate shareholders that provides for our payment to such shareholders of 85% of the amount of the tax savings, if any, that we realize (or, under certain circumstances, are deemed to realize) as a result of, or atributable to, (i) increases in the tax basis of assets owned directly or indirectly by Hoya Intermediate or its subsidiaries from, among other things, any redemptons or exchanges of Intermediate Units, (ii) existng tax basis (including depreciaton and amortzaton deductons arising from such tax basis) in long-lived assets owned directly or indirectly by Hoya Intermediate and its subsidiaries, and (iii) certain other tax benefts (including deductons in respect of imputed interest) related to us making payments under the Tax Receivable Agreement.</w:t>
      </w:r>
    </w:p>
    <w:p>
      <w:pPr>
        <w:spacing w:after="0" w:line="7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In conjuncton with the Secondary Ofering in the second quarter of 2023, Hoya Topco exchanged Intermediate Units, and as a result, we recorded a liability of $99.0 million and a deferred tax asset of $52.8 million related to the Secondary Ofering as well as the projected payments under the Tax Receivable Agreement, with a corresponding reducton to additonal paid-in capital of $46.1 million. Tax Receivable Agreement-related liabilites are classifed as current or long-term based on the expected date of payment. As of September 30, 2023, there were no amounts due within 12 months and, therefore, the entre liability is included in Tax Receivable Agreement liability within long-term liabilites in the Condensed Consolidated Balance Sheets.</w:t>
      </w:r>
    </w:p>
    <w:p>
      <w:pPr>
        <w:spacing w:after="0" w:line="96" w:lineRule="exact"/>
        <w:rPr>
          <w:sz w:val="20"/>
          <w:szCs w:val="20"/>
          <w:color w:val="auto"/>
        </w:rPr>
      </w:pPr>
    </w:p>
    <w:p>
      <w:pPr>
        <w:ind w:left="280" w:hanging="272"/>
        <w:spacing w:after="0"/>
        <w:tabs>
          <w:tab w:leader="none" w:pos="2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ncome</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axes</w:t>
      </w:r>
    </w:p>
    <w:p>
      <w:pPr>
        <w:spacing w:after="0" w:line="146"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For the three and nine months ended September 30, 2023, we recorded a $2.6 million income tax expense and a $21.6 million income tax beneft in contnuing operatons, respectvely. Our efectve income tax rate difers from the 21% U.S. federal statutory rate largely due to the impact of noncontrolling interests and the release of our valuaton allowance on our U.S. net operatng losses, interest limitatons, and tax credit carryforwards.</w:t>
      </w:r>
    </w:p>
    <w:p>
      <w:pPr>
        <w:spacing w:after="0" w:line="10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For the three and nine months ended September 30, 2022, we recorded a $0.1 million and $0.2 million income tax expense in contnuing operatons, respectvely. The September 30, 2022 income tax provision was primarily a result of state taxes.</w:t>
      </w:r>
    </w:p>
    <w:p>
      <w:pPr>
        <w:spacing w:after="0" w:line="11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September 30, 2023, our deferred tax assets were primarily the result of our investment in partnership, net operatng losses, interest limitatons, and tax credit carryforwards. Prior to the second quarter of 2023, a full valuaton allowance was maintained against our U.S. deferred tax assets on the basis of management’s reassessment of the amount of the deferred tax assets that are more likely than not to be realized. As of each reportng date, management considers new evidence, both positve and negatve, that could afect its view of the future realizaton of deferred tax assets. As of June 30, 2023, in part because in the current year we achieved three years of cumulatve pretax income in the U.S. federal tax jurisdicton, management determined that there is sufcient positve evidence to conclude that it is more likely than not that additonal deferred tax assets of $31.3 million associated with our investment in partnership, U.S. net operatng losses, interest limitatons, and tax credit carryforwards are realizable. We therefore reduced the valuaton allowance accordingly in the second quarter of 2023. We maintain a partal valuaton allowance on our investments in partnership related to the porton of the basis diference that will only reverse upon the sale of our interests, which would result in a capital loss that we do not expect to be able to utlize. Certain tax atributes remain subject to an annual limitaton under Secton 382 of the IRC as a result of the historical acquisitons.</w:t>
      </w:r>
    </w:p>
    <w:p>
      <w:pPr>
        <w:spacing w:after="0" w:line="12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During the second quarter of 2023, we received a refund associated with our 2021 tax fling in the amount of $7.8 million, including interest, for which a long-term liability was established.</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Receivable Agreement</w:t>
      </w:r>
    </w:p>
    <w:p>
      <w:pPr>
        <w:spacing w:after="0" w:line="14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connecton with the Merger Transacton, we entered into a Tax Receivable Agreement with the existng Hoya Intermediate shareholders that will provide for payment to Hoya Intermediate shareholders of 85% of the amount of the tax savings, if any, that we realize (or, under certain circumstances, are deemed to realize) as a result of, or atributable to, (i) increases in the tax basis of assets owned directly or indirectly by Hoya Intermediate or its subsidiaries from, among other things, any redemptons or exchanges of Intermediate Units (ii) existng tax basis (including depreciaton and amortzaton deductons arising from such tax basis) in long-lived assets owned directly or indirectly by Hoya Intermediate and its subsidiaries, and (iii) certain other tax benefts (including deductons in respect of imputed interest) related to VSI making payments under the Tax Receivable Agreement.</w:t>
      </w:r>
    </w:p>
    <w:p>
      <w:pPr>
        <w:spacing w:after="0" w:line="10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In conjuncton with the Secondary Ofering in the second quarter of 2023, Hoya Topco exchanged Intermediate Units, and as a result, we now have an obligaton to make payments pursuant to the Tax Receivable Agreement. The increase in deferred tax assets, the Tax Receivable Agreement liability, and additonal reducton in paid-in capital resultng from the Secondary Ofering was $52.8 million, $99.0 million, and $46.1 million, respectvely. Payments pursuant to the Tax Receivable Agreement relatng to the Secondary Ofering are expected to begin during the year ending December 31, 2024.</w:t>
      </w:r>
    </w:p>
    <w:p>
      <w:pPr>
        <w:spacing w:after="0" w:line="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Amounts payable under the Tax Receivable Agreement are contngent upon the generaton of future taxable income over the term of the Tax Receivable Agreement and future changes in tax laws. If we do not generate sufcient taxable income in the aggregate over the term of the Tax Receivable Agreement to utlize the tax benefts, then we would not be required to make the related payments. As of September 30, 2023, we estmate that the tax savings associated with all tax atributes described above would aggregate to approximately $116.4 million. Under this scenario we would be required to pay approximately 85% of such amount, or $99.0 million, primarily over the next 15 years. As of September 30, 2023, there were no amounts due within 12 months.</w:t>
      </w:r>
    </w:p>
    <w:p>
      <w:pPr>
        <w:spacing w:after="0" w:line="109" w:lineRule="exact"/>
        <w:rPr>
          <w:sz w:val="20"/>
          <w:szCs w:val="20"/>
          <w:color w:val="auto"/>
        </w:rPr>
      </w:pPr>
    </w:p>
    <w:p>
      <w:pPr>
        <w:ind w:left="280" w:hanging="272"/>
        <w:spacing w:after="0"/>
        <w:tabs>
          <w:tab w:leader="none" w:pos="2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quity</w:t>
      </w:r>
      <w:r>
        <w:rPr>
          <w:rFonts w:ascii="Arial" w:cs="Arial" w:eastAsia="Arial" w:hAnsi="Arial"/>
          <w:sz w:val="18"/>
          <w:szCs w:val="18"/>
          <w:b w:val="1"/>
          <w:bCs w:val="1"/>
          <w:color w:val="auto"/>
        </w:rPr>
        <w:t>-B</w:t>
      </w:r>
      <w:r>
        <w:rPr>
          <w:rFonts w:ascii="Arial" w:cs="Arial" w:eastAsia="Arial" w:hAnsi="Arial"/>
          <w:sz w:val="12"/>
          <w:szCs w:val="12"/>
          <w:b w:val="1"/>
          <w:bCs w:val="1"/>
          <w:color w:val="auto"/>
        </w:rPr>
        <w:t>ased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ompensation</w:t>
      </w:r>
    </w:p>
    <w:p>
      <w:pPr>
        <w:spacing w:after="0" w:line="16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2021 Incentve Award Plan ("2021 Plan") was approved and adopted in order to facilitate the grant of equity incentve awards to our employees, directors and consultants. The 2021 Plan became efectve on October 18, 2021 upon closing of the Merger Transacton.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("RSUs")</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March 2023, we granted 2.5 million RSUs to certain employees at a weighted average grant date fair value of $7.17 per share. In May 2023, we granted less than 0.1 million RSUs to certain employees at a weighted average grant date fair value of $7.67 per share. In August 2023, we granted 0.1 million RSUs to certain employees at a weighted average grant date fair value of $7.45 per share. RSUs granted to employees vest over three years, with one-third vestng on the one-year anniversary of the grant date and the remaining porton vestng on a quarterly basis thereafer, subject to the employee’s contnued employment through the applicable vestng date.</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June 2023, we granted 0.1 million RSUs to our directors at a weighted average grant date fair value of $7.68 per share. RSUs granted to directors fully vest on the earlier of (i) one day prior to the date of our frst annual meetng of stockholders following the grant date and (ii) the one-year anniversary of the grant date, subject to the director's contnued service on our Board.</w:t>
      </w:r>
    </w:p>
    <w:p>
      <w:pPr>
        <w:spacing w:after="0" w:line="11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In June 2023, we granted less than 0.1 million RSUs to certain consultants at a weighted average grant date fair value of $7.98 per share. RSUs granted to consultants vest in equal annual installments over three years, subject to the consultant's contnued service.</w:t>
      </w:r>
    </w:p>
    <w:p>
      <w:pPr>
        <w:spacing w:after="0" w:line="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account for forfeitures of outstanding, but unvested grants, in the period they occur. During the three and nine months ended September 30, 2023, less than 0.1 million and 0.2 million RSUs were forfeited, respectvely. During the three and nine months ended September 30, 2022, 0.2 million and 0.3 million RSUs were forfeited, respectvely.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25" w:name="page26"/>
    <w:bookmarkEnd w:id="25"/>
    <w:p>
      <w:pPr>
        <w:jc w:val="center"/>
        <w:ind w:right="40"/>
        <w:spacing w:after="0"/>
        <w:rPr>
          <w:sz w:val="20"/>
          <w:szCs w:val="20"/>
          <w:color w:val="auto"/>
        </w:rPr>
      </w:pPr>
      <w:r>
        <w:rPr>
          <w:rFonts w:ascii="Arial" w:cs="Arial" w:eastAsia="Arial" w:hAnsi="Arial"/>
          <w:sz w:val="18"/>
          <w:szCs w:val="18"/>
          <w:b w:val="1"/>
          <w:bCs w:val="1"/>
          <w:color w:val="auto"/>
        </w:rPr>
        <w:t>VIVID SEATS INC.</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During the three and nine months ended September 30, 2023, 0.3 million and 1.0 million RSUs vested, respectvely. During the three and nine months ended September 30, 2022, 0.1 million and 0.2 million RSUs vested, respectvely. At September 30, 2023 and December 31, 2022, there were 4.1 million and 2.6 million RSUs outstanding, respectvely.</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optons</w:t>
      </w:r>
    </w:p>
    <w:p>
      <w:pPr>
        <w:spacing w:after="0" w:line="158" w:lineRule="exact"/>
        <w:rPr>
          <w:sz w:val="20"/>
          <w:szCs w:val="20"/>
          <w:color w:val="auto"/>
        </w:rPr>
      </w:pPr>
    </w:p>
    <w:p>
      <w:pPr>
        <w:jc w:val="both"/>
        <w:ind w:right="40"/>
        <w:spacing w:after="0" w:line="274" w:lineRule="auto"/>
        <w:rPr>
          <w:sz w:val="20"/>
          <w:szCs w:val="20"/>
          <w:color w:val="auto"/>
        </w:rPr>
      </w:pPr>
      <w:r>
        <w:rPr>
          <w:rFonts w:ascii="Arial" w:cs="Arial" w:eastAsia="Arial" w:hAnsi="Arial"/>
          <w:sz w:val="17"/>
          <w:szCs w:val="17"/>
          <w:color w:val="auto"/>
        </w:rPr>
        <w:t>In March 2023, we granted 3.6 million stock optons to certain employees at an exercise price of $7.17. The grant date fair value of the stock optons is $3.30 per opton. Stock optons provide for the purchase of shares of our Class A common stock in the future at an exercise price set on the grant date. These stock optons vest over three years, with one-third vestng on the one-year anniversary of the grant date and the remaining porton vestng on a quarterly basis thereafer. The stock optons have a contractual term of ten years from the grant date, subject to the employee’s contnued employment through the applicable vestng date. The fair value of stock optons granted is estmated on the grant date using the Black-Scholes model.</w:t>
      </w:r>
    </w:p>
    <w:p>
      <w:pPr>
        <w:spacing w:after="0" w:line="113"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In June 2023, we granted 0.9 million stock optons divided into three tranches, 0.2 million, 0.3 million and 0.4 million, respectvely, to certain consultants at exercise prices of $7.98, $17.00 and $23.00, respectvely. The grant date fair value of the stock optons is $3.22, $1.87 and $1.44 per opton, respectvely. Stock optons provide for the purchase of shares of our Class A common stock in the future at an exercise price set on the grant date. These stock optons vest in equal annual installments over three years. The stock optons have a contractual term of seven years from the grant date, subject to the consultants' contnued service through the applicable vestng date. The fair value of stock optons granted is estmated on the grant date using the Hull White model.</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220" w:type="dxa"/>
            <w:vAlign w:val="bottom"/>
            <w:gridSpan w:val="2"/>
          </w:tcPr>
          <w:p>
            <w:pPr>
              <w:spacing w:after="0"/>
              <w:rPr>
                <w:sz w:val="20"/>
                <w:szCs w:val="20"/>
                <w:color w:val="auto"/>
              </w:rPr>
            </w:pPr>
            <w:r>
              <w:rPr>
                <w:rFonts w:ascii="Arial" w:cs="Arial" w:eastAsia="Arial" w:hAnsi="Arial"/>
                <w:sz w:val="18"/>
                <w:szCs w:val="18"/>
                <w:color w:val="auto"/>
              </w:rPr>
              <w:t>The following assumptons were used to calculate the fair value of our stock optons:</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6480" w:type="dxa"/>
            <w:vAlign w:val="bottom"/>
          </w:tcPr>
          <w:p>
            <w:pPr>
              <w:spacing w:after="0"/>
              <w:rPr>
                <w:sz w:val="24"/>
                <w:szCs w:val="24"/>
                <w:color w:val="auto"/>
              </w:rPr>
            </w:pPr>
          </w:p>
        </w:tc>
        <w:tc>
          <w:tcPr>
            <w:tcW w:w="1740" w:type="dxa"/>
            <w:vAlign w:val="bottom"/>
          </w:tcPr>
          <w:p>
            <w:pPr>
              <w:ind w:left="600"/>
              <w:spacing w:after="0"/>
              <w:rPr>
                <w:sz w:val="20"/>
                <w:szCs w:val="20"/>
                <w:color w:val="auto"/>
              </w:rPr>
            </w:pPr>
            <w:r>
              <w:rPr>
                <w:rFonts w:ascii="Arial" w:cs="Arial" w:eastAsia="Arial" w:hAnsi="Arial"/>
                <w:sz w:val="18"/>
                <w:szCs w:val="18"/>
                <w:b w:val="1"/>
                <w:bCs w:val="1"/>
                <w:color w:val="auto"/>
                <w:w w:val="95"/>
              </w:rPr>
              <w:t>June 14, 2023</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4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March 10, 2023</w:t>
            </w:r>
          </w:p>
        </w:tc>
        <w:tc>
          <w:tcPr>
            <w:tcW w:w="0" w:type="dxa"/>
            <w:vAlign w:val="bottom"/>
          </w:tcPr>
          <w:p>
            <w:pPr>
              <w:spacing w:after="0"/>
              <w:rPr>
                <w:sz w:val="1"/>
                <w:szCs w:val="1"/>
                <w:color w:val="auto"/>
              </w:rPr>
            </w:pPr>
          </w:p>
        </w:tc>
      </w:tr>
      <w:tr>
        <w:trPr>
          <w:trHeight w:val="33"/>
        </w:trPr>
        <w:tc>
          <w:tcPr>
            <w:tcW w:w="6480" w:type="dxa"/>
            <w:vAlign w:val="bottom"/>
            <w:vMerge w:val="restart"/>
          </w:tcPr>
          <w:p>
            <w:pPr>
              <w:ind w:left="20"/>
              <w:spacing w:after="0"/>
              <w:rPr>
                <w:sz w:val="20"/>
                <w:szCs w:val="20"/>
                <w:color w:val="auto"/>
              </w:rPr>
            </w:pPr>
            <w:r>
              <w:rPr>
                <w:rFonts w:ascii="Arial" w:cs="Arial" w:eastAsia="Arial" w:hAnsi="Arial"/>
                <w:sz w:val="18"/>
                <w:szCs w:val="18"/>
                <w:color w:val="auto"/>
              </w:rPr>
              <w:t>Volatlity</w:t>
            </w:r>
          </w:p>
        </w:tc>
        <w:tc>
          <w:tcPr>
            <w:tcW w:w="17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vMerge w:val="restart"/>
          </w:tcPr>
          <w:p>
            <w:pPr>
              <w:jc w:val="right"/>
              <w:ind w:right="10"/>
              <w:spacing w:after="0"/>
              <w:rPr>
                <w:sz w:val="20"/>
                <w:szCs w:val="20"/>
                <w:color w:val="auto"/>
              </w:rPr>
            </w:pPr>
            <w:r>
              <w:rPr>
                <w:rFonts w:ascii="Arial" w:cs="Arial" w:eastAsia="Arial" w:hAnsi="Arial"/>
                <w:sz w:val="18"/>
                <w:szCs w:val="18"/>
                <w:color w:val="auto"/>
                <w:w w:val="87"/>
              </w:rPr>
              <w:t>%</w:t>
            </w:r>
          </w:p>
        </w:tc>
        <w:tc>
          <w:tcPr>
            <w:tcW w:w="2200" w:type="dxa"/>
            <w:vAlign w:val="bottom"/>
            <w:tcBorders>
              <w:bottom w:val="single" w:sz="8" w:color="auto"/>
            </w:tcBorders>
          </w:tcPr>
          <w:p>
            <w:pPr>
              <w:spacing w:after="0"/>
              <w:rPr>
                <w:sz w:val="2"/>
                <w:szCs w:val="2"/>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20"/>
        </w:trPr>
        <w:tc>
          <w:tcPr>
            <w:tcW w:w="6480" w:type="dxa"/>
            <w:vAlign w:val="bottom"/>
            <w:vMerge w:val="continue"/>
          </w:tcPr>
          <w:p>
            <w:pPr>
              <w:spacing w:after="0"/>
              <w:rPr>
                <w:sz w:val="19"/>
                <w:szCs w:val="19"/>
                <w:color w:val="auto"/>
              </w:rPr>
            </w:pPr>
          </w:p>
        </w:tc>
        <w:tc>
          <w:tcPr>
            <w:tcW w:w="17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42.0</w:t>
            </w:r>
          </w:p>
        </w:tc>
        <w:tc>
          <w:tcPr>
            <w:tcW w:w="260" w:type="dxa"/>
            <w:vAlign w:val="bottom"/>
            <w:vMerge w:val="continue"/>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42.0</w:t>
            </w:r>
          </w:p>
        </w:tc>
        <w:tc>
          <w:tcPr>
            <w:tcW w:w="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Expected term (years)</w:t>
            </w:r>
          </w:p>
        </w:tc>
        <w:tc>
          <w:tcPr>
            <w:tcW w:w="460" w:type="dxa"/>
            <w:vAlign w:val="bottom"/>
          </w:tcPr>
          <w:p>
            <w:pPr>
              <w:jc w:val="right"/>
              <w:spacing w:after="0"/>
              <w:rPr>
                <w:sz w:val="20"/>
                <w:szCs w:val="20"/>
                <w:color w:val="auto"/>
              </w:rPr>
            </w:pPr>
            <w:r>
              <w:rPr>
                <w:rFonts w:ascii="Arial" w:cs="Arial" w:eastAsia="Arial" w:hAnsi="Arial"/>
                <w:sz w:val="18"/>
                <w:szCs w:val="18"/>
                <w:color w:val="auto"/>
              </w:rPr>
              <w:t>7.0</w:t>
            </w:r>
          </w:p>
        </w:tc>
        <w:tc>
          <w:tcPr>
            <w:tcW w:w="26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Risk-free rate</w:t>
            </w:r>
          </w:p>
        </w:tc>
        <w:tc>
          <w:tcPr>
            <w:tcW w:w="720" w:type="dxa"/>
            <w:vAlign w:val="bottom"/>
            <w:gridSpan w:val="2"/>
          </w:tcPr>
          <w:p>
            <w:pPr>
              <w:jc w:val="right"/>
              <w:ind w:right="10"/>
              <w:spacing w:after="0"/>
              <w:rPr>
                <w:sz w:val="20"/>
                <w:szCs w:val="20"/>
                <w:color w:val="auto"/>
              </w:rPr>
            </w:pPr>
            <w:r>
              <w:rPr>
                <w:rFonts w:ascii="Arial" w:cs="Arial" w:eastAsia="Arial" w:hAnsi="Arial"/>
                <w:sz w:val="18"/>
                <w:szCs w:val="18"/>
                <w:color w:val="auto"/>
              </w:rPr>
              <w:t>4.0 %</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43"/>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720" w:type="dxa"/>
            <w:vAlign w:val="bottom"/>
            <w:gridSpan w:val="2"/>
          </w:tcPr>
          <w:p>
            <w:pPr>
              <w:jc w:val="right"/>
              <w:ind w:right="10"/>
              <w:spacing w:after="0"/>
              <w:rPr>
                <w:sz w:val="20"/>
                <w:szCs w:val="20"/>
                <w:color w:val="auto"/>
              </w:rPr>
            </w:pPr>
            <w:r>
              <w:rPr>
                <w:rFonts w:ascii="Arial" w:cs="Arial" w:eastAsia="Arial" w:hAnsi="Arial"/>
                <w:sz w:val="18"/>
                <w:szCs w:val="18"/>
                <w:color w:val="auto"/>
              </w:rPr>
              <w:t>0.0 %</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-594360</wp:posOffset>
            </wp:positionV>
            <wp:extent cx="7132320" cy="1543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1543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31" w:lineRule="exact"/>
        <w:rPr>
          <w:sz w:val="20"/>
          <w:szCs w:val="20"/>
          <w:color w:val="auto"/>
        </w:rPr>
      </w:pPr>
    </w:p>
    <w:p>
      <w:pPr>
        <w:jc w:val="both"/>
        <w:ind w:right="40"/>
        <w:spacing w:after="0" w:line="258" w:lineRule="auto"/>
        <w:rPr>
          <w:sz w:val="20"/>
          <w:szCs w:val="20"/>
          <w:color w:val="auto"/>
        </w:rPr>
      </w:pPr>
      <w:r>
        <w:rPr>
          <w:rFonts w:ascii="Arial" w:cs="Arial" w:eastAsia="Arial" w:hAnsi="Arial"/>
          <w:sz w:val="18"/>
          <w:szCs w:val="18"/>
          <w:color w:val="auto"/>
        </w:rPr>
        <w:t>At September 30, 2023 and December 31, 2022, there were 10.6 million and 6.1 million stock optons outstanding, respectvely. No stock optons were exercised during the three and nine months ended September 30, 2023 and 2022. During the three and nine months ended September 30, 2023, zero and less than 0.1 million stock optons were forfeited or expired, respectvely. During the three and nine months ended September 30, 2022, 0.4 million stock optons were forfeited or expired.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Compensaton expense</w:t>
      </w:r>
    </w:p>
    <w:p>
      <w:pPr>
        <w:spacing w:after="0" w:line="144" w:lineRule="exact"/>
        <w:rPr>
          <w:sz w:val="20"/>
          <w:szCs w:val="20"/>
          <w:color w:val="auto"/>
        </w:rPr>
      </w:pPr>
    </w:p>
    <w:p>
      <w:pPr>
        <w:jc w:val="both"/>
        <w:ind w:right="40"/>
        <w:spacing w:after="0" w:line="258" w:lineRule="auto"/>
        <w:rPr>
          <w:sz w:val="20"/>
          <w:szCs w:val="20"/>
          <w:color w:val="auto"/>
        </w:rPr>
      </w:pPr>
      <w:r>
        <w:rPr>
          <w:rFonts w:ascii="Arial" w:cs="Arial" w:eastAsia="Arial" w:hAnsi="Arial"/>
          <w:sz w:val="18"/>
          <w:szCs w:val="18"/>
          <w:color w:val="auto"/>
        </w:rPr>
        <w:t>For the three and nine months ended September 30, 2023, equity-based compensaton expense related to RSUs was $3.9 million and $10.5 million, respectvely, compared to $2.3 million and $6.0 million for the three and nine months ended September 30, 2022, respectvely. Unrecognized compensaton expense relatng to unvested RSUs as of September 30, 2023 was $35.8 million, which is expected to be recognized over a weighted average period of approximately two years.</w:t>
      </w:r>
    </w:p>
    <w:p>
      <w:pPr>
        <w:spacing w:after="0" w:line="122" w:lineRule="exact"/>
        <w:rPr>
          <w:sz w:val="20"/>
          <w:szCs w:val="20"/>
          <w:color w:val="auto"/>
        </w:rPr>
      </w:pPr>
    </w:p>
    <w:p>
      <w:pPr>
        <w:jc w:val="both"/>
        <w:ind w:right="40"/>
        <w:spacing w:after="0" w:line="258" w:lineRule="auto"/>
        <w:rPr>
          <w:sz w:val="20"/>
          <w:szCs w:val="20"/>
          <w:color w:val="auto"/>
        </w:rPr>
      </w:pPr>
      <w:r>
        <w:rPr>
          <w:rFonts w:ascii="Arial" w:cs="Arial" w:eastAsia="Arial" w:hAnsi="Arial"/>
          <w:sz w:val="18"/>
          <w:szCs w:val="18"/>
          <w:color w:val="auto"/>
        </w:rPr>
        <w:t>For the three and nine months ended September 30, 2023, equity-based compensaton expense related to stock optons was $2.8 million and $7.3 million, respectvely, compared to $1.7 million and $4.6 million for the three and nine months ended September 30, 2022, respectvely. Unrecognized compensaton expense relatng to unvested stock optons as of September 30, 2023 was $25.4 million, which is expected to be recognized over a weighted average period of approximately two years.</w:t>
      </w:r>
    </w:p>
    <w:p>
      <w:pPr>
        <w:spacing w:after="0" w:line="122" w:lineRule="exact"/>
        <w:rPr>
          <w:sz w:val="20"/>
          <w:szCs w:val="20"/>
          <w:color w:val="auto"/>
        </w:rPr>
      </w:pPr>
    </w:p>
    <w:p>
      <w:pPr>
        <w:jc w:val="both"/>
        <w:ind w:right="60"/>
        <w:spacing w:after="0" w:line="273" w:lineRule="auto"/>
        <w:rPr>
          <w:sz w:val="20"/>
          <w:szCs w:val="20"/>
          <w:color w:val="auto"/>
        </w:rPr>
      </w:pPr>
      <w:r>
        <w:rPr>
          <w:rFonts w:ascii="Arial" w:cs="Arial" w:eastAsia="Arial" w:hAnsi="Arial"/>
          <w:sz w:val="18"/>
          <w:szCs w:val="18"/>
          <w:color w:val="auto"/>
        </w:rPr>
        <w:t>For the three and nine months ended September 30, 2023, equity-based compensaton expense related to proft interests was $1.0 million and $3.0 million, respectvely. For the three and nine months ended September 30, 2022,</w:t>
      </w:r>
    </w:p>
    <w:p>
      <w:pPr>
        <w:spacing w:after="0" w:line="6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05" w:right="299" w:bottom="1440" w:gutter="0" w:footer="0" w:header="0"/>
        </w:sectPr>
      </w:pPr>
    </w:p>
    <w:bookmarkStart w:id="26" w:name="page27"/>
    <w:bookmarkEnd w:id="26"/>
    <w:p>
      <w:pPr>
        <w:jc w:val="center"/>
        <w:ind w:right="40"/>
        <w:spacing w:after="0"/>
        <w:rPr>
          <w:sz w:val="20"/>
          <w:szCs w:val="20"/>
          <w:color w:val="auto"/>
        </w:rPr>
      </w:pPr>
      <w:r>
        <w:rPr>
          <w:rFonts w:ascii="Arial" w:cs="Arial" w:eastAsia="Arial" w:hAnsi="Arial"/>
          <w:sz w:val="18"/>
          <w:szCs w:val="18"/>
          <w:b w:val="1"/>
          <w:bCs w:val="1"/>
          <w:color w:val="auto"/>
        </w:rPr>
        <w:t>VIVID SEATS INC.</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equity-based compensaton expense related to proft interests was $1.1 million and $3.4 million, respectvely. Unrecognized compensaton expense relatng to these proft interests as of September 30, 2023 was $1.6 million, which is expected to be recognized over a weighted average period of approximately two years.</w:t>
      </w:r>
    </w:p>
    <w:p>
      <w:pPr>
        <w:spacing w:after="0" w:line="103" w:lineRule="exact"/>
        <w:rPr>
          <w:sz w:val="20"/>
          <w:szCs w:val="20"/>
          <w:color w:val="auto"/>
        </w:rPr>
      </w:pPr>
    </w:p>
    <w:p>
      <w:pPr>
        <w:ind w:left="280" w:hanging="272"/>
        <w:spacing w:after="0"/>
        <w:tabs>
          <w:tab w:leader="none" w:pos="2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arnings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hare</w:t>
      </w:r>
    </w:p>
    <w:p>
      <w:pPr>
        <w:spacing w:after="0" w:line="160" w:lineRule="exact"/>
        <w:rPr>
          <w:sz w:val="20"/>
          <w:szCs w:val="20"/>
          <w:color w:val="auto"/>
        </w:rPr>
      </w:pPr>
    </w:p>
    <w:p>
      <w:pPr>
        <w:jc w:val="both"/>
        <w:ind w:right="40"/>
        <w:spacing w:after="0" w:line="300" w:lineRule="auto"/>
        <w:rPr>
          <w:sz w:val="20"/>
          <w:szCs w:val="20"/>
          <w:color w:val="auto"/>
        </w:rPr>
      </w:pPr>
      <w:r>
        <w:rPr>
          <w:rFonts w:ascii="Arial" w:cs="Arial" w:eastAsia="Arial" w:hAnsi="Arial"/>
          <w:sz w:val="16"/>
          <w:szCs w:val="16"/>
          <w:color w:val="auto"/>
        </w:rPr>
        <w:t xml:space="preserve">We calculate basic and diluted net income per share of Class A common stock in accordance with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 Our Class B common stock does not have economic rights in our Company and, as a result, is not considered a partcipatng security for basic and diluted income per share. As such, basic and diluted income per share of our Class B common stock has not been presented. However, holders of our Class B common stock are allocated income in Hoya Intermediate (our operatng entty) according to their weighted average percentage ownership of Intermediate Units during each quarter.</w:t>
      </w:r>
    </w:p>
    <w:p>
      <w:pPr>
        <w:spacing w:after="0" w:line="93"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Net income atributable to redeemable noncontrolling interests is calculated by multplying Hoya Intermediate's net income for each quarterly period by Hoya Topco's weighted average percentage ownership of Intermediate Units during the period. Hoya Topco has the right to exchange its Intermediate Units for shares of our Class A common stock on a one-to-one basis or for cash proceeds of equal value at the tme of redempton. The opton to redeem Intermediate Units for cash proceeds must be approved by our Board, which as of September 30, 2023, is controlled by investors in Hoya Topco. The ability to put Intermediate Units is solely within the control of the holder of the redeemable noncontrolling interests. If Hoya Topco elects for a redempton to be setled in cash, the cash used to setle the redempton must be funded through a private or public ofering of our Class A common stock and is subject to our Board's approval.</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net income atributable to Hoya Topco's redeemable noncontrolling interests (in thousands):</w:t>
      </w:r>
    </w:p>
    <w:p>
      <w:pPr>
        <w:sectPr>
          <w:pgSz w:w="11900" w:h="16838" w:orient="portrait"/>
          <w:cols w:equalWidth="0" w:num="1">
            <w:col w:w="11280"/>
          </w:cols>
          <w:pgMar w:left="320" w:top="105"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income—Hoya Intermediate</w:t>
      </w:r>
    </w:p>
    <w:p>
      <w:pPr>
        <w:spacing w:after="0" w:line="50" w:lineRule="exact"/>
        <w:rPr>
          <w:sz w:val="20"/>
          <w:szCs w:val="20"/>
          <w:color w:val="auto"/>
        </w:rPr>
      </w:pPr>
    </w:p>
    <w:p>
      <w:pPr>
        <w:ind w:left="20" w:right="140"/>
        <w:spacing w:after="0" w:line="266" w:lineRule="auto"/>
        <w:rPr>
          <w:sz w:val="20"/>
          <w:szCs w:val="20"/>
          <w:color w:val="auto"/>
        </w:rPr>
      </w:pPr>
      <w:r>
        <w:rPr>
          <w:rFonts w:ascii="Arial" w:cs="Arial" w:eastAsia="Arial" w:hAnsi="Arial"/>
          <w:sz w:val="18"/>
          <w:szCs w:val="18"/>
          <w:color w:val="auto"/>
        </w:rPr>
        <w:t>Hoya Topco’s weighted average % allocaton of Hoya Intermediate's net income</w:t>
      </w:r>
    </w:p>
    <w:p>
      <w:pPr>
        <w:ind w:left="120"/>
        <w:spacing w:after="0" w:line="273" w:lineRule="auto"/>
        <w:rPr>
          <w:sz w:val="20"/>
          <w:szCs w:val="20"/>
          <w:color w:val="auto"/>
        </w:rPr>
      </w:pPr>
      <w:r>
        <w:rPr>
          <w:rFonts w:ascii="Arial" w:cs="Arial" w:eastAsia="Arial" w:hAnsi="Arial"/>
          <w:sz w:val="18"/>
          <w:szCs w:val="18"/>
          <w:color w:val="auto"/>
        </w:rPr>
        <w:t>Net income atributable to Hoya Topco's redeemable noncontrolling interests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160" w:type="dxa"/>
            <w:vAlign w:val="bottom"/>
          </w:tcPr>
          <w:p>
            <w:pPr>
              <w:spacing w:after="0"/>
              <w:rPr>
                <w:sz w:val="20"/>
                <w:szCs w:val="20"/>
                <w:color w:val="auto"/>
              </w:rPr>
            </w:pPr>
          </w:p>
        </w:tc>
        <w:tc>
          <w:tcPr>
            <w:tcW w:w="334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w w:val="88"/>
              </w:rPr>
              <w:t>Three Months Ended September 30,</w:t>
            </w:r>
          </w:p>
        </w:tc>
        <w:tc>
          <w:tcPr>
            <w:tcW w:w="160" w:type="dxa"/>
            <w:vAlign w:val="bottom"/>
          </w:tcPr>
          <w:p>
            <w:pPr>
              <w:spacing w:after="0"/>
              <w:rPr>
                <w:sz w:val="20"/>
                <w:szCs w:val="20"/>
                <w:color w:val="auto"/>
              </w:rPr>
            </w:pPr>
          </w:p>
        </w:tc>
        <w:tc>
          <w:tcPr>
            <w:tcW w:w="304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89"/>
              </w:rPr>
              <w:t>Nine Months Ended September 30,</w:t>
            </w:r>
          </w:p>
        </w:tc>
      </w:tr>
      <w:tr>
        <w:trPr>
          <w:trHeight w:val="33"/>
        </w:trPr>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24"/>
        </w:trPr>
        <w:tc>
          <w:tcPr>
            <w:tcW w:w="160" w:type="dxa"/>
            <w:vAlign w:val="bottom"/>
          </w:tcPr>
          <w:p>
            <w:pPr>
              <w:spacing w:after="0"/>
              <w:rPr>
                <w:sz w:val="19"/>
                <w:szCs w:val="19"/>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r>
      <w:tr>
        <w:trPr>
          <w:trHeight w:val="26"/>
        </w:trPr>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20"/>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17,672</w:t>
            </w:r>
          </w:p>
        </w:tc>
        <w:tc>
          <w:tcPr>
            <w:tcW w:w="2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18,761</w:t>
            </w:r>
          </w:p>
        </w:tc>
        <w:tc>
          <w:tcPr>
            <w:tcW w:w="3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61,674</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45,963</w:t>
            </w:r>
          </w:p>
        </w:tc>
        <w:tc>
          <w:tcPr>
            <w:tcW w:w="140" w:type="dxa"/>
            <w:vAlign w:val="bottom"/>
          </w:tcPr>
          <w:p>
            <w:pPr>
              <w:spacing w:after="0"/>
              <w:rPr>
                <w:sz w:val="19"/>
                <w:szCs w:val="19"/>
                <w:color w:val="auto"/>
              </w:rPr>
            </w:pPr>
          </w:p>
        </w:tc>
      </w:tr>
      <w:tr>
        <w:trPr>
          <w:trHeight w:val="346"/>
        </w:trPr>
        <w:tc>
          <w:tcPr>
            <w:tcW w:w="160" w:type="dxa"/>
            <w:vAlign w:val="bottom"/>
          </w:tcPr>
          <w:p>
            <w:pPr>
              <w:spacing w:after="0"/>
              <w:rPr>
                <w:sz w:val="24"/>
                <w:szCs w:val="24"/>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52.9 %</w:t>
            </w:r>
          </w:p>
        </w:tc>
        <w:tc>
          <w:tcPr>
            <w:tcW w:w="340" w:type="dxa"/>
            <w:vAlign w:val="bottom"/>
          </w:tcPr>
          <w:p>
            <w:pPr>
              <w:spacing w:after="0"/>
              <w:rPr>
                <w:sz w:val="24"/>
                <w:szCs w:val="24"/>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59.1 %</w:t>
            </w:r>
          </w:p>
        </w:tc>
        <w:tc>
          <w:tcPr>
            <w:tcW w:w="160" w:type="dxa"/>
            <w:vAlign w:val="bottom"/>
          </w:tcPr>
          <w:p>
            <w:pPr>
              <w:spacing w:after="0"/>
              <w:rPr>
                <w:sz w:val="24"/>
                <w:szCs w:val="24"/>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56.8 %</w:t>
            </w:r>
          </w:p>
        </w:tc>
        <w:tc>
          <w:tcPr>
            <w:tcW w:w="32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59.5 %</w:t>
            </w:r>
          </w:p>
        </w:tc>
      </w:tr>
      <w:tr>
        <w:trPr>
          <w:trHeight w:val="143"/>
        </w:trPr>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283"/>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9,341</w:t>
            </w:r>
          </w:p>
        </w:tc>
        <w:tc>
          <w:tcPr>
            <w:tcW w:w="26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11,084</w:t>
            </w:r>
          </w:p>
        </w:tc>
        <w:tc>
          <w:tcPr>
            <w:tcW w:w="3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35,045</w:t>
            </w:r>
          </w:p>
        </w:tc>
        <w:tc>
          <w:tcPr>
            <w:tcW w:w="24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27,368</w:t>
            </w:r>
          </w:p>
        </w:tc>
        <w:tc>
          <w:tcPr>
            <w:tcW w:w="140" w:type="dxa"/>
            <w:vAlign w:val="bottom"/>
          </w:tcPr>
          <w:p>
            <w:pPr>
              <w:spacing w:after="0"/>
              <w:rPr>
                <w:sz w:val="24"/>
                <w:szCs w:val="24"/>
                <w:color w:val="auto"/>
              </w:rPr>
            </w:pPr>
          </w:p>
        </w:tc>
      </w:tr>
      <w:tr>
        <w:trPr>
          <w:trHeight w:val="130"/>
        </w:trPr>
        <w:tc>
          <w:tcPr>
            <w:tcW w:w="1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-753745</wp:posOffset>
            </wp:positionV>
            <wp:extent cx="7132320" cy="1714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-290830</wp:posOffset>
            </wp:positionV>
            <wp:extent cx="7132320" cy="2914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116" w:lineRule="exact"/>
        <w:rPr>
          <w:sz w:val="20"/>
          <w:szCs w:val="20"/>
          <w:color w:val="auto"/>
        </w:rPr>
      </w:pPr>
    </w:p>
    <w:p>
      <w:pPr>
        <w:sectPr>
          <w:pgSz w:w="11900" w:h="16838" w:orient="portrait"/>
          <w:cols w:equalWidth="0" w:num="2">
            <w:col w:w="3960" w:space="620"/>
            <w:col w:w="6700"/>
          </w:cols>
          <w:pgMar w:left="320" w:top="105" w:right="299" w:bottom="1440" w:gutter="0" w:footer="0" w:header="0"/>
          <w:type w:val="continuous"/>
        </w:sectPr>
      </w:pPr>
    </w:p>
    <w:p>
      <w:pPr>
        <w:jc w:val="both"/>
        <w:ind w:right="60"/>
        <w:spacing w:after="0" w:line="262" w:lineRule="auto"/>
        <w:rPr>
          <w:sz w:val="20"/>
          <w:szCs w:val="20"/>
          <w:color w:val="auto"/>
        </w:rPr>
      </w:pPr>
      <w:r>
        <w:rPr>
          <w:rFonts w:ascii="Arial" w:cs="Arial" w:eastAsia="Arial" w:hAnsi="Arial"/>
          <w:sz w:val="18"/>
          <w:szCs w:val="18"/>
          <w:color w:val="auto"/>
        </w:rPr>
        <w:t>Net income atributable to Class A common stockholders–basic is calculated by subtractng the porton of Hoya Intermediate's net income atributable to redeemable noncontrolling interests from our total net income, which includes our net income for actvites outside of our investment in Hoya Intermediate as well as the full results of Hoya Intermediate on a consolidated basis.</w:t>
      </w:r>
    </w:p>
    <w:p>
      <w:pPr>
        <w:spacing w:after="0" w:line="119" w:lineRule="exact"/>
        <w:rPr>
          <w:sz w:val="20"/>
          <w:szCs w:val="20"/>
          <w:color w:val="auto"/>
        </w:rPr>
      </w:pPr>
    </w:p>
    <w:p>
      <w:pPr>
        <w:jc w:val="both"/>
        <w:ind w:right="40"/>
        <w:spacing w:after="0" w:line="274" w:lineRule="auto"/>
        <w:rPr>
          <w:sz w:val="20"/>
          <w:szCs w:val="20"/>
          <w:color w:val="auto"/>
        </w:rPr>
      </w:pPr>
      <w:r>
        <w:rPr>
          <w:rFonts w:ascii="Arial" w:cs="Arial" w:eastAsia="Arial" w:hAnsi="Arial"/>
          <w:sz w:val="17"/>
          <w:szCs w:val="17"/>
          <w:color w:val="auto"/>
        </w:rPr>
        <w:t>Net income per Class A common stock–diluted is based on the average number of shares of our Class A common stock used for the basic earnings per share calculaton, adjusted for the weighted-average number of Class A common share equivalents outstanding for the period determined using the treasury stock method and if-converted method, as applicable. Net income atributable to Class A common stockholders–diluted is adjusted for (i) our share of Hoya Intermediate’s consolidated net income afer giving efect to Intermediate Units that convert into potental shares of our Class A common stock, to the extent it is dilutve, and (ii) the impact of changes in the fair value of Hoya Intermediate Warrants, to the extent they are dilutve.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computaton of basic and diluted net income per share of Class A common stock for the periods in which shares of our</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Class A and Class B common stock were outstanding (in thousands, except share and per share data):</w:t>
      </w:r>
    </w:p>
    <w:p>
      <w:pPr>
        <w:spacing w:after="0" w:line="10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05" w:right="29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6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88"/>
              </w:rPr>
              <w:t>Three Months Ended September 30,</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0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w w:val="89"/>
              </w:rPr>
              <w:t>Nine Months Ended September 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Numerator—basic:</w:t>
            </w: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56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16,018</w:t>
            </w:r>
          </w:p>
        </w:tc>
        <w:tc>
          <w:tcPr>
            <w:tcW w:w="5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18,747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84,616</w:t>
            </w: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45,945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560" w:type="dxa"/>
            <w:vAlign w:val="bottom"/>
            <w:shd w:val="clear" w:color="auto" w:fill="CFF0FC"/>
          </w:tcPr>
          <w:p>
            <w:pPr>
              <w:ind w:left="120"/>
              <w:spacing w:after="0" w:line="205" w:lineRule="exact"/>
              <w:rPr>
                <w:sz w:val="20"/>
                <w:szCs w:val="20"/>
                <w:color w:val="auto"/>
              </w:rPr>
            </w:pPr>
            <w:r>
              <w:rPr>
                <w:rFonts w:ascii="Arial" w:cs="Arial" w:eastAsia="Arial" w:hAnsi="Arial"/>
                <w:sz w:val="18"/>
                <w:szCs w:val="18"/>
                <w:color w:val="auto"/>
              </w:rPr>
              <w:t>Less: Income atributable to redeemable noncontrolling</w:t>
            </w:r>
          </w:p>
        </w:tc>
        <w:tc>
          <w:tcPr>
            <w:tcW w:w="160" w:type="dxa"/>
            <w:vAlign w:val="bottom"/>
            <w:shd w:val="clear" w:color="auto" w:fill="CFF0FC"/>
          </w:tcPr>
          <w:p>
            <w:pPr>
              <w:spacing w:after="0"/>
              <w:rPr>
                <w:sz w:val="17"/>
                <w:szCs w:val="17"/>
                <w:color w:val="auto"/>
              </w:rPr>
            </w:pP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9,341</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11,084</w:t>
            </w:r>
          </w:p>
        </w:tc>
        <w:tc>
          <w:tcPr>
            <w:tcW w:w="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35,045</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27,368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5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interests</w:t>
            </w:r>
          </w:p>
        </w:tc>
        <w:tc>
          <w:tcPr>
            <w:tcW w:w="16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vMerge w:val="continue"/>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vMerge w:val="continue"/>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4560" w:type="dxa"/>
            <w:vAlign w:val="bottom"/>
            <w:tcBorders>
              <w:top w:val="single" w:sz="8" w:color="CFF0FC"/>
            </w:tcBorders>
          </w:tcPr>
          <w:p>
            <w:pPr>
              <w:ind w:left="120"/>
              <w:spacing w:after="0" w:line="190" w:lineRule="exact"/>
              <w:rPr>
                <w:sz w:val="20"/>
                <w:szCs w:val="20"/>
                <w:color w:val="auto"/>
              </w:rPr>
            </w:pPr>
            <w:r>
              <w:rPr>
                <w:rFonts w:ascii="Arial" w:cs="Arial" w:eastAsia="Arial" w:hAnsi="Arial"/>
                <w:sz w:val="18"/>
                <w:szCs w:val="18"/>
                <w:color w:val="auto"/>
              </w:rPr>
              <w:t>Net income atributable to Class A Common</w:t>
            </w: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6,677</w:t>
            </w:r>
          </w:p>
        </w:tc>
        <w:tc>
          <w:tcPr>
            <w:tcW w:w="260" w:type="dxa"/>
            <w:vAlign w:val="bottom"/>
            <w:tcBorders>
              <w:top w:val="single" w:sz="8" w:color="CFF0FC"/>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7,663</w:t>
            </w:r>
          </w:p>
        </w:tc>
        <w:tc>
          <w:tcPr>
            <w:tcW w:w="38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49,571</w:t>
            </w:r>
          </w:p>
        </w:tc>
        <w:tc>
          <w:tcPr>
            <w:tcW w:w="240" w:type="dxa"/>
            <w:vAlign w:val="bottom"/>
            <w:tcBorders>
              <w:top w:val="single" w:sz="8" w:color="CFF0FC"/>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18,577</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560" w:type="dxa"/>
            <w:vAlign w:val="bottom"/>
          </w:tcPr>
          <w:p>
            <w:pPr>
              <w:ind w:left="120"/>
              <w:spacing w:after="0"/>
              <w:rPr>
                <w:sz w:val="20"/>
                <w:szCs w:val="20"/>
                <w:color w:val="auto"/>
              </w:rPr>
            </w:pPr>
            <w:r>
              <w:rPr>
                <w:rFonts w:ascii="Arial" w:cs="Arial" w:eastAsia="Arial" w:hAnsi="Arial"/>
                <w:sz w:val="18"/>
                <w:szCs w:val="18"/>
                <w:color w:val="auto"/>
              </w:rPr>
              <w:t>Stockholders—basic</w:t>
            </w:r>
          </w:p>
        </w:tc>
        <w:tc>
          <w:tcPr>
            <w:tcW w:w="1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Denominator—basic:</w:t>
            </w: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560" w:type="dxa"/>
            <w:vAlign w:val="bottom"/>
          </w:tcPr>
          <w:p>
            <w:pPr>
              <w:ind w:left="120"/>
              <w:spacing w:after="0" w:line="197" w:lineRule="exact"/>
              <w:rPr>
                <w:sz w:val="20"/>
                <w:szCs w:val="20"/>
                <w:color w:val="auto"/>
              </w:rPr>
            </w:pPr>
            <w:r>
              <w:rPr>
                <w:rFonts w:ascii="Arial" w:cs="Arial" w:eastAsia="Arial" w:hAnsi="Arial"/>
                <w:sz w:val="18"/>
                <w:szCs w:val="18"/>
                <w:color w:val="auto"/>
                <w:w w:val="98"/>
              </w:rPr>
              <w:t>Weighted average Class A common stock outstanding—</w:t>
            </w:r>
          </w:p>
        </w:tc>
        <w:tc>
          <w:tcPr>
            <w:tcW w:w="16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96,407,327</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81,996,447</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86,403,617</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80,145,329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560" w:type="dxa"/>
            <w:vAlign w:val="bottom"/>
          </w:tcPr>
          <w:p>
            <w:pPr>
              <w:ind w:left="12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0"/>
        </w:trPr>
        <w:tc>
          <w:tcPr>
            <w:tcW w:w="4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income per Class A common stock—basic</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0.07</w:t>
            </w:r>
          </w:p>
        </w:tc>
        <w:tc>
          <w:tcPr>
            <w:tcW w:w="26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0.09</w:t>
            </w:r>
          </w:p>
        </w:tc>
        <w:tc>
          <w:tcPr>
            <w:tcW w:w="38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0.57</w:t>
            </w:r>
          </w:p>
        </w:tc>
        <w:tc>
          <w:tcPr>
            <w:tcW w:w="24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0.23</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Numerator—diluted:</w:t>
            </w:r>
          </w:p>
        </w:tc>
        <w:tc>
          <w:tcPr>
            <w:tcW w:w="16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560" w:type="dxa"/>
            <w:vAlign w:val="bottom"/>
          </w:tcPr>
          <w:p>
            <w:pPr>
              <w:ind w:left="120"/>
              <w:spacing w:after="0" w:line="197" w:lineRule="exact"/>
              <w:rPr>
                <w:sz w:val="20"/>
                <w:szCs w:val="20"/>
                <w:color w:val="auto"/>
              </w:rPr>
            </w:pPr>
            <w:r>
              <w:rPr>
                <w:rFonts w:ascii="Arial" w:cs="Arial" w:eastAsia="Arial" w:hAnsi="Arial"/>
                <w:sz w:val="18"/>
                <w:szCs w:val="18"/>
                <w:color w:val="auto"/>
              </w:rPr>
              <w:t>Net income atributable to Class A Common</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560" w:type="dxa"/>
            <w:vAlign w:val="bottom"/>
          </w:tcPr>
          <w:p>
            <w:pPr>
              <w:ind w:left="120"/>
              <w:spacing w:after="0"/>
              <w:rPr>
                <w:sz w:val="20"/>
                <w:szCs w:val="20"/>
                <w:color w:val="auto"/>
              </w:rPr>
            </w:pPr>
            <w:r>
              <w:rPr>
                <w:rFonts w:ascii="Arial" w:cs="Arial" w:eastAsia="Arial" w:hAnsi="Arial"/>
                <w:sz w:val="18"/>
                <w:szCs w:val="18"/>
                <w:color w:val="auto"/>
              </w:rPr>
              <w:t>Stockholders—basic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6,677</w:t>
            </w:r>
          </w:p>
        </w:tc>
        <w:tc>
          <w:tcPr>
            <w:tcW w:w="5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7,663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49,571</w:t>
            </w: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18,577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4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4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income efect of dilutve securites:</w:t>
            </w:r>
          </w:p>
        </w:tc>
        <w:tc>
          <w:tcPr>
            <w:tcW w:w="16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560" w:type="dxa"/>
            <w:vAlign w:val="bottom"/>
          </w:tcPr>
          <w:p>
            <w:pPr>
              <w:ind w:left="120"/>
              <w:spacing w:after="0"/>
              <w:rPr>
                <w:sz w:val="20"/>
                <w:szCs w:val="20"/>
                <w:color w:val="auto"/>
              </w:rPr>
            </w:pPr>
            <w:r>
              <w:rPr>
                <w:rFonts w:ascii="Arial" w:cs="Arial" w:eastAsia="Arial" w:hAnsi="Arial"/>
                <w:sz w:val="18"/>
                <w:szCs w:val="18"/>
                <w:color w:val="auto"/>
              </w:rPr>
              <w:t>Efect of Exercise Warrants</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Efect of RSUs</w:t>
            </w:r>
          </w:p>
        </w:tc>
        <w:tc>
          <w:tcPr>
            <w:tcW w:w="1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60" w:type="dxa"/>
            <w:vAlign w:val="bottom"/>
          </w:tcPr>
          <w:p>
            <w:pPr>
              <w:ind w:left="120"/>
              <w:spacing w:after="0"/>
              <w:rPr>
                <w:sz w:val="20"/>
                <w:szCs w:val="20"/>
                <w:color w:val="auto"/>
              </w:rPr>
            </w:pPr>
            <w:r>
              <w:rPr>
                <w:rFonts w:ascii="Arial" w:cs="Arial" w:eastAsia="Arial" w:hAnsi="Arial"/>
                <w:sz w:val="18"/>
                <w:szCs w:val="18"/>
                <w:color w:val="auto"/>
              </w:rPr>
              <w:t>Efect of noncontrolling interests</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33,874</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560" w:type="dxa"/>
            <w:vAlign w:val="bottom"/>
            <w:shd w:val="clear" w:color="auto" w:fill="CFF0FC"/>
          </w:tcPr>
          <w:p>
            <w:pPr>
              <w:ind w:left="120"/>
              <w:spacing w:after="0" w:line="197" w:lineRule="exact"/>
              <w:rPr>
                <w:sz w:val="20"/>
                <w:szCs w:val="20"/>
                <w:color w:val="auto"/>
              </w:rPr>
            </w:pPr>
            <w:r>
              <w:rPr>
                <w:rFonts w:ascii="Arial" w:cs="Arial" w:eastAsia="Arial" w:hAnsi="Arial"/>
                <w:sz w:val="18"/>
                <w:szCs w:val="18"/>
                <w:color w:val="auto"/>
              </w:rPr>
              <w:t>Net income atributable to Class A Common</w:t>
            </w:r>
          </w:p>
        </w:tc>
        <w:tc>
          <w:tcPr>
            <w:tcW w:w="160" w:type="dxa"/>
            <w:vAlign w:val="bottom"/>
            <w:shd w:val="clear" w:color="auto" w:fill="CFF0FC"/>
          </w:tcPr>
          <w:p>
            <w:pPr>
              <w:spacing w:after="0"/>
              <w:rPr>
                <w:sz w:val="17"/>
                <w:szCs w:val="17"/>
                <w:color w:val="auto"/>
              </w:rPr>
            </w:pP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6,692</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7,664</w:t>
            </w:r>
          </w:p>
        </w:tc>
        <w:tc>
          <w:tcPr>
            <w:tcW w:w="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83,513</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45,945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5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Stockholders—diluted</w:t>
            </w:r>
          </w:p>
        </w:tc>
        <w:tc>
          <w:tcPr>
            <w:tcW w:w="16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vMerge w:val="continue"/>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vMerge w:val="continue"/>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Denominator—diluted:</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38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FF0FC"/>
          </w:tcPr>
          <w:p>
            <w:pPr>
              <w:ind w:left="120"/>
              <w:spacing w:after="0" w:line="203" w:lineRule="exact"/>
              <w:rPr>
                <w:sz w:val="20"/>
                <w:szCs w:val="20"/>
                <w:color w:val="auto"/>
              </w:rPr>
            </w:pPr>
            <w:r>
              <w:rPr>
                <w:rFonts w:ascii="Arial" w:cs="Arial" w:eastAsia="Arial" w:hAnsi="Arial"/>
                <w:sz w:val="18"/>
                <w:szCs w:val="18"/>
                <w:color w:val="auto"/>
                <w:w w:val="98"/>
              </w:rPr>
              <w:t>Weighted average Class A common stock outstanding—</w:t>
            </w: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45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96,407,327</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81,996,447</w:t>
            </w:r>
          </w:p>
        </w:tc>
        <w:tc>
          <w:tcPr>
            <w:tcW w:w="3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86,403,617</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80,145,329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560" w:type="dxa"/>
            <w:vAlign w:val="bottom"/>
          </w:tcPr>
          <w:p>
            <w:pPr>
              <w:ind w:left="120"/>
              <w:spacing w:after="0"/>
              <w:rPr>
                <w:sz w:val="20"/>
                <w:szCs w:val="20"/>
                <w:color w:val="auto"/>
              </w:rPr>
            </w:pPr>
            <w:r>
              <w:rPr>
                <w:rFonts w:ascii="Arial" w:cs="Arial" w:eastAsia="Arial" w:hAnsi="Arial"/>
                <w:sz w:val="18"/>
                <w:szCs w:val="18"/>
                <w:color w:val="auto"/>
              </w:rPr>
              <w:t>Weighted average efect of dilutve securites:</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Efect of Noncontrolling Interests</w:t>
            </w:r>
          </w:p>
        </w:tc>
        <w:tc>
          <w:tcPr>
            <w:tcW w:w="1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109,514,286</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118,200,000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560" w:type="dxa"/>
            <w:vAlign w:val="bottom"/>
          </w:tcPr>
          <w:p>
            <w:pPr>
              <w:ind w:left="120"/>
              <w:spacing w:after="0"/>
              <w:rPr>
                <w:sz w:val="20"/>
                <w:szCs w:val="20"/>
                <w:color w:val="auto"/>
              </w:rPr>
            </w:pPr>
            <w:r>
              <w:rPr>
                <w:rFonts w:ascii="Arial" w:cs="Arial" w:eastAsia="Arial" w:hAnsi="Arial"/>
                <w:sz w:val="18"/>
                <w:szCs w:val="18"/>
                <w:color w:val="auto"/>
              </w:rPr>
              <w:t>Efect of Exercise Warrants</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345,208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5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Efect of RSUs</w:t>
            </w:r>
          </w:p>
        </w:tc>
        <w:tc>
          <w:tcPr>
            <w:tcW w:w="16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455,572</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27,016</w:t>
            </w:r>
          </w:p>
        </w:tc>
        <w:tc>
          <w:tcPr>
            <w:tcW w:w="3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389,828</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19,232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560" w:type="dxa"/>
            <w:vAlign w:val="bottom"/>
          </w:tcPr>
          <w:p>
            <w:pPr>
              <w:ind w:left="120"/>
              <w:spacing w:after="0" w:line="197" w:lineRule="exact"/>
              <w:rPr>
                <w:sz w:val="20"/>
                <w:szCs w:val="20"/>
                <w:color w:val="auto"/>
              </w:rPr>
            </w:pPr>
            <w:r>
              <w:rPr>
                <w:rFonts w:ascii="Arial" w:cs="Arial" w:eastAsia="Arial" w:hAnsi="Arial"/>
                <w:sz w:val="18"/>
                <w:szCs w:val="18"/>
                <w:color w:val="auto"/>
                <w:w w:val="98"/>
              </w:rPr>
              <w:t>Weighted average Class A common stock outstanding—</w:t>
            </w:r>
          </w:p>
        </w:tc>
        <w:tc>
          <w:tcPr>
            <w:tcW w:w="16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96,862,899</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82,023,463</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196,307,731</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198,709,769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560" w:type="dxa"/>
            <w:vAlign w:val="bottom"/>
          </w:tcPr>
          <w:p>
            <w:pPr>
              <w:ind w:left="12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6"/>
        </w:trPr>
        <w:tc>
          <w:tcPr>
            <w:tcW w:w="45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b w:val="1"/>
                <w:bCs w:val="1"/>
                <w:color w:val="auto"/>
              </w:rPr>
              <w:t>Net income per Class A common stock—diluted</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0.07</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0.09</w:t>
            </w:r>
          </w:p>
        </w:tc>
        <w:tc>
          <w:tcPr>
            <w:tcW w:w="3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0.43</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0.23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5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-4337050</wp:posOffset>
            </wp:positionV>
            <wp:extent cx="77470" cy="3003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-4337050</wp:posOffset>
            </wp:positionV>
            <wp:extent cx="68580" cy="3003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-4337050</wp:posOffset>
            </wp:positionV>
            <wp:extent cx="68580" cy="3003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-4337050</wp:posOffset>
            </wp:positionV>
            <wp:extent cx="68580" cy="3003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-3436620</wp:posOffset>
            </wp:positionV>
            <wp:extent cx="3334385" cy="1797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34385" cy="17970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-1902460</wp:posOffset>
            </wp:positionV>
            <wp:extent cx="77470" cy="1625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-1902460</wp:posOffset>
            </wp:positionV>
            <wp:extent cx="68580" cy="1625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-1902460</wp:posOffset>
            </wp:positionV>
            <wp:extent cx="68580" cy="1625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-1902460</wp:posOffset>
            </wp:positionV>
            <wp:extent cx="68580" cy="1625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-831215</wp:posOffset>
            </wp:positionV>
            <wp:extent cx="77470" cy="3003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-831215</wp:posOffset>
            </wp:positionV>
            <wp:extent cx="68580" cy="3003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-831215</wp:posOffset>
            </wp:positionV>
            <wp:extent cx="68580" cy="3003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-831215</wp:posOffset>
            </wp:positionV>
            <wp:extent cx="68580" cy="3003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-376555</wp:posOffset>
            </wp:positionV>
            <wp:extent cx="7747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-359410</wp:posOffset>
            </wp:positionV>
            <wp:extent cx="774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-376555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-359410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-376555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-359410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-376555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-359410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Potental shares of our Class A common stock are excluded from the computaton of diluted net income per share of Class A common stock if their efect would have been ant-dilutve for the period presented or if the issuance of shares is contngent upon events that did not occur by the end of the period. The diluton refected in diluted net income per share of Class A common stock during the nine months ended September 30, 2023 relates primarily to an assumed conversion of our noncontrolling interests to shares of our Class A common stock, which would not have a commensurate efect on net income, primarily due to the release of the valuaton allowance which beneft is atributable to Vivid Seats Inc. only.</w:t>
      </w:r>
    </w:p>
    <w:p>
      <w:pPr>
        <w:spacing w:after="0" w:line="9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following table presents potentally dilutve securites excluded from the computaton of diluted net income per share of Class A common stock for the periods presented that could potentally dilute earnings per share in the future: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440" w:type="dxa"/>
            <w:vAlign w:val="bottom"/>
          </w:tcPr>
          <w:p>
            <w:pPr>
              <w:spacing w:after="0"/>
              <w:rPr>
                <w:sz w:val="20"/>
                <w:szCs w:val="20"/>
                <w:color w:val="auto"/>
              </w:rPr>
            </w:pPr>
          </w:p>
        </w:tc>
        <w:tc>
          <w:tcPr>
            <w:tcW w:w="322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w w:val="96"/>
              </w:rPr>
              <w:t>Three Months Ended September 30,</w:t>
            </w:r>
          </w:p>
        </w:tc>
        <w:tc>
          <w:tcPr>
            <w:tcW w:w="340" w:type="dxa"/>
            <w:vAlign w:val="bottom"/>
          </w:tcPr>
          <w:p>
            <w:pPr>
              <w:spacing w:after="0"/>
              <w:rPr>
                <w:sz w:val="20"/>
                <w:szCs w:val="20"/>
                <w:color w:val="auto"/>
              </w:rPr>
            </w:pPr>
          </w:p>
        </w:tc>
        <w:tc>
          <w:tcPr>
            <w:tcW w:w="314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w w:val="96"/>
              </w:rPr>
              <w:t>Nine Months Ended September 30,</w:t>
            </w:r>
          </w:p>
        </w:tc>
        <w:tc>
          <w:tcPr>
            <w:tcW w:w="100" w:type="dxa"/>
            <w:vAlign w:val="bottom"/>
          </w:tcPr>
          <w:p>
            <w:pPr>
              <w:spacing w:after="0"/>
              <w:rPr>
                <w:sz w:val="20"/>
                <w:szCs w:val="20"/>
                <w:color w:val="auto"/>
              </w:rPr>
            </w:pPr>
          </w:p>
        </w:tc>
      </w:tr>
      <w:tr>
        <w:trPr>
          <w:trHeight w:val="33"/>
        </w:trPr>
        <w:tc>
          <w:tcPr>
            <w:tcW w:w="44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4"/>
        </w:trPr>
        <w:tc>
          <w:tcPr>
            <w:tcW w:w="4440" w:type="dxa"/>
            <w:vAlign w:val="bottom"/>
          </w:tcPr>
          <w:p>
            <w:pPr>
              <w:spacing w:after="0"/>
              <w:rPr>
                <w:sz w:val="19"/>
                <w:szCs w:val="19"/>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74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19"/>
                <w:szCs w:val="19"/>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70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6"/>
        </w:trPr>
        <w:tc>
          <w:tcPr>
            <w:tcW w:w="44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RSUs</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1,576,861</w:t>
            </w:r>
          </w:p>
        </w:tc>
        <w:tc>
          <w:tcPr>
            <w:tcW w:w="24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2,446,014</w:t>
            </w:r>
          </w:p>
        </w:tc>
        <w:tc>
          <w:tcPr>
            <w:tcW w:w="34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857,813</w:t>
            </w:r>
          </w:p>
        </w:tc>
        <w:tc>
          <w:tcPr>
            <w:tcW w:w="22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1,273,638</w:t>
            </w:r>
          </w:p>
        </w:tc>
        <w:tc>
          <w:tcPr>
            <w:tcW w:w="100" w:type="dxa"/>
            <w:vAlign w:val="bottom"/>
            <w:shd w:val="clear" w:color="auto" w:fill="CFF0FC"/>
          </w:tcPr>
          <w:p>
            <w:pPr>
              <w:spacing w:after="0"/>
              <w:rPr>
                <w:sz w:val="20"/>
                <w:szCs w:val="20"/>
                <w:color w:val="auto"/>
              </w:rPr>
            </w:pPr>
          </w:p>
        </w:tc>
      </w:tr>
      <w:tr>
        <w:trPr>
          <w:trHeight w:val="235"/>
        </w:trPr>
        <w:tc>
          <w:tcPr>
            <w:tcW w:w="4440" w:type="dxa"/>
            <w:vAlign w:val="bottom"/>
          </w:tcPr>
          <w:p>
            <w:pPr>
              <w:ind w:left="20"/>
              <w:spacing w:after="0"/>
              <w:rPr>
                <w:sz w:val="20"/>
                <w:szCs w:val="20"/>
                <w:color w:val="auto"/>
              </w:rPr>
            </w:pPr>
            <w:r>
              <w:rPr>
                <w:rFonts w:ascii="Arial" w:cs="Arial" w:eastAsia="Arial" w:hAnsi="Arial"/>
                <w:sz w:val="18"/>
                <w:szCs w:val="18"/>
                <w:color w:val="auto"/>
              </w:rPr>
              <w:t>Stock optons</w:t>
            </w:r>
          </w:p>
        </w:tc>
        <w:tc>
          <w:tcPr>
            <w:tcW w:w="1480" w:type="dxa"/>
            <w:vAlign w:val="bottom"/>
          </w:tcPr>
          <w:p>
            <w:pPr>
              <w:jc w:val="right"/>
              <w:spacing w:after="0"/>
              <w:rPr>
                <w:sz w:val="20"/>
                <w:szCs w:val="20"/>
                <w:color w:val="auto"/>
              </w:rPr>
            </w:pPr>
            <w:r>
              <w:rPr>
                <w:rFonts w:ascii="Arial" w:cs="Arial" w:eastAsia="Arial" w:hAnsi="Arial"/>
                <w:sz w:val="18"/>
                <w:szCs w:val="18"/>
                <w:color w:val="auto"/>
              </w:rPr>
              <w:t>10,597,528</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6,239,307</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10,597,528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6,239,607</w:t>
            </w:r>
          </w:p>
        </w:tc>
        <w:tc>
          <w:tcPr>
            <w:tcW w:w="100" w:type="dxa"/>
            <w:vAlign w:val="bottom"/>
          </w:tcPr>
          <w:p>
            <w:pPr>
              <w:spacing w:after="0"/>
              <w:rPr>
                <w:sz w:val="20"/>
                <w:szCs w:val="20"/>
                <w:color w:val="auto"/>
              </w:rPr>
            </w:pPr>
          </w:p>
        </w:tc>
      </w:tr>
      <w:tr>
        <w:trPr>
          <w:trHeight w:val="251"/>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Public Warrants and Private Warrants</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13,286,644</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13,286,644</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13,286,644</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13,286,644</w:t>
            </w:r>
          </w:p>
        </w:tc>
        <w:tc>
          <w:tcPr>
            <w:tcW w:w="100" w:type="dxa"/>
            <w:vAlign w:val="bottom"/>
            <w:shd w:val="clear" w:color="auto" w:fill="CFF0FC"/>
          </w:tcPr>
          <w:p>
            <w:pPr>
              <w:spacing w:after="0"/>
              <w:rPr>
                <w:sz w:val="21"/>
                <w:szCs w:val="21"/>
                <w:color w:val="auto"/>
              </w:rPr>
            </w:pPr>
          </w:p>
        </w:tc>
      </w:tr>
      <w:tr>
        <w:trPr>
          <w:trHeight w:val="235"/>
        </w:trPr>
        <w:tc>
          <w:tcPr>
            <w:tcW w:w="4440" w:type="dxa"/>
            <w:vAlign w:val="bottom"/>
          </w:tcPr>
          <w:p>
            <w:pPr>
              <w:ind w:left="20"/>
              <w:spacing w:after="0"/>
              <w:rPr>
                <w:sz w:val="20"/>
                <w:szCs w:val="20"/>
                <w:color w:val="auto"/>
              </w:rPr>
            </w:pPr>
            <w:r>
              <w:rPr>
                <w:rFonts w:ascii="Arial" w:cs="Arial" w:eastAsia="Arial" w:hAnsi="Arial"/>
                <w:sz w:val="18"/>
                <w:szCs w:val="18"/>
                <w:color w:val="auto"/>
              </w:rPr>
              <w:t>Exercise Warrants</w:t>
            </w:r>
          </w:p>
        </w:tc>
        <w:tc>
          <w:tcPr>
            <w:tcW w:w="1480" w:type="dxa"/>
            <w:vAlign w:val="bottom"/>
          </w:tcPr>
          <w:p>
            <w:pPr>
              <w:jc w:val="right"/>
              <w:spacing w:after="0"/>
              <w:rPr>
                <w:sz w:val="20"/>
                <w:szCs w:val="20"/>
                <w:color w:val="auto"/>
              </w:rPr>
            </w:pPr>
            <w:r>
              <w:rPr>
                <w:rFonts w:ascii="Arial" w:cs="Arial" w:eastAsia="Arial" w:hAnsi="Arial"/>
                <w:sz w:val="18"/>
                <w:szCs w:val="18"/>
                <w:color w:val="auto"/>
              </w:rPr>
              <w:t>34,000,000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34,000,000</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34,000,000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17,000,000</w:t>
            </w:r>
          </w:p>
        </w:tc>
        <w:tc>
          <w:tcPr>
            <w:tcW w:w="100" w:type="dxa"/>
            <w:vAlign w:val="bottom"/>
          </w:tcPr>
          <w:p>
            <w:pPr>
              <w:spacing w:after="0"/>
              <w:rPr>
                <w:sz w:val="20"/>
                <w:szCs w:val="20"/>
                <w:color w:val="auto"/>
              </w:rPr>
            </w:pPr>
          </w:p>
        </w:tc>
      </w:tr>
      <w:tr>
        <w:trPr>
          <w:trHeight w:val="251"/>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Hoya Intermediate Warrants</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6,000,000</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6,000,000</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6,000,000</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6,000,000</w:t>
            </w:r>
          </w:p>
        </w:tc>
        <w:tc>
          <w:tcPr>
            <w:tcW w:w="100" w:type="dxa"/>
            <w:vAlign w:val="bottom"/>
            <w:shd w:val="clear" w:color="auto" w:fill="CFF0FC"/>
          </w:tcPr>
          <w:p>
            <w:pPr>
              <w:spacing w:after="0"/>
              <w:rPr>
                <w:sz w:val="21"/>
                <w:szCs w:val="21"/>
                <w:color w:val="auto"/>
              </w:rPr>
            </w:pPr>
          </w:p>
        </w:tc>
      </w:tr>
      <w:tr>
        <w:trPr>
          <w:trHeight w:val="227"/>
        </w:trPr>
        <w:tc>
          <w:tcPr>
            <w:tcW w:w="444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1480" w:type="dxa"/>
            <w:vAlign w:val="bottom"/>
          </w:tcPr>
          <w:p>
            <w:pPr>
              <w:jc w:val="right"/>
              <w:spacing w:after="0"/>
              <w:rPr>
                <w:sz w:val="20"/>
                <w:szCs w:val="20"/>
                <w:color w:val="auto"/>
              </w:rPr>
            </w:pPr>
            <w:r>
              <w:rPr>
                <w:rFonts w:ascii="Arial" w:cs="Arial" w:eastAsia="Arial" w:hAnsi="Arial"/>
                <w:sz w:val="18"/>
                <w:szCs w:val="18"/>
                <w:color w:val="auto"/>
              </w:rPr>
              <w:t>99,800,000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118,200,000</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bl>
    <w:p>
      <w:pPr>
        <w:spacing w:after="0" w:line="346" w:lineRule="exact"/>
        <w:rPr>
          <w:sz w:val="20"/>
          <w:szCs w:val="20"/>
          <w:color w:val="auto"/>
        </w:rPr>
      </w:pPr>
    </w:p>
    <w:p>
      <w:pPr>
        <w:ind w:left="280" w:hanging="272"/>
        <w:spacing w:after="0"/>
        <w:tabs>
          <w:tab w:leader="none" w:pos="2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ubsequent</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vents</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3, 2023, we entered into a defnitve agreement to acquire 100% ownership of VDC Holdco, LLC, the indirect parent company of Vegas.com, LLC, a leading entertainment marketplace for consumers exploring Las Vegas, Nevada. The agreed upon purchase price was approximately $243.8 million, which is subject to customary closing adjustments, comprised of approximately $153.6 million in cash and approximately 15.6 million shares of our Class A common stock (calculated based on a price per share of $5.80, representng the average daily volume weighted price per share for each of the fve consecutve trading days ending on and including November 2, 2023). The transacton also closed on November 3, 2023. We fnanced the cash porton of the purchase price with cash on hand.</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This discussion and analysis is intended to help readers understand our results of operatons and fnancial conditon and is provided as an additon to, and should be read together with, our condensed consolidated fnancial statements and accompanying notes included elsewhere in this Report, as well as our consolidated fnancial statements and accompanying notes contained in our 2022 Form 10-K. This discussion contains forward-looking statements, which are subject to a number of risks and uncertaintes. Important factors that could cause actual results or outcomes to difer materially from those antcipated in the forward-looking statements include, but are not limited to, those set forth in the “Risk Factors” sectons of this Report, our 2022 Form 10-K and our other flings with the SEC.</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an online tcket marketplace that utlizes our technology platorm to connect fans of live events seamlessly with tcket sellers. Our mission is to empower and enable fans to Experience It Live. We believe in the power of shared experiences to connect people with live events delivering some of life’s most excitng moments. We operate a technology platorm and marketplace that enables tcket buyers to easily discover and purchase tckets from tcket sellers while enabling tcket sellers to seamlessly manage their operatons. We diferentate from compettors by ofering an extensive breadth and depth of tcket listngs at a compettve value. During the three and nine months ended September 30, 2023, our revenues were $188.1 million and $514.6 million, respectvely, and our Marketplace Gross Order Value ("Marketplace GOV") was $998.9 million and $2,808.2 million, respectvely. During the three and nine months ended September 30, 2022, our revenues were $156.8 million and $435.3 million, respectvely, and our Marketplace GOV was $781.8 million and $2,338.8 million, respectvely. Our net income was $16.0 million and $84.6 million for the three and nine months ended September 30, 2023, respectvely, and $18.7 million and $45.9 million for the three and nine months ended September 30, 2022, respectvely.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in two segments, Marketplace and Resale.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Marketplace</w:t>
      </w:r>
    </w:p>
    <w:p>
      <w:pPr>
        <w:spacing w:after="0" w:line="15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our Marketplace segment, we act as an intermediary between tcket buyers and sellers. We earn revenue processing tcket sales from our Owned Propertes, consistng of our websites and mobile applicatons, and from our Private Label Ofering, which is comprised of numerous distributon partners. Our Marketplace segment also includes our daily fantasy sports ofering, where users partake in contests by making picks from a variety of sport and player matchups. Using our online platorm, we facilitate customer payments, deposits and withdrawals, coordinate tcket deliveries, and provide customer service to our tcket buyers and sellers and daily fantasy sports users. We do not hold tcket inventory in our Marketplace segment.</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primarily earn revenue from service and delivery fees charged to tcket buyers. We also earn referral fee revenue by ofering event tcket insurance to tcket buyers, using a third-party insurance provider. The revenue we earn from our daily fantasy sports ofering is the diference between cash entry fees collected and cash amounts paid out to users for winning picks, less customer promotons and incentves in a period.</w:t>
      </w:r>
    </w:p>
    <w:p>
      <w:pPr>
        <w:spacing w:after="0" w:line="10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incur costs for developing and maintaining our platorm, providing back-ofce and customer support to tcket buyers, sellers and daily fantasy sports users, facilitatng payments and deposits, and shipping non-electronic tckets. We also incur substantal marketng costs, primarily related to online advertsing.</w:t>
      </w:r>
    </w:p>
    <w:p>
      <w:pPr>
        <w:spacing w:after="0" w:line="11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key component of our platorm is Skybox, a proprietary enterprise resource planning ("ERP") tool used by the majority of our tcket sellers. Skybox is a free-to-use system that helps tcket sellers manage tcket inventories, adjust pricing, and fulfll orders across multple tcket resale marketplaces. Professional tcket sellers use an ERP to manage their operatons, and Skybox is their most widely adopted ERP.</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Resale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0" w:right="339" w:bottom="1440" w:gutter="0" w:footer="0" w:header="0"/>
        </w:sectPr>
      </w:pPr>
    </w:p>
    <w:bookmarkStart w:id="30" w:name="page31"/>
    <w:bookmarkEnd w:id="30"/>
    <w:p>
      <w:pPr>
        <w:jc w:val="both"/>
        <w:spacing w:after="0" w:line="273" w:lineRule="auto"/>
        <w:rPr>
          <w:sz w:val="20"/>
          <w:szCs w:val="20"/>
          <w:color w:val="auto"/>
        </w:rPr>
      </w:pPr>
      <w:r>
        <w:rPr>
          <w:rFonts w:ascii="Arial" w:cs="Arial" w:eastAsia="Arial" w:hAnsi="Arial"/>
          <w:sz w:val="18"/>
          <w:szCs w:val="18"/>
          <w:color w:val="auto"/>
        </w:rPr>
        <w:t>In our Resale segment, we acquire tckets to resell on secondary tcketng marketplaces, including our own. Our Resale segment also provides internal research and development support for Skybox and our ongoing eforts to deliver industry-leading seller sofware and tools.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 and Non-GAAP Financial Measure</w:t>
      </w:r>
    </w:p>
    <w:p>
      <w:pPr>
        <w:spacing w:after="0" w:line="16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use the following metrics to evaluate our performance, identfy trends, formulate fnancial projectons, and make strategic decisions. We believe these metrics provide useful informaton to investors and others in understanding and evaluatng our results of operatons in the same manner as our management team.</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key business metrics and non-GAAP fnancial measure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6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0"/>
              </w:rPr>
              <w:t>Three Months Ended September 30,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0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33"/>
        </w:trPr>
        <w:tc>
          <w:tcPr>
            <w:tcW w:w="4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440" w:type="dxa"/>
            <w:vAlign w:val="bottom"/>
            <w:vMerge w:val="restart"/>
          </w:tcPr>
          <w:p>
            <w:pPr>
              <w:ind w:left="20"/>
              <w:spacing w:after="0"/>
              <w:rPr>
                <w:sz w:val="20"/>
                <w:szCs w:val="20"/>
                <w:color w:val="auto"/>
              </w:rPr>
            </w:pPr>
            <w:r>
              <w:rPr>
                <w:rFonts w:ascii="Arial" w:cs="Arial" w:eastAsia="Arial" w:hAnsi="Arial"/>
                <w:sz w:val="18"/>
                <w:szCs w:val="18"/>
                <w:color w:val="auto"/>
              </w:rPr>
              <w:t>Marketplace GOV</w:t>
            </w:r>
            <w:r>
              <w:rPr>
                <w:rFonts w:ascii="Arial" w:cs="Arial" w:eastAsia="Arial" w:hAnsi="Arial"/>
                <w:sz w:val="24"/>
                <w:szCs w:val="24"/>
                <w:color w:val="auto"/>
                <w:vertAlign w:val="superscript"/>
              </w:rPr>
              <w:t>(1)</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90"/>
        </w:trPr>
        <w:tc>
          <w:tcPr>
            <w:tcW w:w="4440" w:type="dxa"/>
            <w:vAlign w:val="bottom"/>
            <w:vMerge w:val="continue"/>
          </w:tcPr>
          <w:p>
            <w:pPr>
              <w:spacing w:after="0"/>
              <w:rPr>
                <w:sz w:val="16"/>
                <w:szCs w:val="16"/>
                <w:color w:val="auto"/>
              </w:rPr>
            </w:pPr>
          </w:p>
        </w:tc>
        <w:tc>
          <w:tcPr>
            <w:tcW w:w="180" w:type="dxa"/>
            <w:vAlign w:val="bottom"/>
          </w:tcPr>
          <w:p>
            <w:pPr>
              <w:jc w:val="right"/>
              <w:spacing w:after="0" w:line="190"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0"/>
              <w:spacing w:after="0" w:line="190" w:lineRule="exact"/>
              <w:rPr>
                <w:sz w:val="20"/>
                <w:szCs w:val="20"/>
                <w:color w:val="auto"/>
              </w:rPr>
            </w:pPr>
            <w:r>
              <w:rPr>
                <w:rFonts w:ascii="Arial" w:cs="Arial" w:eastAsia="Arial" w:hAnsi="Arial"/>
                <w:sz w:val="18"/>
                <w:szCs w:val="18"/>
                <w:color w:val="auto"/>
              </w:rPr>
              <w:t>998,933</w:t>
            </w:r>
          </w:p>
        </w:tc>
        <w:tc>
          <w:tcPr>
            <w:tcW w:w="220" w:type="dxa"/>
            <w:vAlign w:val="bottom"/>
          </w:tcPr>
          <w:p>
            <w:pPr>
              <w:spacing w:after="0"/>
              <w:rPr>
                <w:sz w:val="16"/>
                <w:szCs w:val="16"/>
                <w:color w:val="auto"/>
              </w:rPr>
            </w:pPr>
          </w:p>
        </w:tc>
        <w:tc>
          <w:tcPr>
            <w:tcW w:w="320" w:type="dxa"/>
            <w:vAlign w:val="bottom"/>
          </w:tcPr>
          <w:p>
            <w:pPr>
              <w:jc w:val="right"/>
              <w:ind w:right="130"/>
              <w:spacing w:after="0" w:line="190"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line="190" w:lineRule="exact"/>
              <w:rPr>
                <w:sz w:val="20"/>
                <w:szCs w:val="20"/>
                <w:color w:val="auto"/>
              </w:rPr>
            </w:pPr>
            <w:r>
              <w:rPr>
                <w:rFonts w:ascii="Arial" w:cs="Arial" w:eastAsia="Arial" w:hAnsi="Arial"/>
                <w:sz w:val="18"/>
                <w:szCs w:val="18"/>
                <w:color w:val="auto"/>
              </w:rPr>
              <w:t>781,834</w:t>
            </w:r>
          </w:p>
        </w:tc>
        <w:tc>
          <w:tcPr>
            <w:tcW w:w="160" w:type="dxa"/>
            <w:vAlign w:val="bottom"/>
          </w:tcPr>
          <w:p>
            <w:pPr>
              <w:spacing w:after="0"/>
              <w:rPr>
                <w:sz w:val="16"/>
                <w:szCs w:val="16"/>
                <w:color w:val="auto"/>
              </w:rPr>
            </w:pPr>
          </w:p>
        </w:tc>
        <w:tc>
          <w:tcPr>
            <w:tcW w:w="200" w:type="dxa"/>
            <w:vAlign w:val="bottom"/>
          </w:tcPr>
          <w:p>
            <w:pPr>
              <w:jc w:val="right"/>
              <w:spacing w:after="0" w:line="190" w:lineRule="exact"/>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line="190" w:lineRule="exact"/>
              <w:rPr>
                <w:sz w:val="20"/>
                <w:szCs w:val="20"/>
                <w:color w:val="auto"/>
              </w:rPr>
            </w:pPr>
            <w:r>
              <w:rPr>
                <w:rFonts w:ascii="Arial" w:cs="Arial" w:eastAsia="Arial" w:hAnsi="Arial"/>
                <w:sz w:val="18"/>
                <w:szCs w:val="18"/>
                <w:color w:val="auto"/>
              </w:rPr>
              <w:t>2,808,200</w:t>
            </w:r>
          </w:p>
        </w:tc>
        <w:tc>
          <w:tcPr>
            <w:tcW w:w="180" w:type="dxa"/>
            <w:vAlign w:val="bottom"/>
          </w:tcPr>
          <w:p>
            <w:pPr>
              <w:spacing w:after="0"/>
              <w:rPr>
                <w:sz w:val="16"/>
                <w:szCs w:val="16"/>
                <w:color w:val="auto"/>
              </w:rPr>
            </w:pPr>
          </w:p>
        </w:tc>
        <w:tc>
          <w:tcPr>
            <w:tcW w:w="320" w:type="dxa"/>
            <w:vAlign w:val="bottom"/>
          </w:tcPr>
          <w:p>
            <w:pPr>
              <w:jc w:val="right"/>
              <w:ind w:right="110"/>
              <w:spacing w:after="0" w:line="190"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line="190" w:lineRule="exact"/>
              <w:rPr>
                <w:sz w:val="20"/>
                <w:szCs w:val="20"/>
                <w:color w:val="auto"/>
              </w:rPr>
            </w:pPr>
            <w:r>
              <w:rPr>
                <w:rFonts w:ascii="Arial" w:cs="Arial" w:eastAsia="Arial" w:hAnsi="Arial"/>
                <w:sz w:val="18"/>
                <w:szCs w:val="18"/>
                <w:color w:val="auto"/>
              </w:rPr>
              <w:t>2,338,789</w:t>
            </w: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line="243" w:lineRule="exact"/>
              <w:rPr>
                <w:sz w:val="20"/>
                <w:szCs w:val="20"/>
                <w:color w:val="auto"/>
              </w:rPr>
            </w:pPr>
            <w:r>
              <w:rPr>
                <w:rFonts w:ascii="Arial" w:cs="Arial" w:eastAsia="Arial" w:hAnsi="Arial"/>
                <w:sz w:val="18"/>
                <w:szCs w:val="18"/>
                <w:color w:val="auto"/>
              </w:rPr>
              <w:t>Total Marketplace orders</w:t>
            </w:r>
            <w:r>
              <w:rPr>
                <w:rFonts w:ascii="Arial" w:cs="Arial" w:eastAsia="Arial" w:hAnsi="Arial"/>
                <w:sz w:val="24"/>
                <w:szCs w:val="24"/>
                <w:color w:val="auto"/>
                <w:vertAlign w:val="superscript"/>
              </w:rPr>
              <w:t>(2)</w:t>
            </w: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3,022</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2,572</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7,924</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7,001</w:t>
            </w: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line="243" w:lineRule="exact"/>
              <w:rPr>
                <w:sz w:val="20"/>
                <w:szCs w:val="20"/>
                <w:color w:val="auto"/>
              </w:rPr>
            </w:pPr>
            <w:r>
              <w:rPr>
                <w:rFonts w:ascii="Arial" w:cs="Arial" w:eastAsia="Arial" w:hAnsi="Arial"/>
                <w:sz w:val="18"/>
                <w:szCs w:val="18"/>
                <w:color w:val="auto"/>
              </w:rPr>
              <w:t>Total Resale orders</w:t>
            </w:r>
            <w:r>
              <w:rPr>
                <w:rFonts w:ascii="Arial" w:cs="Arial" w:eastAsia="Arial" w:hAnsi="Arial"/>
                <w:sz w:val="24"/>
                <w:szCs w:val="24"/>
                <w:color w:val="auto"/>
                <w:vertAlign w:val="superscript"/>
              </w:rPr>
              <w:t>(3)</w:t>
            </w: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273</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86"/>
        </w:trPr>
        <w:tc>
          <w:tcPr>
            <w:tcW w:w="4440" w:type="dxa"/>
            <w:vAlign w:val="bottom"/>
          </w:tcPr>
          <w:p>
            <w:pPr>
              <w:ind w:lef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24"/>
                <w:szCs w:val="24"/>
                <w:color w:val="auto"/>
                <w:vertAlign w:val="superscript"/>
              </w:rPr>
              <w:t>(4)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33,367</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28,284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106,879</w:t>
            </w:r>
          </w:p>
        </w:tc>
        <w:tc>
          <w:tcPr>
            <w:tcW w:w="5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79,625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-610235</wp:posOffset>
            </wp:positionV>
            <wp:extent cx="7132320" cy="1543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-301625</wp:posOffset>
            </wp:positionV>
            <wp:extent cx="7132320" cy="1543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2" w:lineRule="exact"/>
        <w:rPr>
          <w:sz w:val="20"/>
          <w:szCs w:val="20"/>
          <w:color w:val="auto"/>
        </w:rPr>
      </w:pPr>
    </w:p>
    <w:p>
      <w:pPr>
        <w:jc w:val="both"/>
        <w:ind w:left="1020" w:hanging="503"/>
        <w:spacing w:after="0" w:line="278" w:lineRule="auto"/>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Marketplace GOV represents the total transactonal amount of Marketplace segment orders placed on our platorm in a period, inclusive of fees, exclusive of taxes, and net of event cancellatons that occurred during that period. Marketplace GOV was negatvely impacted by event cancellatons in the amount of $10.1 million and $33.9 million during the three and nine months ended September 30, 2023, respectvely, and $13.8 million and $63.3 million during the three and nine months ended September 30, 2022, respectvely.</w:t>
      </w:r>
    </w:p>
    <w:p>
      <w:pPr>
        <w:spacing w:after="0" w:line="106" w:lineRule="exact"/>
        <w:rPr>
          <w:rFonts w:ascii="Arial" w:cs="Arial" w:eastAsia="Arial" w:hAnsi="Arial"/>
          <w:sz w:val="17"/>
          <w:szCs w:val="17"/>
          <w:color w:val="auto"/>
        </w:rPr>
      </w:pPr>
    </w:p>
    <w:p>
      <w:pPr>
        <w:jc w:val="both"/>
        <w:ind w:left="1020" w:hanging="503"/>
        <w:spacing w:after="0" w:line="258"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Total Marketplace orders represents the volume of Marketplace segment orders placed on our platorm in a period, net of event cancellatons that occurred during that period. During the three and nine months ended September 30, 2023, our Marketplace segment experienced 28,203 and 78,034 event cancellatons, respectvely, compared to 42,942 and 170,258 event cancellatons during the three and nine months ended September 30, 2022, respectvely.</w:t>
      </w:r>
    </w:p>
    <w:p>
      <w:pPr>
        <w:spacing w:after="0" w:line="122" w:lineRule="exact"/>
        <w:rPr>
          <w:rFonts w:ascii="Arial" w:cs="Arial" w:eastAsia="Arial" w:hAnsi="Arial"/>
          <w:sz w:val="18"/>
          <w:szCs w:val="18"/>
          <w:color w:val="auto"/>
        </w:rPr>
      </w:pPr>
    </w:p>
    <w:p>
      <w:pPr>
        <w:jc w:val="both"/>
        <w:ind w:left="1020" w:hanging="503"/>
        <w:spacing w:after="0" w:line="309" w:lineRule="auto"/>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Total Resale orders represents the volume of Resale segment orders in a period, net of event cancellatons that occurred during that period. During the three and nine months ended September 30, 2023, our Resale segment experienced 851 and 2,363 event cancellatons, respectvely, compared to 1,113 and 4,383 event cancellatons during the three and nine months ended September 30, 2022, respectvely.</w:t>
      </w:r>
    </w:p>
    <w:p>
      <w:pPr>
        <w:spacing w:after="0" w:line="72" w:lineRule="exact"/>
        <w:rPr>
          <w:rFonts w:ascii="Arial" w:cs="Arial" w:eastAsia="Arial" w:hAnsi="Arial"/>
          <w:sz w:val="16"/>
          <w:szCs w:val="16"/>
          <w:color w:val="auto"/>
        </w:rPr>
      </w:pPr>
    </w:p>
    <w:p>
      <w:pPr>
        <w:jc w:val="both"/>
        <w:ind w:left="1020" w:hanging="503"/>
        <w:spacing w:after="0" w:line="258"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EBITDA is a non-GAAP fnancial measure. We believe Adjusted EBITDA provides useful informaton to investors and others in understanding and evaluatng our results of operatons, as well as provides a useful measure for making period-to-period comparisons of our business performance. Refer to the “Adjusted EBITDA” secton below for more informaton and a reconciliaton of Adjusted EBITDA to its most directly comparable GAAP measure.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Marketplace GOV</w:t>
      </w:r>
    </w:p>
    <w:p>
      <w:pPr>
        <w:spacing w:after="0" w:line="1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Marketplace GOV is a key driver of our Marketplace segment revenue. Marketplace GOV represents the total transactonal amount of Marketplace orders in a period, inclusive of fees, exclusive of taxes, and net of event cancellatons that occurred during that period. Marketplace GOV refects our ability to atract and retain customers, as well as the overall health of the industry.</w:t>
      </w:r>
    </w:p>
    <w:p>
      <w:pPr>
        <w:spacing w:after="0" w:line="10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Marketplace GOV is impacted by seasonality, and typically sees increased actvity in the fourth quarter when all major sports leagues are in season and we experience increases in order volume for theater events during the holiday season and concert on-sales for the subsequent year. Quarterly fuctuatons in our Marketplace GOV result</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1" w:name="page32"/>
    <w:bookmarkEnd w:id="31"/>
    <w:p>
      <w:pPr>
        <w:jc w:val="both"/>
        <w:spacing w:after="0" w:line="273" w:lineRule="auto"/>
        <w:rPr>
          <w:sz w:val="20"/>
          <w:szCs w:val="20"/>
          <w:color w:val="auto"/>
        </w:rPr>
      </w:pPr>
      <w:r>
        <w:rPr>
          <w:rFonts w:ascii="Arial" w:cs="Arial" w:eastAsia="Arial" w:hAnsi="Arial"/>
          <w:sz w:val="18"/>
          <w:szCs w:val="18"/>
          <w:color w:val="auto"/>
        </w:rPr>
        <w:t>from the number of cancellatons, the popularity and demand of performers, tours, teams, and events, and the length and team compositon of sports playof series and championship games.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Marketplace Orders</w:t>
      </w:r>
    </w:p>
    <w:p>
      <w:pPr>
        <w:spacing w:after="0" w:line="1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Total Marketplace orders represent the volume of Marketplace segment orders placed on our platorm in a period, net of event cancellatons that occurred during that period. An order can include one or more tckets and/or parking passes. Total Marketplace orders allow us to monitor order volume and beter identfy trends within our Marketplace segment.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Resale Orders</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Total Resale orders represent the volume of Resale segment orders in a period, net of event cancellatons that occurred during that period. An order can include one or more tckets and/or parking passes. Total Resale orders allow us to monitor order volume and beter identfy trends within our Resale segment.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5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present Adjusted EBITDA, which is a non-GAAP fnancial measure, because it is a measure frequently used by analysts, investors, and other interested partes to evaluate companies in our industry. Further, we believe this measure is helpful in highlightng trends in our operatng results because it excludes the impact of items that are outside the control of management or not refectve of ongoing performance related directly to the operaton of our business.</w:t>
      </w:r>
    </w:p>
    <w:p>
      <w:pPr>
        <w:spacing w:after="0" w:line="10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Adjusted EBITDA is a key measure used by our management internally to make operatng decisions, including those related to analyzing operatng expenses, evaluatng performance, and performing strategic planning and annual budgetng. Moreover, we believe Adjusted EBITDA provides useful informaton to investors and others in understanding and evaluatng our results of operatons, as well as provides a useful measure for making period-to-period comparisons of our business performance and highlightng trends in our operatng results.</w:t>
      </w:r>
    </w:p>
    <w:p>
      <w:pPr>
        <w:spacing w:after="0" w:line="12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Adjusted EBITDA is not based on any comprehensive set of accountng rules or principles and should not be considered a substtute for, or superior to, fnancial measures calculated in accordance with GAAP. Adjusted EBITDA does not refect all amounts associated with our operatng results as determined in accordance with GAAP and may exclude recurring costs, such as interest expense, equity-based compensaton, litgaton, setlements and related costs, change in fair value of warrants, change in fair value of derivatve assets and foreign currency revaluaton (gains)/losses. In additon, other companies may calculate Adjusted EBITDA diferently than us, thereby limitng its usefulness as a comparatve tool. We compensate for these limitatons by providing specifc informaton regarding the GAAP amounts excluded from Adjusted EBITDA.</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reconciliaton of Adjusted EBITDA to its most directly comparable GAAP measure, net income (in thousands):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1"/>
        </w:trPr>
        <w:tc>
          <w:tcPr>
            <w:tcW w:w="4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00" w:type="dxa"/>
            <w:vAlign w:val="bottom"/>
            <w:gridSpan w:val="6"/>
          </w:tcPr>
          <w:p>
            <w:pPr>
              <w:ind w:left="40"/>
              <w:spacing w:after="0"/>
              <w:rPr>
                <w:sz w:val="20"/>
                <w:szCs w:val="20"/>
                <w:color w:val="auto"/>
              </w:rPr>
            </w:pPr>
            <w:r>
              <w:rPr>
                <w:rFonts w:ascii="Arial" w:cs="Arial" w:eastAsia="Arial" w:hAnsi="Arial"/>
                <w:sz w:val="18"/>
                <w:szCs w:val="18"/>
                <w:b w:val="1"/>
                <w:bCs w:val="1"/>
                <w:color w:val="auto"/>
              </w:rPr>
              <w:t>Three Months Ended September 30,</w:t>
            </w:r>
          </w:p>
        </w:tc>
        <w:tc>
          <w:tcPr>
            <w:tcW w:w="160" w:type="dxa"/>
            <w:vAlign w:val="bottom"/>
          </w:tcPr>
          <w:p>
            <w:pPr>
              <w:spacing w:after="0"/>
              <w:rPr>
                <w:sz w:val="20"/>
                <w:szCs w:val="20"/>
                <w:color w:val="auto"/>
              </w:rPr>
            </w:pPr>
          </w:p>
        </w:tc>
        <w:tc>
          <w:tcPr>
            <w:tcW w:w="296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89"/>
              </w:rPr>
              <w:t>Nine Months Ended September 30,</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16,018</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18,747</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84,616</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45,945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660" w:type="dxa"/>
            <w:vAlign w:val="bottom"/>
          </w:tcPr>
          <w:p>
            <w:pPr>
              <w:ind w:left="20"/>
              <w:spacing w:after="0"/>
              <w:rPr>
                <w:sz w:val="20"/>
                <w:szCs w:val="20"/>
                <w:color w:val="auto"/>
              </w:rPr>
            </w:pPr>
            <w:r>
              <w:rPr>
                <w:rFonts w:ascii="Arial" w:cs="Arial" w:eastAsia="Arial" w:hAnsi="Arial"/>
                <w:sz w:val="18"/>
                <w:szCs w:val="18"/>
                <w:color w:val="auto"/>
              </w:rPr>
              <w:t>Income tax expense (beneft)</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2,595</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(21,605 )</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 – net</w:t>
            </w:r>
          </w:p>
        </w:tc>
        <w:tc>
          <w:tcPr>
            <w:tcW w:w="1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2,544</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2,901</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8,596</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660" w:type="dxa"/>
            <w:vAlign w:val="bottom"/>
          </w:tcPr>
          <w:p>
            <w:pPr>
              <w:ind w:left="20"/>
              <w:spacing w:after="0"/>
              <w:rPr>
                <w:sz w:val="20"/>
                <w:szCs w:val="20"/>
                <w:color w:val="auto"/>
              </w:rPr>
            </w:pPr>
            <w:r>
              <w:rPr>
                <w:rFonts w:ascii="Arial" w:cs="Arial" w:eastAsia="Arial" w:hAnsi="Arial"/>
                <w:sz w:val="18"/>
                <w:szCs w:val="18"/>
                <w:color w:val="auto"/>
              </w:rPr>
              <w:t>Depreciaton and amortzaton</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3,301</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2,158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8,603</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660" w:type="dxa"/>
            <w:vAlign w:val="bottom"/>
            <w:shd w:val="clear" w:color="auto" w:fill="CFF0FC"/>
          </w:tcPr>
          <w:p>
            <w:pPr>
              <w:ind w:left="20"/>
              <w:spacing w:after="0" w:line="251" w:lineRule="exact"/>
              <w:rPr>
                <w:sz w:val="20"/>
                <w:szCs w:val="20"/>
                <w:color w:val="auto"/>
              </w:rPr>
            </w:pPr>
            <w:r>
              <w:rPr>
                <w:rFonts w:ascii="Arial" w:cs="Arial" w:eastAsia="Arial" w:hAnsi="Arial"/>
                <w:sz w:val="18"/>
                <w:szCs w:val="18"/>
                <w:color w:val="auto"/>
              </w:rPr>
              <w:t>Sales tax liability</w:t>
            </w:r>
            <w:r>
              <w:rPr>
                <w:rFonts w:ascii="Arial" w:cs="Arial" w:eastAsia="Arial" w:hAnsi="Arial"/>
                <w:sz w:val="24"/>
                <w:szCs w:val="24"/>
                <w:color w:val="auto"/>
                <w:vertAlign w:val="superscript"/>
              </w:rPr>
              <w:t>(1)</w:t>
            </w:r>
          </w:p>
        </w:tc>
        <w:tc>
          <w:tcPr>
            <w:tcW w:w="16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(118 )</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line="243" w:lineRule="exact"/>
              <w:rPr>
                <w:sz w:val="20"/>
                <w:szCs w:val="20"/>
                <w:color w:val="auto"/>
              </w:rPr>
            </w:pPr>
            <w:r>
              <w:rPr>
                <w:rFonts w:ascii="Arial" w:cs="Arial" w:eastAsia="Arial" w:hAnsi="Arial"/>
                <w:sz w:val="18"/>
                <w:szCs w:val="18"/>
                <w:color w:val="auto"/>
              </w:rPr>
              <w:t>Transacton costs</w:t>
            </w:r>
            <w:r>
              <w:rPr>
                <w:rFonts w:ascii="Arial" w:cs="Arial" w:eastAsia="Arial" w:hAnsi="Arial"/>
                <w:sz w:val="24"/>
                <w:szCs w:val="24"/>
                <w:color w:val="auto"/>
                <w:vertAlign w:val="superscript"/>
              </w:rPr>
              <w:t>(2)</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2,290</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7,234</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4,285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shd w:val="clear" w:color="auto" w:fill="CFF0FC"/>
          </w:tcPr>
          <w:p>
            <w:pPr>
              <w:ind w:left="20"/>
              <w:spacing w:after="0" w:line="243" w:lineRule="exact"/>
              <w:rPr>
                <w:sz w:val="20"/>
                <w:szCs w:val="20"/>
                <w:color w:val="auto"/>
              </w:rPr>
            </w:pPr>
            <w:r>
              <w:rPr>
                <w:rFonts w:ascii="Arial" w:cs="Arial" w:eastAsia="Arial" w:hAnsi="Arial"/>
                <w:sz w:val="18"/>
                <w:szCs w:val="18"/>
                <w:color w:val="auto"/>
              </w:rPr>
              <w:t>Equity-based compensaton</w:t>
            </w:r>
            <w:r>
              <w:rPr>
                <w:rFonts w:ascii="Arial" w:cs="Arial" w:eastAsia="Arial" w:hAnsi="Arial"/>
                <w:sz w:val="24"/>
                <w:szCs w:val="24"/>
                <w:color w:val="auto"/>
                <w:vertAlign w:val="superscript"/>
              </w:rPr>
              <w:t>(3)</w:t>
            </w:r>
          </w:p>
        </w:tc>
        <w:tc>
          <w:tcPr>
            <w:tcW w:w="1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7,578</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5,073</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20,488</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13,982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line="243" w:lineRule="exact"/>
              <w:rPr>
                <w:sz w:val="20"/>
                <w:szCs w:val="20"/>
                <w:color w:val="auto"/>
              </w:rPr>
            </w:pPr>
            <w:r>
              <w:rPr>
                <w:rFonts w:ascii="Arial" w:cs="Arial" w:eastAsia="Arial" w:hAnsi="Arial"/>
                <w:sz w:val="18"/>
                <w:szCs w:val="18"/>
                <w:color w:val="auto"/>
              </w:rPr>
              <w:t>Loss on extnguishment of debt</w:t>
            </w:r>
            <w:r>
              <w:rPr>
                <w:rFonts w:ascii="Arial" w:cs="Arial" w:eastAsia="Arial" w:hAnsi="Arial"/>
                <w:sz w:val="24"/>
                <w:szCs w:val="24"/>
                <w:color w:val="auto"/>
                <w:vertAlign w:val="superscript"/>
              </w:rPr>
              <w:t>(4)</w:t>
            </w:r>
          </w:p>
        </w:tc>
        <w:tc>
          <w:tcPr>
            <w:tcW w:w="160" w:type="dxa"/>
            <w:vAlign w:val="bottom"/>
          </w:tcPr>
          <w:p>
            <w:pPr>
              <w:spacing w:after="0"/>
              <w:rPr>
                <w:sz w:val="21"/>
                <w:szCs w:val="21"/>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4,285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shd w:val="clear" w:color="auto" w:fill="CFF0FC"/>
          </w:tcPr>
          <w:p>
            <w:pPr>
              <w:ind w:left="20"/>
              <w:spacing w:after="0" w:line="243" w:lineRule="exact"/>
              <w:rPr>
                <w:sz w:val="20"/>
                <w:szCs w:val="20"/>
                <w:color w:val="auto"/>
              </w:rPr>
            </w:pPr>
            <w:r>
              <w:rPr>
                <w:rFonts w:ascii="Arial" w:cs="Arial" w:eastAsia="Arial" w:hAnsi="Arial"/>
                <w:sz w:val="18"/>
                <w:szCs w:val="18"/>
                <w:color w:val="auto"/>
              </w:rPr>
              <w:t>Litgaton, setlements and related costs</w:t>
            </w:r>
            <w:r>
              <w:rPr>
                <w:rFonts w:ascii="Arial" w:cs="Arial" w:eastAsia="Arial" w:hAnsi="Arial"/>
                <w:sz w:val="24"/>
                <w:szCs w:val="24"/>
                <w:color w:val="auto"/>
                <w:vertAlign w:val="superscript"/>
              </w:rPr>
              <w:t>(5)</w:t>
            </w:r>
          </w:p>
        </w:tc>
        <w:tc>
          <w:tcPr>
            <w:tcW w:w="1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line="243" w:lineRule="exact"/>
              <w:rPr>
                <w:sz w:val="20"/>
                <w:szCs w:val="20"/>
                <w:color w:val="auto"/>
              </w:rPr>
            </w:pPr>
            <w:r>
              <w:rPr>
                <w:rFonts w:ascii="Arial" w:cs="Arial" w:eastAsia="Arial" w:hAnsi="Arial"/>
                <w:sz w:val="18"/>
                <w:szCs w:val="18"/>
                <w:color w:val="auto"/>
              </w:rPr>
              <w:t>Change in fair value of warrants</w:t>
            </w:r>
            <w:r>
              <w:rPr>
                <w:rFonts w:ascii="Arial" w:cs="Arial" w:eastAsia="Arial" w:hAnsi="Arial"/>
                <w:sz w:val="24"/>
                <w:szCs w:val="24"/>
                <w:color w:val="auto"/>
                <w:vertAlign w:val="superscript"/>
              </w:rPr>
              <w:t>(6)</w:t>
            </w:r>
          </w:p>
        </w:tc>
        <w:tc>
          <w:tcPr>
            <w:tcW w:w="160" w:type="dxa"/>
            <w:vAlign w:val="bottom"/>
          </w:tcPr>
          <w:p>
            <w:pPr>
              <w:spacing w:after="0"/>
              <w:rPr>
                <w:sz w:val="21"/>
                <w:szCs w:val="21"/>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(1,664 )</w:t>
            </w:r>
          </w:p>
        </w:tc>
        <w:tc>
          <w:tcPr>
            <w:tcW w:w="30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(65 )</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(991 )</w:t>
            </w:r>
          </w:p>
        </w:tc>
        <w:tc>
          <w:tcPr>
            <w:tcW w:w="32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(6,618 )</w:t>
            </w:r>
          </w:p>
        </w:tc>
        <w:tc>
          <w:tcPr>
            <w:tcW w:w="0" w:type="dxa"/>
            <w:vAlign w:val="bottom"/>
          </w:tcPr>
          <w:p>
            <w:pPr>
              <w:spacing w:after="0"/>
              <w:rPr>
                <w:sz w:val="1"/>
                <w:szCs w:val="1"/>
                <w:color w:val="auto"/>
              </w:rPr>
            </w:pPr>
          </w:p>
        </w:tc>
      </w:tr>
      <w:tr>
        <w:trPr>
          <w:trHeight w:val="243"/>
        </w:trPr>
        <w:tc>
          <w:tcPr>
            <w:tcW w:w="4660" w:type="dxa"/>
            <w:vAlign w:val="bottom"/>
            <w:shd w:val="clear" w:color="auto" w:fill="CFF0FC"/>
          </w:tcPr>
          <w:p>
            <w:pPr>
              <w:ind w:left="20"/>
              <w:spacing w:after="0" w:line="243" w:lineRule="exact"/>
              <w:rPr>
                <w:sz w:val="20"/>
                <w:szCs w:val="20"/>
                <w:color w:val="auto"/>
              </w:rPr>
            </w:pPr>
            <w:r>
              <w:rPr>
                <w:rFonts w:ascii="Arial" w:cs="Arial" w:eastAsia="Arial" w:hAnsi="Arial"/>
                <w:sz w:val="18"/>
                <w:szCs w:val="18"/>
                <w:color w:val="auto"/>
              </w:rPr>
              <w:t>Change in fair value of derivatve asset</w:t>
            </w:r>
            <w:r>
              <w:rPr>
                <w:rFonts w:ascii="Arial" w:cs="Arial" w:eastAsia="Arial" w:hAnsi="Arial"/>
                <w:sz w:val="24"/>
                <w:szCs w:val="24"/>
                <w:color w:val="auto"/>
                <w:vertAlign w:val="superscript"/>
              </w:rPr>
              <w:t>(7)</w:t>
            </w:r>
          </w:p>
        </w:tc>
        <w:tc>
          <w:tcPr>
            <w:tcW w:w="1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60" w:type="dxa"/>
            <w:vAlign w:val="bottom"/>
            <w:gridSpan w:val="3"/>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line="243" w:lineRule="exact"/>
              <w:rPr>
                <w:sz w:val="20"/>
                <w:szCs w:val="20"/>
                <w:color w:val="auto"/>
              </w:rPr>
            </w:pPr>
            <w:r>
              <w:rPr>
                <w:rFonts w:ascii="Arial" w:cs="Arial" w:eastAsia="Arial" w:hAnsi="Arial"/>
                <w:sz w:val="18"/>
                <w:szCs w:val="18"/>
                <w:color w:val="auto"/>
              </w:rPr>
              <w:t>Change in fair value of contngent consideraton</w:t>
            </w:r>
            <w:r>
              <w:rPr>
                <w:rFonts w:ascii="Arial" w:cs="Arial" w:eastAsia="Arial" w:hAnsi="Arial"/>
                <w:sz w:val="24"/>
                <w:szCs w:val="24"/>
                <w:color w:val="auto"/>
                <w:vertAlign w:val="superscript"/>
              </w:rPr>
              <w:t>(8)</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(1,220 )</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(998 )</w:t>
            </w:r>
          </w:p>
        </w:tc>
        <w:tc>
          <w:tcPr>
            <w:tcW w:w="32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(1,220 )</w:t>
            </w:r>
          </w:p>
        </w:tc>
        <w:tc>
          <w:tcPr>
            <w:tcW w:w="0" w:type="dxa"/>
            <w:vAlign w:val="bottom"/>
          </w:tcPr>
          <w:p>
            <w:pPr>
              <w:spacing w:after="0"/>
              <w:rPr>
                <w:sz w:val="1"/>
                <w:szCs w:val="1"/>
                <w:color w:val="auto"/>
              </w:rPr>
            </w:pPr>
          </w:p>
        </w:tc>
      </w:tr>
      <w:tr>
        <w:trPr>
          <w:trHeight w:val="243"/>
        </w:trPr>
        <w:tc>
          <w:tcPr>
            <w:tcW w:w="4660" w:type="dxa"/>
            <w:vAlign w:val="bottom"/>
            <w:shd w:val="clear" w:color="auto" w:fill="CFF0FC"/>
          </w:tcPr>
          <w:p>
            <w:pPr>
              <w:ind w:left="20"/>
              <w:spacing w:after="0" w:line="243" w:lineRule="exact"/>
              <w:rPr>
                <w:sz w:val="20"/>
                <w:szCs w:val="20"/>
                <w:color w:val="auto"/>
              </w:rPr>
            </w:pPr>
            <w:r>
              <w:rPr>
                <w:rFonts w:ascii="Arial" w:cs="Arial" w:eastAsia="Arial" w:hAnsi="Arial"/>
                <w:sz w:val="18"/>
                <w:szCs w:val="18"/>
                <w:color w:val="auto"/>
              </w:rPr>
              <w:t>Loss on asset disposals</w:t>
            </w:r>
            <w:r>
              <w:rPr>
                <w:rFonts w:ascii="Arial" w:cs="Arial" w:eastAsia="Arial" w:hAnsi="Arial"/>
                <w:sz w:val="24"/>
                <w:szCs w:val="24"/>
                <w:color w:val="auto"/>
                <w:vertAlign w:val="superscript"/>
              </w:rPr>
              <w:t>(9)</w:t>
            </w:r>
          </w:p>
        </w:tc>
        <w:tc>
          <w:tcPr>
            <w:tcW w:w="1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line="243" w:lineRule="exact"/>
              <w:rPr>
                <w:sz w:val="20"/>
                <w:szCs w:val="20"/>
                <w:color w:val="auto"/>
              </w:rPr>
            </w:pPr>
            <w:r>
              <w:rPr>
                <w:rFonts w:ascii="Arial" w:cs="Arial" w:eastAsia="Arial" w:hAnsi="Arial"/>
                <w:sz w:val="18"/>
                <w:szCs w:val="18"/>
                <w:color w:val="auto"/>
              </w:rPr>
              <w:t>Foreign currency revaluaton losses</w:t>
            </w:r>
            <w:r>
              <w:rPr>
                <w:rFonts w:ascii="Arial" w:cs="Arial" w:eastAsia="Arial" w:hAnsi="Arial"/>
                <w:sz w:val="24"/>
                <w:szCs w:val="24"/>
                <w:color w:val="auto"/>
                <w:vertAlign w:val="superscript"/>
              </w:rPr>
              <w:t>(10)</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542</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542</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4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33,367</w:t>
            </w:r>
          </w:p>
        </w:tc>
        <w:tc>
          <w:tcPr>
            <w:tcW w:w="3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28,284</w:t>
            </w:r>
          </w:p>
        </w:tc>
        <w:tc>
          <w:tcPr>
            <w:tcW w:w="1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106,879</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79,625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-24765</wp:posOffset>
            </wp:positionV>
            <wp:extent cx="774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-7620</wp:posOffset>
            </wp:positionV>
            <wp:extent cx="7747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-24765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6" w:lineRule="exact"/>
        <w:rPr>
          <w:sz w:val="20"/>
          <w:szCs w:val="20"/>
          <w:color w:val="auto"/>
        </w:rPr>
      </w:pPr>
    </w:p>
    <w:p>
      <w:pPr>
        <w:jc w:val="both"/>
        <w:ind w:left="1020" w:hanging="503"/>
        <w:spacing w:after="0" w:line="256"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historically incurred sales tax expense in jurisdictons where we expected to remit sales tax payments but were not yet collectng from customers. During the second half of 2021, we began collectng sales tax from customers in the required jurisdictons. The sales tax liability presented herein represents the tax liability for sales tax prior to the date we began collectng sales tax from customers reduced by abatements received, inclusive of any penaltes and interest assessed by the jurisdictons. The remaining historic sales tax liability payments were made during the year ended December 31, 2022.</w:t>
      </w:r>
    </w:p>
    <w:p>
      <w:pPr>
        <w:spacing w:after="0" w:line="111" w:lineRule="exact"/>
        <w:rPr>
          <w:rFonts w:ascii="Arial" w:cs="Arial" w:eastAsia="Arial" w:hAnsi="Arial"/>
          <w:sz w:val="18"/>
          <w:szCs w:val="18"/>
          <w:color w:val="auto"/>
        </w:rPr>
      </w:pPr>
    </w:p>
    <w:p>
      <w:pPr>
        <w:jc w:val="both"/>
        <w:ind w:left="1020" w:hanging="503"/>
        <w:spacing w:after="0" w:line="256"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consists of legal, accountng, tax and other professional fees; personnel-related costs, which consist of retenton bonuses; and integraton costs. Transacton costs recognized in 2023 were primarily related to the Secondary Ofering and our acquisitons and strategic investments. Transacton costs recognized in 2022 were primarily related to our acquisitons and strategic investments, the refnancing of the June 2017 First Lien Loan with the February 2022 First Lien Loan and our exchange ofering of shares of our Class A common stock for properly tendered public warrants.</w:t>
      </w:r>
    </w:p>
    <w:p>
      <w:pPr>
        <w:spacing w:after="0" w:line="124" w:lineRule="exact"/>
        <w:rPr>
          <w:rFonts w:ascii="Arial" w:cs="Arial" w:eastAsia="Arial" w:hAnsi="Arial"/>
          <w:sz w:val="18"/>
          <w:szCs w:val="18"/>
          <w:color w:val="auto"/>
        </w:rPr>
      </w:pPr>
    </w:p>
    <w:p>
      <w:pPr>
        <w:ind w:left="1020" w:hanging="503"/>
        <w:spacing w:after="0" w:line="273"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incur equity-based compensaton expenses for profts interests issued prior to the Merger Transacton and equity granted pursuant to the 2021 Plan, which we do not consider to be indicatve of our core operatng performance.</w:t>
      </w:r>
    </w:p>
    <w:p>
      <w:pPr>
        <w:spacing w:after="0" w:line="109"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Losses incurred resulted from the extnguishment of the June 2017 First Lien Loan in February 2022.</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This relates to external legal costs, setlement costs and insurance recoveries, which were unrelated to our core business operatons.</w:t>
      </w:r>
    </w:p>
    <w:p>
      <w:pPr>
        <w:spacing w:after="0" w:line="169" w:lineRule="exact"/>
        <w:rPr>
          <w:rFonts w:ascii="Arial" w:cs="Arial" w:eastAsia="Arial" w:hAnsi="Arial"/>
          <w:sz w:val="17"/>
          <w:szCs w:val="17"/>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relates to the revaluaton of warrants to purchase Intermediate Units held by Hoya Topco following the Merger Transacton.</w:t>
      </w:r>
    </w:p>
    <w:p>
      <w:pPr>
        <w:spacing w:after="0" w:line="15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relates to the revaluaton of derivatves recorded at fair value.</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relates to the revaluaton of Vivid Picks cash earnouts.</w:t>
      </w:r>
    </w:p>
    <w:p>
      <w:pPr>
        <w:spacing w:after="0" w:line="15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relates to asset disposals, which are not considered indicatve of our core operatng performance.</w:t>
      </w:r>
    </w:p>
    <w:p>
      <w:pPr>
        <w:spacing w:after="0" w:line="157" w:lineRule="exact"/>
        <w:rPr>
          <w:rFonts w:ascii="Arial" w:cs="Arial" w:eastAsia="Arial" w:hAnsi="Arial"/>
          <w:sz w:val="18"/>
          <w:szCs w:val="18"/>
          <w:color w:val="auto"/>
        </w:rPr>
      </w:pPr>
    </w:p>
    <w:p>
      <w:pPr>
        <w:ind w:left="1020" w:hanging="503"/>
        <w:spacing w:after="0" w:line="273"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relates to unrealized foreign currency revaluaton losses from the remeasurement of non-operatng assets and liabilites denominated in non-functonal currencies on the balance sheet date.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Afectng our Performance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3" w:name="page34"/>
    <w:bookmarkEnd w:id="33"/>
    <w:p>
      <w:pPr>
        <w:jc w:val="both"/>
        <w:ind w:right="60"/>
        <w:spacing w:after="0" w:line="262" w:lineRule="auto"/>
        <w:rPr>
          <w:sz w:val="20"/>
          <w:szCs w:val="20"/>
          <w:color w:val="auto"/>
        </w:rPr>
      </w:pPr>
      <w:r>
        <w:rPr>
          <w:rFonts w:ascii="Arial" w:cs="Arial" w:eastAsia="Arial" w:hAnsi="Arial"/>
          <w:sz w:val="18"/>
          <w:szCs w:val="18"/>
          <w:color w:val="auto"/>
        </w:rPr>
        <w:t>There have been no material changes from the “Key Factors Afectng Our Performance” discussed in the “Management’s Discussion and Analysis of Financial Conditon and Results of Operatons” secton of our 2022 Form 10-K. Our fnancial positon and results of operatons depend to a signifcant extent on those factors.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Acquisiton</w:t>
      </w:r>
    </w:p>
    <w:p>
      <w:pPr>
        <w:spacing w:after="0" w:line="158" w:lineRule="exact"/>
        <w:rPr>
          <w:sz w:val="20"/>
          <w:szCs w:val="20"/>
          <w:color w:val="auto"/>
        </w:rPr>
      </w:pPr>
    </w:p>
    <w:p>
      <w:pPr>
        <w:jc w:val="both"/>
        <w:ind w:right="60"/>
        <w:spacing w:after="0" w:line="258" w:lineRule="auto"/>
        <w:rPr>
          <w:sz w:val="20"/>
          <w:szCs w:val="20"/>
          <w:color w:val="auto"/>
        </w:rPr>
      </w:pPr>
      <w:r>
        <w:rPr>
          <w:rFonts w:ascii="Arial" w:cs="Arial" w:eastAsia="Arial" w:hAnsi="Arial"/>
          <w:sz w:val="18"/>
          <w:szCs w:val="18"/>
          <w:color w:val="auto"/>
        </w:rPr>
        <w:t>On September 8, 2023 (the "Acquisiton Date"), we acquired 100% of the outstanding shares of WD Holdings Co., Ltd. ("Wavedash"), an online tcket marketplace headquartered in Tokyo, Japan. The purchase price was JPY 10,946.1 million, or approximately $74.3 million based on the exchange rate in efect on the Acquisiton Date, before considering the net efect of cash acquired. We fnanced the transacton at closing with cash on hand. The acquisiton was accounted for as an acquisiton of a business in accordance with the acquisiton method of accountng.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and Nine Months Ended September 30, 2023 and 2022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operatons (in thousands, except percentages):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2"/>
              </w:rPr>
              <w:t>Three Months Ended</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3"/>
              </w:rPr>
              <w:t>Nine Months Ended</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2"/>
            <w:vMerge w:val="restart"/>
          </w:tcPr>
          <w:p>
            <w:pPr>
              <w:jc w:val="right"/>
              <w:ind w:right="288"/>
              <w:spacing w:after="0"/>
              <w:rPr>
                <w:sz w:val="20"/>
                <w:szCs w:val="20"/>
                <w:color w:val="auto"/>
              </w:rPr>
            </w:pPr>
            <w:r>
              <w:rPr>
                <w:rFonts w:ascii="Arial" w:cs="Arial" w:eastAsia="Arial" w:hAnsi="Arial"/>
                <w:sz w:val="14"/>
                <w:szCs w:val="14"/>
                <w:b w:val="1"/>
                <w:bCs w:val="1"/>
                <w:color w:val="auto"/>
                <w:w w:val="85"/>
              </w:rPr>
              <w:t>Change</w:t>
            </w:r>
          </w:p>
        </w:tc>
        <w:tc>
          <w:tcPr>
            <w:tcW w:w="1060" w:type="dxa"/>
            <w:vAlign w:val="bottom"/>
            <w:gridSpan w:val="2"/>
            <w:vMerge w:val="restart"/>
          </w:tcPr>
          <w:p>
            <w:pPr>
              <w:jc w:val="right"/>
              <w:ind w:right="288"/>
              <w:spacing w:after="0"/>
              <w:rPr>
                <w:sz w:val="20"/>
                <w:szCs w:val="20"/>
                <w:color w:val="auto"/>
              </w:rPr>
            </w:pPr>
            <w:r>
              <w:rPr>
                <w:rFonts w:ascii="Arial" w:cs="Arial" w:eastAsia="Arial" w:hAnsi="Arial"/>
                <w:sz w:val="14"/>
                <w:szCs w:val="14"/>
                <w:b w:val="1"/>
                <w:bCs w:val="1"/>
                <w:color w:val="auto"/>
              </w:rPr>
              <w:t>% Change</w:t>
            </w: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1"/>
              </w:rPr>
              <w:t>Change</w:t>
            </w:r>
          </w:p>
        </w:tc>
        <w:tc>
          <w:tcPr>
            <w:tcW w:w="102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128"/>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128"/>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128"/>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12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Revenues</w:t>
            </w:r>
          </w:p>
        </w:tc>
        <w:tc>
          <w:tcPr>
            <w:tcW w:w="1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188,133</w:t>
            </w:r>
          </w:p>
        </w:tc>
        <w:tc>
          <w:tcPr>
            <w:tcW w:w="2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156,818</w:t>
            </w:r>
          </w:p>
        </w:tc>
        <w:tc>
          <w:tcPr>
            <w:tcW w:w="2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31,315</w:t>
            </w:r>
          </w:p>
        </w:tc>
        <w:tc>
          <w:tcPr>
            <w:tcW w:w="24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514,576</w:t>
            </w: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435,284</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79,292</w:t>
            </w:r>
          </w:p>
        </w:tc>
        <w:tc>
          <w:tcPr>
            <w:tcW w:w="22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w w:val="74"/>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Costs and expenses:</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Cost of revenues (exclusive of depreciaton and amortzaton</w:t>
            </w: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shown separately below)</w:t>
            </w:r>
          </w:p>
        </w:tc>
        <w:tc>
          <w:tcPr>
            <w:tcW w:w="14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50,462</w:t>
            </w:r>
          </w:p>
        </w:tc>
        <w:tc>
          <w:tcPr>
            <w:tcW w:w="2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37,617</w:t>
            </w:r>
          </w:p>
        </w:tc>
        <w:tc>
          <w:tcPr>
            <w:tcW w:w="26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12,845</w:t>
            </w:r>
          </w:p>
        </w:tc>
        <w:tc>
          <w:tcPr>
            <w:tcW w:w="24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CFF0FC"/>
            </w:tcBorders>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34 %</w:t>
            </w:r>
          </w:p>
        </w:tc>
        <w:tc>
          <w:tcPr>
            <w:tcW w:w="14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130,838</w:t>
            </w:r>
          </w:p>
        </w:tc>
        <w:tc>
          <w:tcPr>
            <w:tcW w:w="2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102,203</w:t>
            </w:r>
          </w:p>
        </w:tc>
        <w:tc>
          <w:tcPr>
            <w:tcW w:w="2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28,635</w:t>
            </w:r>
          </w:p>
        </w:tc>
        <w:tc>
          <w:tcPr>
            <w:tcW w:w="22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28 %</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740" w:type="dxa"/>
            <w:vAlign w:val="bottom"/>
          </w:tcPr>
          <w:p>
            <w:pPr>
              <w:ind w:left="20"/>
              <w:spacing w:after="0"/>
              <w:rPr>
                <w:sz w:val="20"/>
                <w:szCs w:val="20"/>
                <w:color w:val="auto"/>
              </w:rPr>
            </w:pPr>
            <w:r>
              <w:rPr>
                <w:rFonts w:ascii="Arial" w:cs="Arial" w:eastAsia="Arial" w:hAnsi="Arial"/>
                <w:sz w:val="14"/>
                <w:szCs w:val="14"/>
                <w:color w:val="auto"/>
              </w:rPr>
              <w:t>Marketng and selling</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77,006</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66,323</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10,683</w:t>
            </w:r>
          </w:p>
        </w:tc>
        <w:tc>
          <w:tcPr>
            <w:tcW w:w="240" w:type="dxa"/>
            <w:vAlign w:val="bottom"/>
          </w:tcPr>
          <w:p>
            <w:pPr>
              <w:spacing w:after="0"/>
              <w:rPr>
                <w:sz w:val="15"/>
                <w:szCs w:val="15"/>
                <w:color w:val="auto"/>
              </w:rPr>
            </w:pPr>
          </w:p>
        </w:tc>
        <w:tc>
          <w:tcPr>
            <w:tcW w:w="1060" w:type="dxa"/>
            <w:vAlign w:val="bottom"/>
            <w:gridSpan w:val="2"/>
          </w:tcPr>
          <w:p>
            <w:pPr>
              <w:jc w:val="right"/>
              <w:ind w:right="28"/>
              <w:spacing w:after="0"/>
              <w:rPr>
                <w:sz w:val="20"/>
                <w:szCs w:val="20"/>
                <w:color w:val="auto"/>
              </w:rPr>
            </w:pPr>
            <w:r>
              <w:rPr>
                <w:rFonts w:ascii="Arial" w:cs="Arial" w:eastAsia="Arial" w:hAnsi="Arial"/>
                <w:sz w:val="14"/>
                <w:szCs w:val="14"/>
                <w:color w:val="auto"/>
              </w:rPr>
              <w:t>16 %</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196,970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179,963</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17,007</w:t>
            </w:r>
          </w:p>
        </w:tc>
        <w:tc>
          <w:tcPr>
            <w:tcW w:w="22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9 %</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General and administratve</w:t>
            </w:r>
          </w:p>
        </w:tc>
        <w:tc>
          <w:tcPr>
            <w:tcW w:w="14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37,225</w:t>
            </w:r>
          </w:p>
        </w:tc>
        <w:tc>
          <w:tcPr>
            <w:tcW w:w="2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30,239</w:t>
            </w:r>
          </w:p>
        </w:tc>
        <w:tc>
          <w:tcPr>
            <w:tcW w:w="2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6,986</w:t>
            </w:r>
          </w:p>
        </w:tc>
        <w:tc>
          <w:tcPr>
            <w:tcW w:w="240" w:type="dxa"/>
            <w:vAlign w:val="bottom"/>
            <w:tcBorders>
              <w:bottom w:val="single" w:sz="8" w:color="CFF0FC"/>
            </w:tcBorders>
            <w:shd w:val="clear" w:color="auto" w:fill="CFF0FC"/>
          </w:tcPr>
          <w:p>
            <w:pPr>
              <w:spacing w:after="0"/>
              <w:rPr>
                <w:sz w:val="15"/>
                <w:szCs w:val="15"/>
                <w:color w:val="auto"/>
              </w:rPr>
            </w:pPr>
          </w:p>
        </w:tc>
        <w:tc>
          <w:tcPr>
            <w:tcW w:w="1060" w:type="dxa"/>
            <w:vAlign w:val="bottom"/>
            <w:tcBorders>
              <w:bottom w:val="single" w:sz="8" w:color="CFF0FC"/>
            </w:tcBorders>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23 %</w:t>
            </w:r>
          </w:p>
        </w:tc>
        <w:tc>
          <w:tcPr>
            <w:tcW w:w="14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107,921</w:t>
            </w: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95,721</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12,200</w:t>
            </w:r>
          </w:p>
        </w:tc>
        <w:tc>
          <w:tcPr>
            <w:tcW w:w="22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13 %</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740" w:type="dxa"/>
            <w:vAlign w:val="bottom"/>
          </w:tcPr>
          <w:p>
            <w:pPr>
              <w:ind w:left="20"/>
              <w:spacing w:after="0"/>
              <w:rPr>
                <w:sz w:val="20"/>
                <w:szCs w:val="20"/>
                <w:color w:val="auto"/>
              </w:rPr>
            </w:pPr>
            <w:r>
              <w:rPr>
                <w:rFonts w:ascii="Arial" w:cs="Arial" w:eastAsia="Arial" w:hAnsi="Arial"/>
                <w:sz w:val="14"/>
                <w:szCs w:val="14"/>
                <w:color w:val="auto"/>
              </w:rPr>
              <w:t>Depreciaton and amortzaton</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3,301</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2,158</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1,143</w:t>
            </w:r>
          </w:p>
        </w:tc>
        <w:tc>
          <w:tcPr>
            <w:tcW w:w="240" w:type="dxa"/>
            <w:vAlign w:val="bottom"/>
          </w:tcPr>
          <w:p>
            <w:pPr>
              <w:spacing w:after="0"/>
              <w:rPr>
                <w:sz w:val="15"/>
                <w:szCs w:val="15"/>
                <w:color w:val="auto"/>
              </w:rPr>
            </w:pPr>
          </w:p>
        </w:tc>
        <w:tc>
          <w:tcPr>
            <w:tcW w:w="1060" w:type="dxa"/>
            <w:vAlign w:val="bottom"/>
            <w:gridSpan w:val="2"/>
          </w:tcPr>
          <w:p>
            <w:pPr>
              <w:jc w:val="right"/>
              <w:ind w:right="28"/>
              <w:spacing w:after="0"/>
              <w:rPr>
                <w:sz w:val="20"/>
                <w:szCs w:val="20"/>
                <w:color w:val="auto"/>
              </w:rPr>
            </w:pPr>
            <w:r>
              <w:rPr>
                <w:rFonts w:ascii="Arial" w:cs="Arial" w:eastAsia="Arial" w:hAnsi="Arial"/>
                <w:sz w:val="14"/>
                <w:szCs w:val="14"/>
                <w:color w:val="auto"/>
              </w:rPr>
              <w:t>53 %</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8,603</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5,269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3,334</w:t>
            </w:r>
          </w:p>
        </w:tc>
        <w:tc>
          <w:tcPr>
            <w:tcW w:w="22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63 %</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Change in fair value of contngent consideraton</w:t>
            </w: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(1,220 )</w:t>
            </w:r>
          </w:p>
        </w:tc>
        <w:tc>
          <w:tcPr>
            <w:tcW w:w="8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1,240</w:t>
            </w:r>
          </w:p>
        </w:tc>
        <w:tc>
          <w:tcPr>
            <w:tcW w:w="24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102 %</w:t>
            </w:r>
          </w:p>
        </w:tc>
        <w:tc>
          <w:tcPr>
            <w:tcW w:w="14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(998 )</w:t>
            </w:r>
          </w:p>
        </w:tc>
        <w:tc>
          <w:tcPr>
            <w:tcW w:w="14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(1,220 )</w:t>
            </w:r>
          </w:p>
        </w:tc>
        <w:tc>
          <w:tcPr>
            <w:tcW w:w="8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222</w:t>
            </w:r>
          </w:p>
        </w:tc>
        <w:tc>
          <w:tcPr>
            <w:tcW w:w="2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18 %</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Income from operatons</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20,119</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21,701</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(1,582 )</w:t>
            </w: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 xml:space="preserve">(7 </w:t>
            </w:r>
            <w:r>
              <w:rPr>
                <w:rFonts w:ascii="Arial" w:cs="Arial" w:eastAsia="Arial" w:hAnsi="Arial"/>
                <w:sz w:val="14"/>
                <w:szCs w:val="14"/>
                <w:b w:val="1"/>
                <w:bCs w:val="1"/>
                <w:color w:val="auto"/>
                <w:highlight w:val="white"/>
              </w:rPr>
              <w:t>)</w:t>
            </w: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71,242</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53,348</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17,894</w:t>
            </w:r>
          </w:p>
        </w:tc>
        <w:tc>
          <w:tcPr>
            <w:tcW w:w="22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 xml:space="preserve">34 </w:t>
            </w:r>
            <w:r>
              <w:rPr>
                <w:rFonts w:ascii="Arial" w:cs="Arial" w:eastAsia="Arial" w:hAnsi="Arial"/>
                <w:sz w:val="14"/>
                <w:szCs w:val="14"/>
                <w:b w:val="1"/>
                <w:bCs w:val="1"/>
                <w:color w:val="auto"/>
                <w:highlight w:val="white"/>
              </w:rPr>
              <w:t>%</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7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740" w:type="dxa"/>
            <w:vAlign w:val="bottom"/>
          </w:tcPr>
          <w:p>
            <w:pPr>
              <w:ind w:left="20"/>
              <w:spacing w:after="0"/>
              <w:rPr>
                <w:sz w:val="20"/>
                <w:szCs w:val="20"/>
                <w:color w:val="auto"/>
              </w:rPr>
            </w:pPr>
            <w:r>
              <w:rPr>
                <w:rFonts w:ascii="Arial" w:cs="Arial" w:eastAsia="Arial" w:hAnsi="Arial"/>
                <w:sz w:val="14"/>
                <w:szCs w:val="14"/>
                <w:color w:val="auto"/>
              </w:rPr>
              <w:t>Interest expense – net</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2,544</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2,901</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28"/>
              <w:spacing w:after="0"/>
              <w:rPr>
                <w:sz w:val="20"/>
                <w:szCs w:val="20"/>
                <w:color w:val="auto"/>
              </w:rPr>
            </w:pPr>
            <w:r>
              <w:rPr>
                <w:rFonts w:ascii="Arial" w:cs="Arial" w:eastAsia="Arial" w:hAnsi="Arial"/>
                <w:sz w:val="14"/>
                <w:szCs w:val="14"/>
                <w:color w:val="auto"/>
              </w:rPr>
              <w:t>(357 )</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(12 )%</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8,596</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9,542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(946 )</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192"/>
        </w:trPr>
        <w:tc>
          <w:tcPr>
            <w:tcW w:w="3740" w:type="dxa"/>
            <w:vAlign w:val="bottom"/>
          </w:tcPr>
          <w:p>
            <w:pPr>
              <w:ind w:left="20"/>
              <w:spacing w:after="0"/>
              <w:rPr>
                <w:sz w:val="20"/>
                <w:szCs w:val="20"/>
                <w:color w:val="auto"/>
              </w:rPr>
            </w:pPr>
            <w:r>
              <w:rPr>
                <w:rFonts w:ascii="Arial" w:cs="Arial" w:eastAsia="Arial" w:hAnsi="Arial"/>
                <w:sz w:val="14"/>
                <w:szCs w:val="14"/>
                <w:color w:val="auto"/>
              </w:rPr>
              <w:t>Loss on extnguishment of debt</w:t>
            </w:r>
          </w:p>
        </w:tc>
        <w:tc>
          <w:tcPr>
            <w:tcW w:w="140" w:type="dxa"/>
            <w:vAlign w:val="bottom"/>
          </w:tcPr>
          <w:p>
            <w:pPr>
              <w:spacing w:after="0"/>
              <w:rPr>
                <w:sz w:val="16"/>
                <w:szCs w:val="16"/>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2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168"/>
              <w:spacing w:after="0"/>
              <w:rPr>
                <w:sz w:val="20"/>
                <w:szCs w:val="20"/>
                <w:color w:val="auto"/>
              </w:rPr>
            </w:pPr>
            <w:r>
              <w:rPr>
                <w:rFonts w:ascii="Arial" w:cs="Arial" w:eastAsia="Arial" w:hAnsi="Arial"/>
                <w:sz w:val="14"/>
                <w:szCs w:val="14"/>
                <w:color w:val="auto"/>
              </w:rPr>
              <w:t>— %</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4,285</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(4,285 )</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228"/>
        </w:trPr>
        <w:tc>
          <w:tcPr>
            <w:tcW w:w="374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14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(1,038 )</w:t>
            </w:r>
          </w:p>
        </w:tc>
        <w:tc>
          <w:tcPr>
            <w:tcW w:w="14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(65 )</w:t>
            </w:r>
          </w:p>
        </w:tc>
        <w:tc>
          <w:tcPr>
            <w:tcW w:w="80" w:type="dxa"/>
            <w:vAlign w:val="bottom"/>
          </w:tcPr>
          <w:p>
            <w:pPr>
              <w:spacing w:after="0"/>
              <w:rPr>
                <w:sz w:val="19"/>
                <w:szCs w:val="19"/>
                <w:color w:val="auto"/>
              </w:rPr>
            </w:pPr>
          </w:p>
        </w:tc>
        <w:tc>
          <w:tcPr>
            <w:tcW w:w="820" w:type="dxa"/>
            <w:vAlign w:val="bottom"/>
            <w:gridSpan w:val="2"/>
          </w:tcPr>
          <w:p>
            <w:pPr>
              <w:jc w:val="right"/>
              <w:ind w:right="128"/>
              <w:spacing w:after="0"/>
              <w:rPr>
                <w:sz w:val="20"/>
                <w:szCs w:val="20"/>
                <w:color w:val="auto"/>
              </w:rPr>
            </w:pPr>
            <w:r>
              <w:rPr>
                <w:rFonts w:ascii="Arial" w:cs="Arial" w:eastAsia="Arial" w:hAnsi="Arial"/>
                <w:sz w:val="14"/>
                <w:szCs w:val="14"/>
                <w:color w:val="auto"/>
              </w:rPr>
              <w:t>(973 )</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(1,497 )%</w:t>
            </w:r>
          </w:p>
        </w:tc>
        <w:tc>
          <w:tcPr>
            <w:tcW w:w="1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(365 )</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(6,618 )</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6,253</w:t>
            </w:r>
          </w:p>
        </w:tc>
        <w:tc>
          <w:tcPr>
            <w:tcW w:w="220" w:type="dxa"/>
            <w:vAlign w:val="bottom"/>
          </w:tcPr>
          <w:p>
            <w:pPr>
              <w:spacing w:after="0"/>
              <w:rPr>
                <w:sz w:val="19"/>
                <w:szCs w:val="19"/>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4"/>
                <w:szCs w:val="14"/>
                <w:color w:val="auto"/>
              </w:rPr>
              <w:t>94 %</w:t>
            </w: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Income before income taxes</w:t>
            </w:r>
          </w:p>
        </w:tc>
        <w:tc>
          <w:tcPr>
            <w:tcW w:w="14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18,613</w:t>
            </w: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18,865</w:t>
            </w:r>
          </w:p>
        </w:tc>
        <w:tc>
          <w:tcPr>
            <w:tcW w:w="260" w:type="dxa"/>
            <w:vAlign w:val="bottom"/>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(252</w:t>
            </w:r>
          </w:p>
        </w:tc>
        <w:tc>
          <w:tcPr>
            <w:tcW w:w="240" w:type="dxa"/>
            <w:vAlign w:val="bottom"/>
            <w:shd w:val="clear" w:color="auto" w:fill="CFF0FC"/>
          </w:tcPr>
          <w:p>
            <w:pPr>
              <w:jc w:val="right"/>
              <w:ind w:right="108"/>
              <w:spacing w:after="0"/>
              <w:rPr>
                <w:sz w:val="20"/>
                <w:szCs w:val="20"/>
                <w:color w:val="auto"/>
              </w:rPr>
            </w:pPr>
            <w:r>
              <w:rPr>
                <w:rFonts w:ascii="Arial" w:cs="Arial" w:eastAsia="Arial" w:hAnsi="Arial"/>
                <w:sz w:val="14"/>
                <w:szCs w:val="14"/>
                <w:b w:val="1"/>
                <w:bCs w:val="1"/>
                <w:color w:val="auto"/>
                <w:w w:val="84"/>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w:t>
            </w:r>
          </w:p>
        </w:tc>
        <w:tc>
          <w:tcPr>
            <w:tcW w:w="2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63,011</w:t>
            </w: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46,139</w:t>
            </w:r>
          </w:p>
        </w:tc>
        <w:tc>
          <w:tcPr>
            <w:tcW w:w="220" w:type="dxa"/>
            <w:vAlign w:val="bottom"/>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16,872</w:t>
            </w:r>
          </w:p>
        </w:tc>
        <w:tc>
          <w:tcPr>
            <w:tcW w:w="22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37</w:t>
            </w:r>
          </w:p>
        </w:tc>
        <w:tc>
          <w:tcPr>
            <w:tcW w:w="100" w:type="dxa"/>
            <w:vAlign w:val="bottom"/>
            <w:shd w:val="clear" w:color="auto" w:fill="CFF0FC"/>
          </w:tcPr>
          <w:p>
            <w:pPr>
              <w:jc w:val="right"/>
              <w:spacing w:after="0"/>
              <w:rPr>
                <w:sz w:val="20"/>
                <w:szCs w:val="20"/>
                <w:color w:val="auto"/>
              </w:rPr>
            </w:pPr>
            <w:r>
              <w:rPr>
                <w:rFonts w:ascii="Arial" w:cs="Arial" w:eastAsia="Arial" w:hAnsi="Arial"/>
                <w:sz w:val="12"/>
                <w:szCs w:val="12"/>
                <w:b w:val="1"/>
                <w:bCs w:val="1"/>
                <w:color w:val="auto"/>
                <w:w w:val="74"/>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40" w:type="dxa"/>
            <w:vAlign w:val="bottom"/>
          </w:tcPr>
          <w:p>
            <w:pPr>
              <w:ind w:left="20"/>
              <w:spacing w:after="0"/>
              <w:rPr>
                <w:sz w:val="20"/>
                <w:szCs w:val="20"/>
                <w:color w:val="auto"/>
              </w:rPr>
            </w:pPr>
            <w:r>
              <w:rPr>
                <w:rFonts w:ascii="Arial" w:cs="Arial" w:eastAsia="Arial" w:hAnsi="Arial"/>
                <w:sz w:val="14"/>
                <w:szCs w:val="14"/>
                <w:color w:val="auto"/>
              </w:rPr>
              <w:t>Income tax expense (beneft)</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2,595</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118</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2,477</w:t>
            </w:r>
          </w:p>
        </w:tc>
        <w:tc>
          <w:tcPr>
            <w:tcW w:w="240" w:type="dxa"/>
            <w:vAlign w:val="bottom"/>
          </w:tcPr>
          <w:p>
            <w:pPr>
              <w:spacing w:after="0"/>
              <w:rPr>
                <w:sz w:val="17"/>
                <w:szCs w:val="17"/>
                <w:color w:val="auto"/>
              </w:rPr>
            </w:pPr>
          </w:p>
        </w:tc>
        <w:tc>
          <w:tcPr>
            <w:tcW w:w="1060" w:type="dxa"/>
            <w:vAlign w:val="bottom"/>
            <w:gridSpan w:val="2"/>
          </w:tcPr>
          <w:p>
            <w:pPr>
              <w:jc w:val="right"/>
              <w:ind w:right="28"/>
              <w:spacing w:after="0"/>
              <w:rPr>
                <w:sz w:val="20"/>
                <w:szCs w:val="20"/>
                <w:color w:val="auto"/>
              </w:rPr>
            </w:pPr>
            <w:r>
              <w:rPr>
                <w:rFonts w:ascii="Arial" w:cs="Arial" w:eastAsia="Arial" w:hAnsi="Arial"/>
                <w:sz w:val="14"/>
                <w:szCs w:val="14"/>
                <w:color w:val="auto"/>
              </w:rPr>
              <w:t>2,099 %</w:t>
            </w:r>
          </w:p>
        </w:tc>
        <w:tc>
          <w:tcPr>
            <w:tcW w:w="14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(21,605 )</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194</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(21,799 )</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(11,237 )%</w:t>
            </w: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Net income</w:t>
            </w:r>
          </w:p>
        </w:tc>
        <w:tc>
          <w:tcPr>
            <w:tcW w:w="14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16,018</w:t>
            </w: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18,747</w:t>
            </w:r>
          </w:p>
        </w:tc>
        <w:tc>
          <w:tcPr>
            <w:tcW w:w="260" w:type="dxa"/>
            <w:vAlign w:val="bottom"/>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(2,729</w:t>
            </w:r>
          </w:p>
        </w:tc>
        <w:tc>
          <w:tcPr>
            <w:tcW w:w="240" w:type="dxa"/>
            <w:vAlign w:val="bottom"/>
            <w:shd w:val="clear" w:color="auto" w:fill="CFF0FC"/>
          </w:tcPr>
          <w:p>
            <w:pPr>
              <w:jc w:val="right"/>
              <w:ind w:right="108"/>
              <w:spacing w:after="0"/>
              <w:rPr>
                <w:sz w:val="20"/>
                <w:szCs w:val="20"/>
                <w:color w:val="auto"/>
              </w:rPr>
            </w:pPr>
            <w:r>
              <w:rPr>
                <w:rFonts w:ascii="Arial" w:cs="Arial" w:eastAsia="Arial" w:hAnsi="Arial"/>
                <w:sz w:val="14"/>
                <w:szCs w:val="14"/>
                <w:b w:val="1"/>
                <w:bCs w:val="1"/>
                <w:color w:val="auto"/>
                <w:w w:val="84"/>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(15</w:t>
            </w:r>
          </w:p>
        </w:tc>
        <w:tc>
          <w:tcPr>
            <w:tcW w:w="2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84,616</w:t>
            </w: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45,945</w:t>
            </w:r>
          </w:p>
        </w:tc>
        <w:tc>
          <w:tcPr>
            <w:tcW w:w="220" w:type="dxa"/>
            <w:vAlign w:val="bottom"/>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38,671</w:t>
            </w:r>
          </w:p>
        </w:tc>
        <w:tc>
          <w:tcPr>
            <w:tcW w:w="22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84</w:t>
            </w:r>
          </w:p>
        </w:tc>
        <w:tc>
          <w:tcPr>
            <w:tcW w:w="100" w:type="dxa"/>
            <w:vAlign w:val="bottom"/>
            <w:shd w:val="clear" w:color="auto" w:fill="CFF0FC"/>
          </w:tcPr>
          <w:p>
            <w:pPr>
              <w:jc w:val="right"/>
              <w:spacing w:after="0"/>
              <w:rPr>
                <w:sz w:val="20"/>
                <w:szCs w:val="20"/>
                <w:color w:val="auto"/>
              </w:rPr>
            </w:pPr>
            <w:r>
              <w:rPr>
                <w:rFonts w:ascii="Arial" w:cs="Arial" w:eastAsia="Arial" w:hAnsi="Arial"/>
                <w:sz w:val="12"/>
                <w:szCs w:val="12"/>
                <w:b w:val="1"/>
                <w:bCs w:val="1"/>
                <w:color w:val="auto"/>
                <w:w w:val="74"/>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740" w:type="dxa"/>
            <w:vAlign w:val="bottom"/>
          </w:tcPr>
          <w:p>
            <w:pPr>
              <w:ind w:left="20"/>
              <w:spacing w:after="0"/>
              <w:rPr>
                <w:sz w:val="20"/>
                <w:szCs w:val="20"/>
                <w:color w:val="auto"/>
              </w:rPr>
            </w:pPr>
            <w:r>
              <w:rPr>
                <w:rFonts w:ascii="Arial" w:cs="Arial" w:eastAsia="Arial" w:hAnsi="Arial"/>
                <w:sz w:val="14"/>
                <w:szCs w:val="14"/>
                <w:color w:val="auto"/>
              </w:rPr>
              <w:t>Net income atributable to redeemable noncontrolling</w:t>
            </w:r>
          </w:p>
        </w:tc>
        <w:tc>
          <w:tcPr>
            <w:tcW w:w="14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9,341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11,084</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restart"/>
          </w:tcPr>
          <w:p>
            <w:pPr>
              <w:jc w:val="right"/>
              <w:ind w:right="128"/>
              <w:spacing w:after="0"/>
              <w:rPr>
                <w:sz w:val="20"/>
                <w:szCs w:val="20"/>
                <w:color w:val="auto"/>
              </w:rPr>
            </w:pPr>
            <w:r>
              <w:rPr>
                <w:rFonts w:ascii="Arial" w:cs="Arial" w:eastAsia="Arial" w:hAnsi="Arial"/>
                <w:sz w:val="14"/>
                <w:szCs w:val="14"/>
                <w:color w:val="auto"/>
              </w:rPr>
              <w:t>(1,743 )</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color w:val="auto"/>
              </w:rPr>
              <w:t>(16 )%</w:t>
            </w:r>
          </w:p>
        </w:tc>
        <w:tc>
          <w:tcPr>
            <w:tcW w:w="14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35,045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27,368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7,677</w:t>
            </w:r>
          </w:p>
        </w:tc>
        <w:tc>
          <w:tcPr>
            <w:tcW w:w="220" w:type="dxa"/>
            <w:vAlign w:val="bottom"/>
          </w:tcPr>
          <w:p>
            <w:pPr>
              <w:spacing w:after="0"/>
              <w:rPr>
                <w:sz w:val="14"/>
                <w:szCs w:val="14"/>
                <w:color w:val="auto"/>
              </w:rPr>
            </w:pPr>
          </w:p>
        </w:tc>
        <w:tc>
          <w:tcPr>
            <w:tcW w:w="102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28 %</w:t>
            </w:r>
          </w:p>
        </w:tc>
        <w:tc>
          <w:tcPr>
            <w:tcW w:w="0" w:type="dxa"/>
            <w:vAlign w:val="bottom"/>
          </w:tcPr>
          <w:p>
            <w:pPr>
              <w:spacing w:after="0"/>
              <w:rPr>
                <w:sz w:val="1"/>
                <w:szCs w:val="1"/>
                <w:color w:val="auto"/>
              </w:rPr>
            </w:pPr>
          </w:p>
        </w:tc>
      </w:tr>
      <w:tr>
        <w:trPr>
          <w:trHeight w:val="193"/>
        </w:trPr>
        <w:tc>
          <w:tcPr>
            <w:tcW w:w="3740" w:type="dxa"/>
            <w:vAlign w:val="bottom"/>
          </w:tcPr>
          <w:p>
            <w:pPr>
              <w:ind w:left="20"/>
              <w:spacing w:after="0"/>
              <w:rPr>
                <w:sz w:val="20"/>
                <w:szCs w:val="20"/>
                <w:color w:val="auto"/>
              </w:rPr>
            </w:pPr>
            <w:r>
              <w:rPr>
                <w:rFonts w:ascii="Arial" w:cs="Arial" w:eastAsia="Arial" w:hAnsi="Arial"/>
                <w:sz w:val="14"/>
                <w:szCs w:val="14"/>
                <w:color w:val="auto"/>
              </w:rPr>
              <w:t>interests</w:t>
            </w:r>
          </w:p>
        </w:tc>
        <w:tc>
          <w:tcPr>
            <w:tcW w:w="1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w w:val="97"/>
              </w:rPr>
              <w:t>Net income atributable to Class A Common Stockholders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6,677</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7,663</w:t>
            </w:r>
          </w:p>
        </w:tc>
        <w:tc>
          <w:tcPr>
            <w:tcW w:w="2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(986</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Arial" w:cs="Arial" w:eastAsia="Arial" w:hAnsi="Arial"/>
                <w:sz w:val="14"/>
                <w:szCs w:val="14"/>
                <w:b w:val="1"/>
                <w:bCs w:val="1"/>
                <w:color w:val="auto"/>
                <w:w w:val="84"/>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(13</w:t>
            </w:r>
          </w:p>
        </w:tc>
        <w:tc>
          <w:tcPr>
            <w:tcW w:w="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49,571</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18,577</w:t>
            </w:r>
          </w:p>
        </w:tc>
        <w:tc>
          <w:tcPr>
            <w:tcW w:w="2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30,994</w:t>
            </w:r>
          </w:p>
        </w:tc>
        <w:tc>
          <w:tcPr>
            <w:tcW w:w="2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167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2"/>
                <w:szCs w:val="12"/>
                <w:b w:val="1"/>
                <w:bCs w:val="1"/>
                <w:color w:val="auto"/>
                <w:w w:val="74"/>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-1448435</wp:posOffset>
            </wp:positionV>
            <wp:extent cx="76835" cy="1371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-1448435</wp:posOffset>
            </wp:positionV>
            <wp:extent cx="77470" cy="1371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-1448435</wp:posOffset>
            </wp:positionV>
            <wp:extent cx="76835" cy="1371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-1448435</wp:posOffset>
            </wp:positionV>
            <wp:extent cx="68580" cy="1371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-1448435</wp:posOffset>
            </wp:positionV>
            <wp:extent cx="68580" cy="1371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-1448435</wp:posOffset>
            </wp:positionV>
            <wp:extent cx="68580" cy="1371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-1053465</wp:posOffset>
            </wp:positionV>
            <wp:extent cx="7132320" cy="1289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-24765</wp:posOffset>
            </wp:positionV>
            <wp:extent cx="768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-7620</wp:posOffset>
            </wp:positionV>
            <wp:extent cx="768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-24765</wp:posOffset>
            </wp:positionV>
            <wp:extent cx="7747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774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-24765</wp:posOffset>
            </wp:positionV>
            <wp:extent cx="768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-7620</wp:posOffset>
            </wp:positionV>
            <wp:extent cx="768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-24765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-7620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-24765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-24765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revenues by segment (in thousands, except percentages):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80" w:type="dxa"/>
            <w:vAlign w:val="bottom"/>
          </w:tcPr>
          <w:p>
            <w:pPr>
              <w:spacing w:after="0"/>
              <w:rPr>
                <w:sz w:val="15"/>
                <w:szCs w:val="15"/>
                <w:color w:val="auto"/>
              </w:rPr>
            </w:pPr>
          </w:p>
        </w:tc>
        <w:tc>
          <w:tcPr>
            <w:tcW w:w="2260" w:type="dxa"/>
            <w:vAlign w:val="bottom"/>
            <w:gridSpan w:val="5"/>
          </w:tcPr>
          <w:p>
            <w:pPr>
              <w:jc w:val="right"/>
              <w:spacing w:after="0"/>
              <w:rPr>
                <w:sz w:val="20"/>
                <w:szCs w:val="20"/>
                <w:color w:val="auto"/>
              </w:rPr>
            </w:pPr>
            <w:r>
              <w:rPr>
                <w:rFonts w:ascii="Arial" w:cs="Arial" w:eastAsia="Arial" w:hAnsi="Arial"/>
                <w:sz w:val="14"/>
                <w:szCs w:val="14"/>
                <w:b w:val="1"/>
                <w:bCs w:val="1"/>
                <w:color w:val="auto"/>
                <w:w w:val="91"/>
              </w:rPr>
              <w:t>Three Months Ended September 30,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20" w:type="dxa"/>
            <w:vAlign w:val="bottom"/>
            <w:gridSpan w:val="5"/>
          </w:tcPr>
          <w:p>
            <w:pPr>
              <w:ind w:left="20"/>
              <w:spacing w:after="0"/>
              <w:rPr>
                <w:sz w:val="20"/>
                <w:szCs w:val="20"/>
                <w:color w:val="auto"/>
              </w:rPr>
            </w:pPr>
            <w:r>
              <w:rPr>
                <w:rFonts w:ascii="Arial" w:cs="Arial" w:eastAsia="Arial" w:hAnsi="Arial"/>
                <w:sz w:val="14"/>
                <w:szCs w:val="14"/>
                <w:b w:val="1"/>
                <w:bCs w:val="1"/>
                <w:color w:val="auto"/>
                <w:w w:val="90"/>
              </w:rPr>
              <w:t>Nine Months Ended September 30,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0" w:type="dxa"/>
            <w:vAlign w:val="bottom"/>
            <w:gridSpan w:val="2"/>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2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7"/>
              </w:rPr>
              <w:t>Change</w:t>
            </w:r>
          </w:p>
        </w:tc>
        <w:tc>
          <w:tcPr>
            <w:tcW w:w="220" w:type="dxa"/>
            <w:vAlign w:val="bottom"/>
          </w:tcPr>
          <w:p>
            <w:pPr>
              <w:spacing w:after="0"/>
              <w:rPr>
                <w:sz w:val="7"/>
                <w:szCs w:val="7"/>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Change</w:t>
            </w:r>
          </w:p>
        </w:tc>
        <w:tc>
          <w:tcPr>
            <w:tcW w:w="2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7"/>
              </w:rPr>
              <w:t>Change</w:t>
            </w:r>
          </w:p>
        </w:tc>
        <w:tc>
          <w:tcPr>
            <w:tcW w:w="220" w:type="dxa"/>
            <w:vAlign w:val="bottom"/>
          </w:tcPr>
          <w:p>
            <w:pPr>
              <w:spacing w:after="0"/>
              <w:rPr>
                <w:sz w:val="7"/>
                <w:szCs w:val="7"/>
                <w:color w:val="auto"/>
              </w:rPr>
            </w:pPr>
          </w:p>
        </w:tc>
        <w:tc>
          <w:tcPr>
            <w:tcW w:w="118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95"/>
        </w:trPr>
        <w:tc>
          <w:tcPr>
            <w:tcW w:w="2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2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Revenues:</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280" w:type="dxa"/>
            <w:vAlign w:val="bottom"/>
          </w:tcPr>
          <w:p>
            <w:pPr>
              <w:ind w:left="20"/>
              <w:spacing w:after="0"/>
              <w:rPr>
                <w:sz w:val="20"/>
                <w:szCs w:val="20"/>
                <w:color w:val="auto"/>
              </w:rPr>
            </w:pPr>
            <w:r>
              <w:rPr>
                <w:rFonts w:ascii="Arial" w:cs="Arial" w:eastAsia="Arial" w:hAnsi="Arial"/>
                <w:sz w:val="14"/>
                <w:szCs w:val="14"/>
                <w:color w:val="auto"/>
              </w:rPr>
              <w:t>Marketplace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154,388</w:t>
            </w:r>
          </w:p>
        </w:tc>
        <w:tc>
          <w:tcPr>
            <w:tcW w:w="48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130,542</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23,846</w:t>
            </w:r>
          </w:p>
        </w:tc>
        <w:tc>
          <w:tcPr>
            <w:tcW w:w="1020" w:type="dxa"/>
            <w:vAlign w:val="bottom"/>
            <w:gridSpan w:val="3"/>
          </w:tcPr>
          <w:p>
            <w:pPr>
              <w:jc w:val="right"/>
              <w:ind w:right="100"/>
              <w:spacing w:after="0"/>
              <w:rPr>
                <w:sz w:val="20"/>
                <w:szCs w:val="20"/>
                <w:color w:val="auto"/>
              </w:rPr>
            </w:pPr>
            <w:r>
              <w:rPr>
                <w:rFonts w:ascii="Arial" w:cs="Arial" w:eastAsia="Arial" w:hAnsi="Arial"/>
                <w:sz w:val="14"/>
                <w:szCs w:val="14"/>
                <w:color w:val="auto"/>
              </w:rPr>
              <w:t>18 %</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430,119</w:t>
            </w: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370,972</w:t>
            </w:r>
          </w:p>
        </w:tc>
        <w:tc>
          <w:tcPr>
            <w:tcW w:w="3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59,147</w:t>
            </w:r>
          </w:p>
        </w:tc>
        <w:tc>
          <w:tcPr>
            <w:tcW w:w="1380" w:type="dxa"/>
            <w:vAlign w:val="bottom"/>
            <w:gridSpan w:val="3"/>
          </w:tcPr>
          <w:p>
            <w:pPr>
              <w:jc w:val="right"/>
              <w:spacing w:after="0"/>
              <w:rPr>
                <w:sz w:val="20"/>
                <w:szCs w:val="20"/>
                <w:color w:val="auto"/>
              </w:rPr>
            </w:pPr>
            <w:r>
              <w:rPr>
                <w:rFonts w:ascii="Arial" w:cs="Arial" w:eastAsia="Arial" w:hAnsi="Arial"/>
                <w:sz w:val="14"/>
                <w:szCs w:val="14"/>
                <w:color w:val="auto"/>
              </w:rPr>
              <w:t>16 %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28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Resale</w:t>
            </w: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33,745</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26,276</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7,469</w:t>
            </w:r>
          </w:p>
        </w:tc>
        <w:tc>
          <w:tcPr>
            <w:tcW w:w="22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28 %</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84,457</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64,312</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20,145</w:t>
            </w:r>
          </w:p>
        </w:tc>
        <w:tc>
          <w:tcPr>
            <w:tcW w:w="138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31 %</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80" w:type="dxa"/>
            <w:vAlign w:val="bottom"/>
          </w:tcPr>
          <w:p>
            <w:pPr>
              <w:ind w:left="20"/>
              <w:spacing w:after="0"/>
              <w:rPr>
                <w:sz w:val="20"/>
                <w:szCs w:val="20"/>
                <w:color w:val="auto"/>
              </w:rPr>
            </w:pPr>
            <w:r>
              <w:rPr>
                <w:rFonts w:ascii="Arial" w:cs="Arial" w:eastAsia="Arial" w:hAnsi="Arial"/>
                <w:sz w:val="14"/>
                <w:szCs w:val="14"/>
                <w:b w:val="1"/>
                <w:bCs w:val="1"/>
                <w:color w:val="auto"/>
              </w:rPr>
              <w:t>Total revenues</w:t>
            </w: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188,133</w:t>
            </w:r>
          </w:p>
        </w:tc>
        <w:tc>
          <w:tcPr>
            <w:tcW w:w="24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156,818</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31,315</w:t>
            </w:r>
          </w:p>
        </w:tc>
        <w:tc>
          <w:tcPr>
            <w:tcW w:w="2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20 %</w:t>
            </w:r>
          </w:p>
        </w:tc>
        <w:tc>
          <w:tcPr>
            <w:tcW w:w="200" w:type="dxa"/>
            <w:vAlign w:val="bottom"/>
          </w:tcPr>
          <w:p>
            <w:pPr>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514,576</w:t>
            </w:r>
          </w:p>
        </w:tc>
        <w:tc>
          <w:tcPr>
            <w:tcW w:w="4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435,284</w:t>
            </w:r>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79,292</w:t>
            </w: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18 %</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-162560</wp:posOffset>
            </wp:positionV>
            <wp:extent cx="76835" cy="1631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-162560</wp:posOffset>
            </wp:positionV>
            <wp:extent cx="76835" cy="1631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-162560</wp:posOffset>
            </wp:positionV>
            <wp:extent cx="68580" cy="1631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-162560</wp:posOffset>
            </wp:positionV>
            <wp:extent cx="68580" cy="1631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-162560</wp:posOffset>
            </wp:positionV>
            <wp:extent cx="68580" cy="1631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-162560</wp:posOffset>
            </wp:positionV>
            <wp:extent cx="68580" cy="16319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-162560</wp:posOffset>
            </wp:positionV>
            <wp:extent cx="68580" cy="1631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16319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96"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Total revenues increased $31.3 million, or 20%, during the three months ended September 30, 2023 compared to the three months ended September 30, 2022 and increased $79.3 million, or 18%, during the nine months ended September 30, 2023 compared to the nine months ended September 30, 2022. The increase, which occurred in both</w:t>
      </w:r>
    </w:p>
    <w:p>
      <w:pPr>
        <w:spacing w:after="0" w:line="7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72" w:right="279" w:bottom="1440" w:gutter="0" w:footer="0" w:header="0"/>
        </w:sectPr>
      </w:pPr>
    </w:p>
    <w:bookmarkStart w:id="34" w:name="page35"/>
    <w:bookmarkEnd w:id="34"/>
    <w:p>
      <w:pPr>
        <w:jc w:val="both"/>
        <w:ind w:right="80"/>
        <w:spacing w:after="0" w:line="273" w:lineRule="auto"/>
        <w:rPr>
          <w:sz w:val="20"/>
          <w:szCs w:val="20"/>
          <w:color w:val="auto"/>
        </w:rPr>
      </w:pPr>
      <w:r>
        <w:rPr>
          <w:rFonts w:ascii="Arial" w:cs="Arial" w:eastAsia="Arial" w:hAnsi="Arial"/>
          <w:sz w:val="18"/>
          <w:szCs w:val="18"/>
          <w:color w:val="auto"/>
        </w:rPr>
        <w:t>our Marketplace and Resale segments, resulted primarily from an increase in new orders processed and an increase in average order size, which is calculated by dividing Marketplace GOV by Total Marketplace Orders.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Marketplace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Marketplace revenues by event category (in thousands, except percentages):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4"/>
          </w:tcPr>
          <w:p>
            <w:pPr>
              <w:jc w:val="center"/>
              <w:ind w:right="48"/>
              <w:spacing w:after="0"/>
              <w:rPr>
                <w:sz w:val="20"/>
                <w:szCs w:val="20"/>
                <w:color w:val="auto"/>
              </w:rPr>
            </w:pPr>
            <w:r>
              <w:rPr>
                <w:rFonts w:ascii="Arial" w:cs="Arial" w:eastAsia="Arial" w:hAnsi="Arial"/>
                <w:sz w:val="14"/>
                <w:szCs w:val="14"/>
                <w:b w:val="1"/>
                <w:bCs w:val="1"/>
                <w:color w:val="auto"/>
                <w:w w:val="90"/>
              </w:rPr>
              <w:t>Nine Months Ended September</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40" w:type="dxa"/>
            <w:vAlign w:val="bottom"/>
          </w:tcPr>
          <w:p>
            <w:pPr>
              <w:spacing w:after="0"/>
              <w:rPr>
                <w:sz w:val="15"/>
                <w:szCs w:val="15"/>
                <w:color w:val="auto"/>
              </w:rPr>
            </w:pPr>
          </w:p>
        </w:tc>
        <w:tc>
          <w:tcPr>
            <w:tcW w:w="2220" w:type="dxa"/>
            <w:vAlign w:val="bottom"/>
            <w:gridSpan w:val="5"/>
          </w:tcPr>
          <w:p>
            <w:pPr>
              <w:jc w:val="right"/>
              <w:spacing w:after="0"/>
              <w:rPr>
                <w:sz w:val="20"/>
                <w:szCs w:val="20"/>
                <w:color w:val="auto"/>
              </w:rPr>
            </w:pPr>
            <w:r>
              <w:rPr>
                <w:rFonts w:ascii="Arial" w:cs="Arial" w:eastAsia="Arial" w:hAnsi="Arial"/>
                <w:sz w:val="14"/>
                <w:szCs w:val="14"/>
                <w:b w:val="1"/>
                <w:bCs w:val="1"/>
                <w:color w:val="auto"/>
                <w:w w:val="90"/>
              </w:rPr>
              <w:t>Three Months Ended September 30,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92"/>
              </w:rPr>
              <w:t>30,</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7"/>
              </w:rPr>
              <w:t>Change</w:t>
            </w: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7"/>
              </w:rPr>
              <w:t>Change</w:t>
            </w:r>
          </w:p>
        </w:tc>
        <w:tc>
          <w:tcPr>
            <w:tcW w:w="128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2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248"/>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Revenues:</w:t>
            </w:r>
          </w:p>
        </w:tc>
        <w:tc>
          <w:tcPr>
            <w:tcW w:w="2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240" w:type="dxa"/>
            <w:vAlign w:val="bottom"/>
          </w:tcPr>
          <w:p>
            <w:pPr>
              <w:ind w:left="20"/>
              <w:spacing w:after="0"/>
              <w:rPr>
                <w:sz w:val="20"/>
                <w:szCs w:val="20"/>
                <w:color w:val="auto"/>
              </w:rPr>
            </w:pPr>
            <w:r>
              <w:rPr>
                <w:rFonts w:ascii="Arial" w:cs="Arial" w:eastAsia="Arial" w:hAnsi="Arial"/>
                <w:sz w:val="14"/>
                <w:szCs w:val="14"/>
                <w:color w:val="auto"/>
              </w:rPr>
              <w:t>Concerts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87,142</w:t>
            </w:r>
          </w:p>
        </w:tc>
        <w:tc>
          <w:tcPr>
            <w:tcW w:w="48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63,802</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23,340</w:t>
            </w:r>
          </w:p>
        </w:tc>
        <w:tc>
          <w:tcPr>
            <w:tcW w:w="22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37 %</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239,762</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188,291</w:t>
            </w:r>
          </w:p>
        </w:tc>
        <w:tc>
          <w:tcPr>
            <w:tcW w:w="3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51,471</w:t>
            </w:r>
          </w:p>
        </w:tc>
        <w:tc>
          <w:tcPr>
            <w:tcW w:w="22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27 %</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Sports</w:t>
            </w:r>
          </w:p>
        </w:tc>
        <w:tc>
          <w:tcPr>
            <w:tcW w:w="20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52,169</w:t>
            </w:r>
          </w:p>
        </w:tc>
        <w:tc>
          <w:tcPr>
            <w:tcW w:w="2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52,812</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(643 )</w:t>
            </w:r>
          </w:p>
        </w:tc>
        <w:tc>
          <w:tcPr>
            <w:tcW w:w="8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(1 )%</w:t>
            </w:r>
          </w:p>
        </w:tc>
        <w:tc>
          <w:tcPr>
            <w:tcW w:w="1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143,118</w:t>
            </w:r>
          </w:p>
        </w:tc>
        <w:tc>
          <w:tcPr>
            <w:tcW w:w="2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143,012</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106</w:t>
            </w:r>
          </w:p>
        </w:tc>
        <w:tc>
          <w:tcPr>
            <w:tcW w:w="220" w:type="dxa"/>
            <w:vAlign w:val="bottom"/>
            <w:tcBorders>
              <w:bottom w:val="single" w:sz="8" w:color="CFF0FC"/>
            </w:tcBorders>
            <w:shd w:val="clear" w:color="auto" w:fill="CFF0FC"/>
          </w:tcPr>
          <w:p>
            <w:pPr>
              <w:spacing w:after="0"/>
              <w:rPr>
                <w:sz w:val="15"/>
                <w:szCs w:val="15"/>
                <w:color w:val="auto"/>
              </w:rPr>
            </w:pPr>
          </w:p>
        </w:tc>
        <w:tc>
          <w:tcPr>
            <w:tcW w:w="12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0 %</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40" w:type="dxa"/>
            <w:vAlign w:val="bottom"/>
          </w:tcPr>
          <w:p>
            <w:pPr>
              <w:ind w:left="20"/>
              <w:spacing w:after="0"/>
              <w:rPr>
                <w:sz w:val="20"/>
                <w:szCs w:val="20"/>
                <w:color w:val="auto"/>
              </w:rPr>
            </w:pPr>
            <w:r>
              <w:rPr>
                <w:rFonts w:ascii="Arial" w:cs="Arial" w:eastAsia="Arial" w:hAnsi="Arial"/>
                <w:sz w:val="14"/>
                <w:szCs w:val="14"/>
                <w:color w:val="auto"/>
              </w:rPr>
              <w:t>Theater</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14,788</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13,526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1,262</w:t>
            </w:r>
          </w:p>
        </w:tc>
        <w:tc>
          <w:tcPr>
            <w:tcW w:w="22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9 %</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45,705</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37,997</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7,708</w:t>
            </w:r>
          </w:p>
        </w:tc>
        <w:tc>
          <w:tcPr>
            <w:tcW w:w="22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20 %</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240" w:type="dxa"/>
            <w:vAlign w:val="bottom"/>
          </w:tcPr>
          <w:p>
            <w:pPr>
              <w:ind w:left="20"/>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(113 )</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(28 )%</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1,534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1,672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(138 )</w:t>
            </w:r>
          </w:p>
        </w:tc>
        <w:tc>
          <w:tcPr>
            <w:tcW w:w="1280" w:type="dxa"/>
            <w:vAlign w:val="bottom"/>
            <w:gridSpan w:val="3"/>
          </w:tcPr>
          <w:p>
            <w:pPr>
              <w:jc w:val="right"/>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23"/>
        </w:trPr>
        <w:tc>
          <w:tcPr>
            <w:tcW w:w="2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40" w:type="dxa"/>
            <w:vAlign w:val="bottom"/>
          </w:tcPr>
          <w:p>
            <w:pPr>
              <w:ind w:left="20"/>
              <w:spacing w:after="0"/>
              <w:rPr>
                <w:sz w:val="20"/>
                <w:szCs w:val="20"/>
                <w:color w:val="auto"/>
              </w:rPr>
            </w:pPr>
            <w:r>
              <w:rPr>
                <w:rFonts w:ascii="Arial" w:cs="Arial" w:eastAsia="Arial" w:hAnsi="Arial"/>
                <w:sz w:val="14"/>
                <w:szCs w:val="14"/>
                <w:b w:val="1"/>
                <w:bCs w:val="1"/>
                <w:color w:val="auto"/>
              </w:rPr>
              <w:t>Total Marketplace revenues</w:t>
            </w:r>
          </w:p>
        </w:tc>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154,388</w:t>
            </w:r>
          </w:p>
        </w:tc>
        <w:tc>
          <w:tcPr>
            <w:tcW w:w="26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130,542</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23,846</w:t>
            </w:r>
          </w:p>
        </w:tc>
        <w:tc>
          <w:tcPr>
            <w:tcW w:w="22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18 %</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430,119</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370,972</w:t>
            </w:r>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59,147</w:t>
            </w:r>
          </w:p>
        </w:tc>
        <w:tc>
          <w:tcPr>
            <w:tcW w:w="220" w:type="dxa"/>
            <w:vAlign w:val="bottom"/>
          </w:tcPr>
          <w:p>
            <w:pPr>
              <w:spacing w:after="0"/>
              <w:rPr>
                <w:sz w:val="17"/>
                <w:szCs w:val="17"/>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16 %</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2914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96" w:lineRule="exact"/>
        <w:rPr>
          <w:sz w:val="20"/>
          <w:szCs w:val="20"/>
          <w:color w:val="auto"/>
        </w:rPr>
      </w:pPr>
    </w:p>
    <w:p>
      <w:pPr>
        <w:jc w:val="both"/>
        <w:ind w:right="60"/>
        <w:spacing w:after="0" w:line="258" w:lineRule="auto"/>
        <w:rPr>
          <w:sz w:val="20"/>
          <w:szCs w:val="20"/>
          <w:color w:val="auto"/>
        </w:rPr>
      </w:pPr>
      <w:r>
        <w:rPr>
          <w:rFonts w:ascii="Arial" w:cs="Arial" w:eastAsia="Arial" w:hAnsi="Arial"/>
          <w:sz w:val="18"/>
          <w:szCs w:val="18"/>
          <w:color w:val="auto"/>
        </w:rPr>
        <w:t>Marketplace revenues increased $23.8 million, or 18%, during the three months ended September 30, 2023 compared to the three months ended September 30, 2022 and increased $59.1 million, or 16%, during the nine months ended September 30, 2023 compared to the nine months ended September 30, 2022. The increase resulted primarily from an increase in new orders processed and an increase in average order size, especially in our concerts event category.</w:t>
      </w:r>
    </w:p>
    <w:p>
      <w:pPr>
        <w:spacing w:after="0" w:line="109"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color w:val="auto"/>
        </w:rPr>
        <w:t>Total Marketplace orders increased 449,784, or 17%, during the three months ended September 30, 2023 compared to the three months ended September 30, 2022 and increased 922,788, or 13%, during the nine months ended September 30, 2023 compared to the nine months ended September 30, 2022.</w:t>
      </w:r>
    </w:p>
    <w:p>
      <w:pPr>
        <w:spacing w:after="0" w:line="119" w:lineRule="exact"/>
        <w:rPr>
          <w:sz w:val="20"/>
          <w:szCs w:val="20"/>
          <w:color w:val="auto"/>
        </w:rPr>
      </w:pPr>
    </w:p>
    <w:p>
      <w:pPr>
        <w:jc w:val="both"/>
        <w:ind w:right="60"/>
        <w:spacing w:after="0" w:line="272" w:lineRule="auto"/>
        <w:rPr>
          <w:sz w:val="20"/>
          <w:szCs w:val="20"/>
          <w:color w:val="auto"/>
        </w:rPr>
      </w:pPr>
      <w:r>
        <w:rPr>
          <w:rFonts w:ascii="Arial" w:cs="Arial" w:eastAsia="Arial" w:hAnsi="Arial"/>
          <w:sz w:val="17"/>
          <w:szCs w:val="17"/>
          <w:color w:val="auto"/>
        </w:rPr>
        <w:t>Cancellaton charges, which are typically recognized as a reducton of revenues, represented a $1.0 million increase to revenue for the three months ended September 30, 2023 compared to a $3.0 million reducton for the three months ended September 30, 2022, and a $7.6 million reducton to revenue for the nine months ended September 30, 2023 compared to a $24.0 million reducton for the nine months ended September 30, 2022. Cancellaton charges for the three months ended September 30, 2023 were lower than the three months ended September 30, 2022 due to higher store credit breakage. Cancellaton charges for the nine months ended September 30, 2023 were lower than the nine months ended September 30, 2022 due to higher store credit breakage and negatve impacts in early 2022 from abnormally high cancellatons.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Marketplace revenues by business model consisted of the following (in thousands, except percentages):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4"/>
          </w:tcPr>
          <w:p>
            <w:pPr>
              <w:jc w:val="center"/>
              <w:ind w:right="68"/>
              <w:spacing w:after="0"/>
              <w:rPr>
                <w:sz w:val="20"/>
                <w:szCs w:val="20"/>
                <w:color w:val="auto"/>
              </w:rPr>
            </w:pPr>
            <w:r>
              <w:rPr>
                <w:rFonts w:ascii="Arial" w:cs="Arial" w:eastAsia="Arial" w:hAnsi="Arial"/>
                <w:sz w:val="14"/>
                <w:szCs w:val="14"/>
                <w:b w:val="1"/>
                <w:bCs w:val="1"/>
                <w:color w:val="auto"/>
                <w:w w:val="89"/>
              </w:rPr>
              <w:t>Nine Months Ended September</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60" w:type="dxa"/>
            <w:vAlign w:val="bottom"/>
          </w:tcPr>
          <w:p>
            <w:pPr>
              <w:spacing w:after="0"/>
              <w:rPr>
                <w:sz w:val="15"/>
                <w:szCs w:val="15"/>
                <w:color w:val="auto"/>
              </w:rPr>
            </w:pPr>
          </w:p>
        </w:tc>
        <w:tc>
          <w:tcPr>
            <w:tcW w:w="2240" w:type="dxa"/>
            <w:vAlign w:val="bottom"/>
            <w:gridSpan w:val="5"/>
          </w:tcPr>
          <w:p>
            <w:pPr>
              <w:jc w:val="right"/>
              <w:spacing w:after="0"/>
              <w:rPr>
                <w:sz w:val="20"/>
                <w:szCs w:val="20"/>
                <w:color w:val="auto"/>
              </w:rPr>
            </w:pPr>
            <w:r>
              <w:rPr>
                <w:rFonts w:ascii="Arial" w:cs="Arial" w:eastAsia="Arial" w:hAnsi="Arial"/>
                <w:sz w:val="14"/>
                <w:szCs w:val="14"/>
                <w:b w:val="1"/>
                <w:bCs w:val="1"/>
                <w:color w:val="auto"/>
                <w:w w:val="91"/>
              </w:rPr>
              <w:t>Three Months Ended September 30,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92"/>
              </w:rPr>
              <w:t>30,</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gridSpan w:val="2"/>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2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7"/>
              </w:rPr>
              <w:t>Change</w:t>
            </w:r>
          </w:p>
        </w:tc>
        <w:tc>
          <w:tcPr>
            <w:tcW w:w="240" w:type="dxa"/>
            <w:vAlign w:val="bottom"/>
          </w:tcPr>
          <w:p>
            <w:pPr>
              <w:spacing w:after="0"/>
              <w:rPr>
                <w:sz w:val="7"/>
                <w:szCs w:val="7"/>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7"/>
              </w:rPr>
              <w:t>Change</w:t>
            </w:r>
          </w:p>
        </w:tc>
        <w:tc>
          <w:tcPr>
            <w:tcW w:w="220" w:type="dxa"/>
            <w:vAlign w:val="bottom"/>
          </w:tcPr>
          <w:p>
            <w:pPr>
              <w:spacing w:after="0"/>
              <w:rPr>
                <w:sz w:val="7"/>
                <w:szCs w:val="7"/>
                <w:color w:val="auto"/>
              </w:rPr>
            </w:pPr>
          </w:p>
        </w:tc>
        <w:tc>
          <w:tcPr>
            <w:tcW w:w="122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94"/>
        </w:trPr>
        <w:tc>
          <w:tcPr>
            <w:tcW w:w="2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2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Revenues:</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260" w:type="dxa"/>
            <w:vAlign w:val="bottom"/>
          </w:tcPr>
          <w:p>
            <w:pPr>
              <w:ind w:left="20"/>
              <w:spacing w:after="0"/>
              <w:rPr>
                <w:sz w:val="20"/>
                <w:szCs w:val="20"/>
                <w:color w:val="auto"/>
              </w:rPr>
            </w:pPr>
            <w:r>
              <w:rPr>
                <w:rFonts w:ascii="Arial" w:cs="Arial" w:eastAsia="Arial" w:hAnsi="Arial"/>
                <w:sz w:val="14"/>
                <w:szCs w:val="14"/>
                <w:color w:val="auto"/>
              </w:rPr>
              <w:t>Owned Propertes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122,778</w:t>
            </w:r>
          </w:p>
        </w:tc>
        <w:tc>
          <w:tcPr>
            <w:tcW w:w="4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106,597</w:t>
            </w:r>
          </w:p>
        </w:tc>
        <w:tc>
          <w:tcPr>
            <w:tcW w:w="3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16,181</w:t>
            </w:r>
          </w:p>
        </w:tc>
        <w:tc>
          <w:tcPr>
            <w:tcW w:w="1040" w:type="dxa"/>
            <w:vAlign w:val="bottom"/>
            <w:gridSpan w:val="3"/>
          </w:tcPr>
          <w:p>
            <w:pPr>
              <w:jc w:val="right"/>
              <w:ind w:right="100"/>
              <w:spacing w:after="0"/>
              <w:rPr>
                <w:sz w:val="20"/>
                <w:szCs w:val="20"/>
                <w:color w:val="auto"/>
              </w:rPr>
            </w:pPr>
            <w:r>
              <w:rPr>
                <w:rFonts w:ascii="Arial" w:cs="Arial" w:eastAsia="Arial" w:hAnsi="Arial"/>
                <w:sz w:val="14"/>
                <w:szCs w:val="14"/>
                <w:color w:val="auto"/>
              </w:rPr>
              <w:t>15 %</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329,006</w:t>
            </w: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288,827</w:t>
            </w:r>
          </w:p>
        </w:tc>
        <w:tc>
          <w:tcPr>
            <w:tcW w:w="3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40,179</w:t>
            </w:r>
          </w:p>
        </w:tc>
        <w:tc>
          <w:tcPr>
            <w:tcW w:w="1420" w:type="dxa"/>
            <w:vAlign w:val="bottom"/>
            <w:gridSpan w:val="3"/>
          </w:tcPr>
          <w:p>
            <w:pPr>
              <w:jc w:val="right"/>
              <w:spacing w:after="0"/>
              <w:rPr>
                <w:sz w:val="20"/>
                <w:szCs w:val="20"/>
                <w:color w:val="auto"/>
              </w:rPr>
            </w:pPr>
            <w:r>
              <w:rPr>
                <w:rFonts w:ascii="Arial" w:cs="Arial" w:eastAsia="Arial" w:hAnsi="Arial"/>
                <w:sz w:val="14"/>
                <w:szCs w:val="14"/>
                <w:color w:val="auto"/>
              </w:rPr>
              <w:t>14 %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26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Private Label</w:t>
            </w: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31,610</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23,945</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7,665</w:t>
            </w:r>
          </w:p>
        </w:tc>
        <w:tc>
          <w:tcPr>
            <w:tcW w:w="24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32 %</w:t>
            </w: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101,113</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82,145</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18,968</w:t>
            </w:r>
          </w:p>
        </w:tc>
        <w:tc>
          <w:tcPr>
            <w:tcW w:w="14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23 %</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60" w:type="dxa"/>
            <w:vAlign w:val="bottom"/>
          </w:tcPr>
          <w:p>
            <w:pPr>
              <w:ind w:left="20"/>
              <w:spacing w:after="0"/>
              <w:rPr>
                <w:sz w:val="20"/>
                <w:szCs w:val="20"/>
                <w:color w:val="auto"/>
              </w:rPr>
            </w:pPr>
            <w:r>
              <w:rPr>
                <w:rFonts w:ascii="Arial" w:cs="Arial" w:eastAsia="Arial" w:hAnsi="Arial"/>
                <w:sz w:val="14"/>
                <w:szCs w:val="14"/>
                <w:b w:val="1"/>
                <w:bCs w:val="1"/>
                <w:color w:val="auto"/>
              </w:rPr>
              <w:t>Total Marketplace revenues</w:t>
            </w: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154,388</w:t>
            </w:r>
          </w:p>
        </w:tc>
        <w:tc>
          <w:tcPr>
            <w:tcW w:w="24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130,542</w:t>
            </w:r>
          </w:p>
        </w:tc>
        <w:tc>
          <w:tcPr>
            <w:tcW w:w="12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23,846</w:t>
            </w:r>
          </w:p>
        </w:tc>
        <w:tc>
          <w:tcPr>
            <w:tcW w:w="2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18 %</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430,119</w:t>
            </w:r>
          </w:p>
        </w:tc>
        <w:tc>
          <w:tcPr>
            <w:tcW w:w="4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370,972</w:t>
            </w:r>
          </w:p>
        </w:tc>
        <w:tc>
          <w:tcPr>
            <w:tcW w:w="3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59,147</w:t>
            </w: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16 %</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-161925</wp:posOffset>
            </wp:positionV>
            <wp:extent cx="76835" cy="1625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-161925</wp:posOffset>
            </wp:positionV>
            <wp:extent cx="76835" cy="1625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-161925</wp:posOffset>
            </wp:positionV>
            <wp:extent cx="76835" cy="1625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-161925</wp:posOffset>
            </wp:positionV>
            <wp:extent cx="68580" cy="1625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-161925</wp:posOffset>
            </wp:positionV>
            <wp:extent cx="68580" cy="1625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-161925</wp:posOffset>
            </wp:positionV>
            <wp:extent cx="68580" cy="1625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-161925</wp:posOffset>
            </wp:positionV>
            <wp:extent cx="68580" cy="1625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1625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pacing w:after="0" w:line="83" w:lineRule="exact"/>
        <w:rPr>
          <w:sz w:val="20"/>
          <w:szCs w:val="20"/>
          <w:color w:val="auto"/>
        </w:rPr>
      </w:pPr>
    </w:p>
    <w:p>
      <w:pPr>
        <w:jc w:val="both"/>
        <w:ind w:right="60"/>
        <w:spacing w:after="0" w:line="273" w:lineRule="auto"/>
        <w:rPr>
          <w:sz w:val="20"/>
          <w:szCs w:val="20"/>
          <w:color w:val="auto"/>
        </w:rPr>
      </w:pPr>
      <w:r>
        <w:rPr>
          <w:rFonts w:ascii="Arial" w:cs="Arial" w:eastAsia="Arial" w:hAnsi="Arial"/>
          <w:sz w:val="18"/>
          <w:szCs w:val="18"/>
          <w:color w:val="auto"/>
        </w:rPr>
        <w:t>The increase in revenue from Owned Propertes during the three and nine months ended September 30, 2023 resulted primarily from an increase in new orders processed and an increase in average order size.</w:t>
      </w:r>
    </w:p>
    <w:p>
      <w:pPr>
        <w:spacing w:after="0" w:line="110"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Within our Marketplace segment, we also earn referral fee revenue by ofering event tcket insurance to tcket buyers, using a third-party insurance provider. Our referral fee revenue was $7.3 million and $21.9 million during the three and nine months ended September 30, 2023, respectvely, and $7.6 million and $25.9 million during the three and nine months ended September 30, 2022, respectvely. The decrease for both periods was due to declining insurance atachment rates to orders following abnormally high rates during the height of the COVID-19 pandemic and following the resumpton of live events in 2021 and 2022.</w:t>
      </w:r>
    </w:p>
    <w:p>
      <w:pPr>
        <w:spacing w:after="0" w:line="8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72" w:right="27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Resale</w:t>
      </w:r>
    </w:p>
    <w:p>
      <w:pPr>
        <w:spacing w:after="0" w:line="144"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Resale revenues increased $7.5 million, or 28%, during the three months ended September 30, 2023 compared to the three months ended September 30, 2022 and increased $20.1 million, or 31%, during the nine months ended September 30, 2023 compared to the nine months ended September 30 2022. The increase resulted primarily from higher order volume.</w:t>
      </w:r>
    </w:p>
    <w:p>
      <w:pPr>
        <w:spacing w:after="0" w:line="11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Total Resale orders increased 20,031, or 22%, during the three months ended September 30, 2023 compared to the three months ended September 30, 2022 and increased 48,276, or 21%, during the nine months ended September 30, 2023 compared to the nine months ended September 30, 2022. Cancellaton charges, which are classifed as a reducton of revenues, negatvely impacted Resale revenue by $0.3 million and $1.0 million for the three and nine months ended September 30, 2023, respectvely, compared to less than $0.1 million and $0.6 million for the three and nine months ended September 30, 2022, respectvely, due to an increase in the reserve for future cancellatons.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 (exclusive of Depreciaton and Amortzaton)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cost of revenues by segment (in thousands, except percentages):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0" w:type="dxa"/>
            <w:vAlign w:val="bottom"/>
          </w:tcPr>
          <w:p>
            <w:pPr>
              <w:spacing w:after="0"/>
              <w:rPr>
                <w:sz w:val="15"/>
                <w:szCs w:val="15"/>
                <w:color w:val="auto"/>
              </w:rPr>
            </w:pPr>
          </w:p>
        </w:tc>
        <w:tc>
          <w:tcPr>
            <w:tcW w:w="2200" w:type="dxa"/>
            <w:vAlign w:val="bottom"/>
            <w:gridSpan w:val="5"/>
          </w:tcPr>
          <w:p>
            <w:pPr>
              <w:ind w:left="40"/>
              <w:spacing w:after="0"/>
              <w:rPr>
                <w:sz w:val="20"/>
                <w:szCs w:val="20"/>
                <w:color w:val="auto"/>
              </w:rPr>
            </w:pPr>
            <w:r>
              <w:rPr>
                <w:rFonts w:ascii="Arial" w:cs="Arial" w:eastAsia="Arial" w:hAnsi="Arial"/>
                <w:sz w:val="14"/>
                <w:szCs w:val="14"/>
                <w:b w:val="1"/>
                <w:bCs w:val="1"/>
                <w:color w:val="auto"/>
                <w:w w:val="89"/>
              </w:rPr>
              <w:t>Three Months Ended September 30,</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gridSpan w:val="5"/>
          </w:tcPr>
          <w:p>
            <w:pPr>
              <w:ind w:left="20"/>
              <w:spacing w:after="0"/>
              <w:rPr>
                <w:sz w:val="20"/>
                <w:szCs w:val="20"/>
                <w:color w:val="auto"/>
              </w:rPr>
            </w:pPr>
            <w:r>
              <w:rPr>
                <w:rFonts w:ascii="Arial" w:cs="Arial" w:eastAsia="Arial" w:hAnsi="Arial"/>
                <w:sz w:val="14"/>
                <w:szCs w:val="14"/>
                <w:b w:val="1"/>
                <w:bCs w:val="1"/>
                <w:color w:val="auto"/>
                <w:w w:val="90"/>
              </w:rPr>
              <w:t>Nine Months Ended September 30,</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89"/>
              </w:rPr>
              <w:t>Change</w:t>
            </w:r>
          </w:p>
        </w:tc>
        <w:tc>
          <w:tcPr>
            <w:tcW w:w="220" w:type="dxa"/>
            <w:vAlign w:val="bottom"/>
          </w:tcPr>
          <w:p>
            <w:pPr>
              <w:spacing w:after="0"/>
              <w:rPr>
                <w:sz w:val="2"/>
                <w:szCs w:val="2"/>
                <w:color w:val="auto"/>
              </w:rPr>
            </w:pPr>
          </w:p>
        </w:tc>
        <w:tc>
          <w:tcPr>
            <w:tcW w:w="12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89"/>
              </w:rPr>
              <w:t>Change</w:t>
            </w:r>
          </w:p>
        </w:tc>
        <w:tc>
          <w:tcPr>
            <w:tcW w:w="220" w:type="dxa"/>
            <w:vAlign w:val="bottom"/>
          </w:tcPr>
          <w:p>
            <w:pPr>
              <w:spacing w:after="0"/>
              <w:rPr>
                <w:sz w:val="2"/>
                <w:szCs w:val="2"/>
                <w:color w:val="auto"/>
              </w:rPr>
            </w:pPr>
          </w:p>
        </w:tc>
        <w:tc>
          <w:tcPr>
            <w:tcW w:w="112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Cost of revenues:</w:t>
            </w: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00" w:type="dxa"/>
            <w:vAlign w:val="bottom"/>
          </w:tcPr>
          <w:p>
            <w:pPr>
              <w:ind w:left="20"/>
              <w:spacing w:after="0"/>
              <w:rPr>
                <w:sz w:val="20"/>
                <w:szCs w:val="20"/>
                <w:color w:val="auto"/>
              </w:rPr>
            </w:pPr>
            <w:r>
              <w:rPr>
                <w:rFonts w:ascii="Arial" w:cs="Arial" w:eastAsia="Arial" w:hAnsi="Arial"/>
                <w:sz w:val="14"/>
                <w:szCs w:val="14"/>
                <w:color w:val="auto"/>
              </w:rPr>
              <w:t>Marketplace</w:t>
            </w: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23,923</w:t>
            </w:r>
          </w:p>
        </w:tc>
        <w:tc>
          <w:tcPr>
            <w:tcW w:w="5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17,950</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5,973</w:t>
            </w:r>
          </w:p>
        </w:tc>
        <w:tc>
          <w:tcPr>
            <w:tcW w:w="1460" w:type="dxa"/>
            <w:vAlign w:val="bottom"/>
            <w:gridSpan w:val="3"/>
          </w:tcPr>
          <w:p>
            <w:pPr>
              <w:jc w:val="right"/>
              <w:ind w:right="120"/>
              <w:spacing w:after="0"/>
              <w:rPr>
                <w:sz w:val="20"/>
                <w:szCs w:val="20"/>
                <w:color w:val="auto"/>
              </w:rPr>
            </w:pPr>
            <w:r>
              <w:rPr>
                <w:rFonts w:ascii="Arial" w:cs="Arial" w:eastAsia="Arial" w:hAnsi="Arial"/>
                <w:sz w:val="14"/>
                <w:szCs w:val="14"/>
                <w:color w:val="auto"/>
              </w:rPr>
              <w:t>33 %</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66,749</w:t>
            </w: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52,912</w:t>
            </w:r>
          </w:p>
        </w:tc>
        <w:tc>
          <w:tcPr>
            <w:tcW w:w="4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13,837</w:t>
            </w: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26 %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Resale</w:t>
            </w: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26,539</w:t>
            </w: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19,667</w:t>
            </w: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6,872</w:t>
            </w:r>
          </w:p>
        </w:tc>
        <w:tc>
          <w:tcPr>
            <w:tcW w:w="2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35 %</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64,089</w:t>
            </w: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49,291</w:t>
            </w: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14,798</w:t>
            </w:r>
          </w:p>
        </w:tc>
        <w:tc>
          <w:tcPr>
            <w:tcW w:w="13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30 %</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00" w:type="dxa"/>
            <w:vAlign w:val="bottom"/>
          </w:tcPr>
          <w:p>
            <w:pPr>
              <w:ind w:left="20"/>
              <w:spacing w:after="0"/>
              <w:rPr>
                <w:sz w:val="20"/>
                <w:szCs w:val="20"/>
                <w:color w:val="auto"/>
              </w:rPr>
            </w:pPr>
            <w:r>
              <w:rPr>
                <w:rFonts w:ascii="Arial" w:cs="Arial" w:eastAsia="Arial" w:hAnsi="Arial"/>
                <w:sz w:val="14"/>
                <w:szCs w:val="14"/>
                <w:b w:val="1"/>
                <w:bCs w:val="1"/>
                <w:color w:val="auto"/>
              </w:rPr>
              <w:t>Total cost of revenues</w:t>
            </w:r>
          </w:p>
        </w:tc>
        <w:tc>
          <w:tcPr>
            <w:tcW w:w="2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50,462</w:t>
            </w:r>
          </w:p>
        </w:tc>
        <w:tc>
          <w:tcPr>
            <w:tcW w:w="30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37,617</w:t>
            </w:r>
          </w:p>
        </w:tc>
        <w:tc>
          <w:tcPr>
            <w:tcW w:w="3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12,845</w:t>
            </w:r>
          </w:p>
        </w:tc>
        <w:tc>
          <w:tcPr>
            <w:tcW w:w="22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34 %</w:t>
            </w: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130,838</w:t>
            </w:r>
          </w:p>
        </w:tc>
        <w:tc>
          <w:tcPr>
            <w:tcW w:w="4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102,203</w:t>
            </w:r>
          </w:p>
        </w:tc>
        <w:tc>
          <w:tcPr>
            <w:tcW w:w="4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28,635</w:t>
            </w: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28 %</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-162560</wp:posOffset>
            </wp:positionV>
            <wp:extent cx="77470" cy="16319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-162560</wp:posOffset>
            </wp:positionV>
            <wp:extent cx="76835" cy="16319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-162560</wp:posOffset>
            </wp:positionV>
            <wp:extent cx="68580" cy="16319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-162560</wp:posOffset>
            </wp:positionV>
            <wp:extent cx="68580" cy="16319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-162560</wp:posOffset>
            </wp:positionV>
            <wp:extent cx="68580" cy="16319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-162560</wp:posOffset>
            </wp:positionV>
            <wp:extent cx="68580" cy="16319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-162560</wp:posOffset>
            </wp:positionV>
            <wp:extent cx="68580" cy="16319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16319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96" w:lineRule="exact"/>
        <w:rPr>
          <w:sz w:val="20"/>
          <w:szCs w:val="20"/>
          <w:color w:val="auto"/>
        </w:rPr>
      </w:pPr>
    </w:p>
    <w:p>
      <w:pPr>
        <w:jc w:val="both"/>
        <w:ind w:right="20"/>
        <w:spacing w:after="0" w:line="309" w:lineRule="auto"/>
        <w:rPr>
          <w:sz w:val="20"/>
          <w:szCs w:val="20"/>
          <w:color w:val="auto"/>
        </w:rPr>
      </w:pPr>
      <w:r>
        <w:rPr>
          <w:rFonts w:ascii="Arial" w:cs="Arial" w:eastAsia="Arial" w:hAnsi="Arial"/>
          <w:sz w:val="16"/>
          <w:szCs w:val="16"/>
          <w:color w:val="auto"/>
        </w:rPr>
        <w:t>Total cost of revenues increased $12.8 million, or 34%, for the three months ended September 30, 2023 compared to the three months ended September 30, 2022, and increased $28.6 million, or 28%, for the nine months ended September 30, 2023 compared to the nine months ended September 30, 2022. The increase was primarily driven by higher Marketplace GOV in our Marketplace segment and higher revenue in our Resale segment.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Marketplace</w:t>
      </w:r>
    </w:p>
    <w:p>
      <w:pPr>
        <w:spacing w:after="0" w:line="144"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Marketplace cost of revenues increased $6.0 million, or 33%, for the three months ended September 30, 2023 compared to the three months ended September 30, 2022, and increased $13.8 million, or 26%, for the nine months ended September 30, 2023 compared to the nine months ended September 30, 2022. The increase was relatvely consistent with the increase in Marketplace GOV, which increased by 28% and 20% during the same respectve periods.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Resale</w:t>
      </w:r>
    </w:p>
    <w:p>
      <w:pPr>
        <w:spacing w:after="0" w:line="158"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Resale cost of revenues increased $6.9 million, or 35%, for the three months ended September 30, 2023 compared to the three months ended September 30, 2022, which was higher than the 28% increase in Resale revenues over the same period, due to event category mix. Resale cost of revenues increased $14.8 million, or 30%, for the nine months ended September 30, 2023 compared to the nine months ended September 30, 2022. The increase was relatvely consistent with the 31% increase in Resale revenues over the same period.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Marketng and Selling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marketng and selling expenses (in thousands, except percentages):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00" w:type="dxa"/>
            <w:vAlign w:val="bottom"/>
          </w:tcPr>
          <w:p>
            <w:pPr>
              <w:spacing w:after="0"/>
              <w:rPr>
                <w:sz w:val="15"/>
                <w:szCs w:val="15"/>
                <w:color w:val="auto"/>
              </w:rPr>
            </w:pPr>
          </w:p>
        </w:tc>
        <w:tc>
          <w:tcPr>
            <w:tcW w:w="1980" w:type="dxa"/>
            <w:vAlign w:val="bottom"/>
            <w:gridSpan w:val="5"/>
          </w:tcPr>
          <w:p>
            <w:pPr>
              <w:ind w:left="20"/>
              <w:spacing w:after="0"/>
              <w:rPr>
                <w:sz w:val="20"/>
                <w:szCs w:val="20"/>
                <w:color w:val="auto"/>
              </w:rPr>
            </w:pPr>
            <w:r>
              <w:rPr>
                <w:rFonts w:ascii="Arial" w:cs="Arial" w:eastAsia="Arial" w:hAnsi="Arial"/>
                <w:sz w:val="14"/>
                <w:szCs w:val="14"/>
                <w:b w:val="1"/>
                <w:bCs w:val="1"/>
                <w:color w:val="auto"/>
                <w:w w:val="90"/>
              </w:rPr>
              <w:t>Three Months Ended September</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89"/>
              </w:rPr>
              <w:t>Change</w:t>
            </w:r>
          </w:p>
        </w:tc>
        <w:tc>
          <w:tcPr>
            <w:tcW w:w="220" w:type="dxa"/>
            <w:vAlign w:val="bottom"/>
          </w:tcPr>
          <w:p>
            <w:pPr>
              <w:spacing w:after="0"/>
              <w:rPr>
                <w:sz w:val="2"/>
                <w:szCs w:val="2"/>
                <w:color w:val="auto"/>
              </w:rPr>
            </w:pPr>
          </w:p>
        </w:tc>
        <w:tc>
          <w:tcPr>
            <w:tcW w:w="13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tcPr>
          <w:p>
            <w:pPr>
              <w:spacing w:after="0"/>
              <w:rPr>
                <w:sz w:val="2"/>
                <w:szCs w:val="2"/>
                <w:color w:val="auto"/>
              </w:rPr>
            </w:pPr>
          </w:p>
        </w:tc>
        <w:tc>
          <w:tcPr>
            <w:tcW w:w="126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2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2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88"/>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Marketng and selling:</w:t>
            </w:r>
          </w:p>
        </w:tc>
        <w:tc>
          <w:tcPr>
            <w:tcW w:w="18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300" w:type="dxa"/>
            <w:vAlign w:val="bottom"/>
          </w:tcPr>
          <w:p>
            <w:pPr>
              <w:ind w:left="20"/>
              <w:spacing w:after="0"/>
              <w:rPr>
                <w:sz w:val="20"/>
                <w:szCs w:val="20"/>
                <w:color w:val="auto"/>
              </w:rPr>
            </w:pPr>
            <w:r>
              <w:rPr>
                <w:rFonts w:ascii="Arial" w:cs="Arial" w:eastAsia="Arial" w:hAnsi="Arial"/>
                <w:sz w:val="14"/>
                <w:szCs w:val="14"/>
                <w:color w:val="auto"/>
              </w:rPr>
              <w:t>Online</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66,226</w:t>
            </w:r>
          </w:p>
        </w:tc>
        <w:tc>
          <w:tcPr>
            <w:tcW w:w="4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59,774</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6,452</w:t>
            </w:r>
          </w:p>
        </w:tc>
        <w:tc>
          <w:tcPr>
            <w:tcW w:w="1580" w:type="dxa"/>
            <w:vAlign w:val="bottom"/>
            <w:gridSpan w:val="3"/>
          </w:tcPr>
          <w:p>
            <w:pPr>
              <w:jc w:val="right"/>
              <w:ind w:right="100"/>
              <w:spacing w:after="0"/>
              <w:rPr>
                <w:sz w:val="20"/>
                <w:szCs w:val="20"/>
                <w:color w:val="auto"/>
              </w:rPr>
            </w:pPr>
            <w:r>
              <w:rPr>
                <w:rFonts w:ascii="Arial" w:cs="Arial" w:eastAsia="Arial" w:hAnsi="Arial"/>
                <w:sz w:val="14"/>
                <w:szCs w:val="14"/>
                <w:color w:val="auto"/>
              </w:rPr>
              <w:t>11 %</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174,224</w:t>
            </w:r>
          </w:p>
        </w:tc>
        <w:tc>
          <w:tcPr>
            <w:tcW w:w="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164,444</w:t>
            </w: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9,780</w:t>
            </w:r>
          </w:p>
        </w:tc>
        <w:tc>
          <w:tcPr>
            <w:tcW w:w="1460" w:type="dxa"/>
            <w:vAlign w:val="bottom"/>
            <w:gridSpan w:val="3"/>
          </w:tcPr>
          <w:p>
            <w:pPr>
              <w:jc w:val="right"/>
              <w:spacing w:after="0"/>
              <w:rPr>
                <w:sz w:val="20"/>
                <w:szCs w:val="20"/>
                <w:color w:val="auto"/>
              </w:rPr>
            </w:pPr>
            <w:r>
              <w:rPr>
                <w:rFonts w:ascii="Arial" w:cs="Arial" w:eastAsia="Arial" w:hAnsi="Arial"/>
                <w:sz w:val="14"/>
                <w:szCs w:val="14"/>
                <w:color w:val="auto"/>
              </w:rPr>
              <w:t>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300" w:type="dxa"/>
            <w:vAlign w:val="bottom"/>
            <w:shd w:val="clear" w:color="auto" w:fill="CFF0FC"/>
          </w:tcPr>
          <w:p>
            <w:pPr>
              <w:ind w:left="20"/>
              <w:spacing w:after="0"/>
              <w:rPr>
                <w:sz w:val="20"/>
                <w:szCs w:val="20"/>
                <w:color w:val="auto"/>
              </w:rPr>
            </w:pPr>
            <w:r>
              <w:rPr>
                <w:rFonts w:ascii="Arial" w:cs="Arial" w:eastAsia="Arial" w:hAnsi="Arial"/>
                <w:sz w:val="14"/>
                <w:szCs w:val="14"/>
                <w:color w:val="auto"/>
              </w:rPr>
              <w:t>Ofine</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10,780</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6,549</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4,231</w:t>
            </w:r>
          </w:p>
        </w:tc>
        <w:tc>
          <w:tcPr>
            <w:tcW w:w="22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65 %</w:t>
            </w: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22,746</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15,519</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7,227</w:t>
            </w:r>
          </w:p>
        </w:tc>
        <w:tc>
          <w:tcPr>
            <w:tcW w:w="14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47 %</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300" w:type="dxa"/>
            <w:vAlign w:val="bottom"/>
          </w:tcPr>
          <w:p>
            <w:pPr>
              <w:ind w:left="20"/>
              <w:spacing w:after="0"/>
              <w:rPr>
                <w:sz w:val="20"/>
                <w:szCs w:val="20"/>
                <w:color w:val="auto"/>
              </w:rPr>
            </w:pPr>
            <w:r>
              <w:rPr>
                <w:rFonts w:ascii="Arial" w:cs="Arial" w:eastAsia="Arial" w:hAnsi="Arial"/>
                <w:sz w:val="14"/>
                <w:szCs w:val="14"/>
                <w:b w:val="1"/>
                <w:bCs w:val="1"/>
                <w:color w:val="auto"/>
              </w:rPr>
              <w:t>Total marketng and selling</w:t>
            </w: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77,006</w:t>
            </w:r>
          </w:p>
        </w:tc>
        <w:tc>
          <w:tcPr>
            <w:tcW w:w="24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66,323</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10,683</w:t>
            </w:r>
          </w:p>
        </w:tc>
        <w:tc>
          <w:tcPr>
            <w:tcW w:w="22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16 %</w:t>
            </w:r>
          </w:p>
        </w:tc>
        <w:tc>
          <w:tcPr>
            <w:tcW w:w="180" w:type="dxa"/>
            <w:vAlign w:val="bottom"/>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196,970</w:t>
            </w:r>
          </w:p>
        </w:tc>
        <w:tc>
          <w:tcPr>
            <w:tcW w:w="4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179,963</w:t>
            </w:r>
          </w:p>
        </w:tc>
        <w:tc>
          <w:tcPr>
            <w:tcW w:w="3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17,007</w:t>
            </w: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9 %</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-162560</wp:posOffset>
            </wp:positionV>
            <wp:extent cx="76835" cy="16319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-162560</wp:posOffset>
            </wp:positionV>
            <wp:extent cx="76835" cy="16319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-162560</wp:posOffset>
            </wp:positionV>
            <wp:extent cx="68580" cy="16319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-162560</wp:posOffset>
            </wp:positionV>
            <wp:extent cx="68580" cy="16319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-162560</wp:posOffset>
            </wp:positionV>
            <wp:extent cx="68580" cy="16319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-162560</wp:posOffset>
            </wp:positionV>
            <wp:extent cx="68580" cy="16319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-162560</wp:posOffset>
            </wp:positionV>
            <wp:extent cx="68580" cy="16319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16319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472" w:right="319" w:bottom="1440" w:gutter="0" w:footer="0" w:header="0"/>
        </w:sectPr>
      </w:pPr>
    </w:p>
    <w:bookmarkStart w:id="36" w:name="page37"/>
    <w:bookmarkEnd w:id="36"/>
    <w:p>
      <w:pPr>
        <w:jc w:val="both"/>
        <w:ind w:right="60"/>
        <w:spacing w:after="0" w:line="256" w:lineRule="auto"/>
        <w:rPr>
          <w:sz w:val="20"/>
          <w:szCs w:val="20"/>
          <w:color w:val="auto"/>
        </w:rPr>
      </w:pPr>
      <w:r>
        <w:rPr>
          <w:rFonts w:ascii="Arial" w:cs="Arial" w:eastAsia="Arial" w:hAnsi="Arial"/>
          <w:sz w:val="18"/>
          <w:szCs w:val="18"/>
          <w:color w:val="auto"/>
        </w:rPr>
        <w:t>Marketng and selling expenses, which are entrely atributable to our Marketplace segment, increased $10.7 million, or 16%, during the three months ended September 30, 2023 compared to the three months ended September 30, 2022, and increased $17.0 million, or 9%, during the nine months ended September 30, 2023 compared to the nine months ended September 30, 2022. The increase resulted from greater spending on online advertsing, atributable to higher Marketplace GOV, and higher spending on ofine advertsing, atributable to increased brand marketng and partnership eforts to further cultvate brand awareness and afnity.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general and administratve expenses (in thousands, except percentages):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4"/>
          </w:tcPr>
          <w:p>
            <w:pPr>
              <w:jc w:val="right"/>
              <w:ind w:right="308"/>
              <w:spacing w:after="0"/>
              <w:rPr>
                <w:sz w:val="20"/>
                <w:szCs w:val="20"/>
                <w:color w:val="auto"/>
              </w:rPr>
            </w:pPr>
            <w:r>
              <w:rPr>
                <w:rFonts w:ascii="Arial" w:cs="Arial" w:eastAsia="Arial" w:hAnsi="Arial"/>
                <w:sz w:val="14"/>
                <w:szCs w:val="14"/>
                <w:b w:val="1"/>
                <w:bCs w:val="1"/>
                <w:color w:val="auto"/>
                <w:w w:val="98"/>
              </w:rPr>
              <w:t>Three Months Ended</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4"/>
          </w:tcPr>
          <w:p>
            <w:pPr>
              <w:jc w:val="right"/>
              <w:ind w:right="408"/>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tcPr>
          <w:p>
            <w:pPr>
              <w:spacing w:after="0"/>
              <w:rPr>
                <w:sz w:val="2"/>
                <w:szCs w:val="2"/>
                <w:color w:val="auto"/>
              </w:rPr>
            </w:pPr>
          </w:p>
        </w:tc>
        <w:tc>
          <w:tcPr>
            <w:tcW w:w="1340" w:type="dxa"/>
            <w:vAlign w:val="bottom"/>
            <w:gridSpan w:val="2"/>
            <w:vMerge w:val="restart"/>
          </w:tcPr>
          <w:p>
            <w:pPr>
              <w:jc w:val="right"/>
              <w:ind w:right="408"/>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9"/>
              </w:rPr>
              <w:t>Change</w:t>
            </w:r>
          </w:p>
        </w:tc>
        <w:tc>
          <w:tcPr>
            <w:tcW w:w="140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2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88"/>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General and administratve:</w:t>
            </w:r>
          </w:p>
        </w:tc>
        <w:tc>
          <w:tcPr>
            <w:tcW w:w="20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280" w:type="dxa"/>
            <w:vAlign w:val="bottom"/>
          </w:tcPr>
          <w:p>
            <w:pPr>
              <w:ind w:left="20"/>
              <w:spacing w:after="0"/>
              <w:rPr>
                <w:sz w:val="20"/>
                <w:szCs w:val="20"/>
                <w:color w:val="auto"/>
              </w:rPr>
            </w:pPr>
            <w:r>
              <w:rPr>
                <w:rFonts w:ascii="Arial" w:cs="Arial" w:eastAsia="Arial" w:hAnsi="Arial"/>
                <w:sz w:val="14"/>
                <w:szCs w:val="14"/>
                <w:color w:val="auto"/>
              </w:rPr>
              <w:t>Personnel expenses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27,740</w:t>
            </w:r>
          </w:p>
        </w:tc>
        <w:tc>
          <w:tcPr>
            <w:tcW w:w="4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22,251</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5,489</w:t>
            </w:r>
          </w:p>
        </w:tc>
        <w:tc>
          <w:tcPr>
            <w:tcW w:w="1540" w:type="dxa"/>
            <w:vAlign w:val="bottom"/>
            <w:gridSpan w:val="3"/>
          </w:tcPr>
          <w:p>
            <w:pPr>
              <w:jc w:val="right"/>
              <w:ind w:right="28"/>
              <w:spacing w:after="0"/>
              <w:rPr>
                <w:sz w:val="20"/>
                <w:szCs w:val="20"/>
                <w:color w:val="auto"/>
              </w:rPr>
            </w:pPr>
            <w:r>
              <w:rPr>
                <w:rFonts w:ascii="Arial" w:cs="Arial" w:eastAsia="Arial" w:hAnsi="Arial"/>
                <w:sz w:val="14"/>
                <w:szCs w:val="14"/>
                <w:color w:val="auto"/>
              </w:rPr>
              <w:t>25 %</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78,791</w:t>
            </w:r>
          </w:p>
        </w:tc>
        <w:tc>
          <w:tcPr>
            <w:tcW w:w="4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64,685</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14,106</w:t>
            </w:r>
          </w:p>
        </w:tc>
        <w:tc>
          <w:tcPr>
            <w:tcW w:w="22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22 %</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280" w:type="dxa"/>
            <w:vAlign w:val="bottom"/>
          </w:tcPr>
          <w:p>
            <w:pPr>
              <w:ind w:left="20"/>
              <w:spacing w:after="0"/>
              <w:rPr>
                <w:sz w:val="20"/>
                <w:szCs w:val="20"/>
                <w:color w:val="auto"/>
              </w:rPr>
            </w:pPr>
            <w:r>
              <w:rPr>
                <w:rFonts w:ascii="Arial" w:cs="Arial" w:eastAsia="Arial" w:hAnsi="Arial"/>
                <w:sz w:val="14"/>
                <w:szCs w:val="14"/>
                <w:color w:val="auto"/>
              </w:rPr>
              <w:t>Non-income tax expenses</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472</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295</w:t>
            </w:r>
          </w:p>
        </w:tc>
        <w:tc>
          <w:tcPr>
            <w:tcW w:w="1540" w:type="dxa"/>
            <w:vAlign w:val="bottom"/>
            <w:gridSpan w:val="3"/>
          </w:tcPr>
          <w:p>
            <w:pPr>
              <w:jc w:val="right"/>
              <w:ind w:right="28"/>
              <w:spacing w:after="0"/>
              <w:rPr>
                <w:sz w:val="20"/>
                <w:szCs w:val="20"/>
                <w:color w:val="auto"/>
              </w:rPr>
            </w:pPr>
            <w:r>
              <w:rPr>
                <w:rFonts w:ascii="Arial" w:cs="Arial" w:eastAsia="Arial" w:hAnsi="Arial"/>
                <w:sz w:val="14"/>
                <w:szCs w:val="14"/>
                <w:color w:val="auto"/>
              </w:rPr>
              <w:t>167 %</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1,426</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3,859</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(2,433 )</w:t>
            </w:r>
          </w:p>
        </w:tc>
        <w:tc>
          <w:tcPr>
            <w:tcW w:w="1400" w:type="dxa"/>
            <w:vAlign w:val="bottom"/>
            <w:gridSpan w:val="3"/>
          </w:tcPr>
          <w:p>
            <w:pPr>
              <w:jc w:val="right"/>
              <w:spacing w:after="0"/>
              <w:rPr>
                <w:sz w:val="20"/>
                <w:szCs w:val="20"/>
                <w:color w:val="auto"/>
              </w:rPr>
            </w:pPr>
            <w:r>
              <w:rPr>
                <w:rFonts w:ascii="Arial" w:cs="Arial" w:eastAsia="Arial" w:hAnsi="Arial"/>
                <w:sz w:val="14"/>
                <w:szCs w:val="14"/>
                <w:color w:val="auto"/>
              </w:rPr>
              <w:t>(63 )%</w:t>
            </w:r>
          </w:p>
        </w:tc>
        <w:tc>
          <w:tcPr>
            <w:tcW w:w="0" w:type="dxa"/>
            <w:vAlign w:val="bottom"/>
          </w:tcPr>
          <w:p>
            <w:pPr>
              <w:spacing w:after="0"/>
              <w:rPr>
                <w:sz w:val="1"/>
                <w:szCs w:val="1"/>
                <w:color w:val="auto"/>
              </w:rPr>
            </w:pPr>
          </w:p>
        </w:tc>
      </w:tr>
      <w:tr>
        <w:trPr>
          <w:trHeight w:val="228"/>
        </w:trPr>
        <w:tc>
          <w:tcPr>
            <w:tcW w:w="2280" w:type="dxa"/>
            <w:vAlign w:val="bottom"/>
          </w:tcPr>
          <w:p>
            <w:pPr>
              <w:ind w:left="20"/>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9,013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7,811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1,202</w:t>
            </w:r>
          </w:p>
        </w:tc>
        <w:tc>
          <w:tcPr>
            <w:tcW w:w="1540" w:type="dxa"/>
            <w:vAlign w:val="bottom"/>
            <w:gridSpan w:val="3"/>
          </w:tcPr>
          <w:p>
            <w:pPr>
              <w:jc w:val="right"/>
              <w:ind w:right="28"/>
              <w:spacing w:after="0"/>
              <w:rPr>
                <w:sz w:val="20"/>
                <w:szCs w:val="20"/>
                <w:color w:val="auto"/>
              </w:rPr>
            </w:pPr>
            <w:r>
              <w:rPr>
                <w:rFonts w:ascii="Arial" w:cs="Arial" w:eastAsia="Arial" w:hAnsi="Arial"/>
                <w:sz w:val="14"/>
                <w:szCs w:val="14"/>
                <w:color w:val="auto"/>
              </w:rPr>
              <w:t>15 %</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27,704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27,177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527</w:t>
            </w:r>
          </w:p>
        </w:tc>
        <w:tc>
          <w:tcPr>
            <w:tcW w:w="220" w:type="dxa"/>
            <w:vAlign w:val="bottom"/>
          </w:tcPr>
          <w:p>
            <w:pPr>
              <w:spacing w:after="0"/>
              <w:rPr>
                <w:sz w:val="19"/>
                <w:szCs w:val="19"/>
                <w:color w:val="auto"/>
              </w:rPr>
            </w:pPr>
          </w:p>
        </w:tc>
        <w:tc>
          <w:tcPr>
            <w:tcW w:w="1400" w:type="dxa"/>
            <w:vAlign w:val="bottom"/>
            <w:gridSpan w:val="3"/>
          </w:tcPr>
          <w:p>
            <w:pPr>
              <w:jc w:val="right"/>
              <w:ind w:right="60"/>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243"/>
        </w:trPr>
        <w:tc>
          <w:tcPr>
            <w:tcW w:w="2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Total general and administratve</w:t>
            </w:r>
          </w:p>
        </w:tc>
        <w:tc>
          <w:tcPr>
            <w:tcW w:w="20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37,225</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30,239</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6,986</w:t>
            </w:r>
          </w:p>
        </w:tc>
        <w:tc>
          <w:tcPr>
            <w:tcW w:w="2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23</w:t>
            </w:r>
          </w:p>
        </w:tc>
        <w:tc>
          <w:tcPr>
            <w:tcW w:w="220" w:type="dxa"/>
            <w:vAlign w:val="bottom"/>
            <w:tcBorders>
              <w:bottom w:val="single" w:sz="8" w:color="CFF0FC"/>
            </w:tcBorders>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9"/>
              </w:rPr>
              <w:t>%</w:t>
            </w:r>
          </w:p>
        </w:tc>
        <w:tc>
          <w:tcPr>
            <w:tcW w:w="18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107,921</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95,721</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12,200</w:t>
            </w:r>
          </w:p>
        </w:tc>
        <w:tc>
          <w:tcPr>
            <w:tcW w:w="2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2"/>
                <w:szCs w:val="12"/>
                <w:b w:val="1"/>
                <w:bCs w:val="1"/>
                <w:color w:val="auto"/>
                <w:w w:val="74"/>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289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-24765</wp:posOffset>
            </wp:positionV>
            <wp:extent cx="768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-7620</wp:posOffset>
            </wp:positionV>
            <wp:extent cx="768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-24765</wp:posOffset>
            </wp:positionV>
            <wp:extent cx="768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-7620</wp:posOffset>
            </wp:positionV>
            <wp:extent cx="768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-24765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-7620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-24765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-7620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-24765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-7620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-24765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6" w:lineRule="exact"/>
        <w:rPr>
          <w:sz w:val="20"/>
          <w:szCs w:val="20"/>
          <w:color w:val="auto"/>
        </w:rPr>
      </w:pPr>
    </w:p>
    <w:p>
      <w:pPr>
        <w:jc w:val="both"/>
        <w:ind w:right="60"/>
        <w:spacing w:after="0" w:line="258" w:lineRule="auto"/>
        <w:rPr>
          <w:sz w:val="20"/>
          <w:szCs w:val="20"/>
          <w:color w:val="auto"/>
        </w:rPr>
      </w:pPr>
      <w:r>
        <w:rPr>
          <w:rFonts w:ascii="Arial" w:cs="Arial" w:eastAsia="Arial" w:hAnsi="Arial"/>
          <w:sz w:val="18"/>
          <w:szCs w:val="18"/>
          <w:color w:val="auto"/>
        </w:rPr>
        <w:t>Total general and administratve expenses increased $7.0 million, or 23%, for the three months ended September 30, 2023 compared to the three months ended September 30, 2022, and increased $12.2 million, or 13%, for the nine months ended September 30, 2023 compared to the nine months ended September 30, 2022. The increase was primarily due to higher personnel expenses from higher equity-based compensaton expense and from higher employee headcount.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Depreciaton and Amortzaton</w:t>
      </w:r>
    </w:p>
    <w:p>
      <w:pPr>
        <w:spacing w:after="0" w:line="160" w:lineRule="exact"/>
        <w:rPr>
          <w:sz w:val="20"/>
          <w:szCs w:val="20"/>
          <w:color w:val="auto"/>
        </w:rPr>
      </w:pPr>
    </w:p>
    <w:p>
      <w:pPr>
        <w:jc w:val="both"/>
        <w:ind w:right="60"/>
        <w:spacing w:after="0" w:line="258" w:lineRule="auto"/>
        <w:rPr>
          <w:sz w:val="20"/>
          <w:szCs w:val="20"/>
          <w:color w:val="auto"/>
        </w:rPr>
      </w:pPr>
      <w:r>
        <w:rPr>
          <w:rFonts w:ascii="Arial" w:cs="Arial" w:eastAsia="Arial" w:hAnsi="Arial"/>
          <w:sz w:val="18"/>
          <w:szCs w:val="18"/>
          <w:color w:val="auto"/>
        </w:rPr>
        <w:t>Depreciaton and amortzaton expenses increased $1.1 million, or 53%, during the three months ended September 30, 2023 compared to the three months ended September 30, 2022 and increased $3.3 million, or 63%, during the nine months ended September 30, 2023 compared to the nine months ended September 30, 2022. The increase was primarily related to an increase in development actvites related to our platorm and the intangibles acquired as part of our acquisiton of Betcha (which was rebranded as "Vivid Picks").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Fair Value of Contngent Consideraton</w:t>
      </w:r>
    </w:p>
    <w:p>
      <w:pPr>
        <w:spacing w:after="0" w:line="146" w:lineRule="exact"/>
        <w:rPr>
          <w:sz w:val="20"/>
          <w:szCs w:val="20"/>
          <w:color w:val="auto"/>
        </w:rPr>
      </w:pPr>
    </w:p>
    <w:p>
      <w:pPr>
        <w:jc w:val="both"/>
        <w:ind w:right="80"/>
        <w:spacing w:after="0" w:line="273" w:lineRule="auto"/>
        <w:rPr>
          <w:sz w:val="20"/>
          <w:szCs w:val="20"/>
          <w:color w:val="auto"/>
        </w:rPr>
      </w:pPr>
      <w:r>
        <w:rPr>
          <w:rFonts w:ascii="Arial" w:cs="Arial" w:eastAsia="Arial" w:hAnsi="Arial"/>
          <w:sz w:val="18"/>
          <w:szCs w:val="18"/>
          <w:color w:val="auto"/>
        </w:rPr>
        <w:t>Change in fair value of contngent consideraton was less than $0.1 million and $1.0 million during the three and nine months ended September 30, 2023, respectvely, due to the fair value remeasurement of cash earnouts.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 net</w:t>
      </w:r>
    </w:p>
    <w:p>
      <w:pPr>
        <w:spacing w:after="0" w:line="144"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Interest expense decreased $0.4 million, or 12%, for the three months ended September 30, 2023 compared to the three months ended September 30, 2022 and decreased $0.9 million, or 10%, for the nine months ended September 30, 2023 compared to the nine months ended September 30, 2022 due to higher interest income.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extnguishment of debt</w:t>
      </w:r>
    </w:p>
    <w:p>
      <w:pPr>
        <w:spacing w:after="0" w:line="158" w:lineRule="exact"/>
        <w:rPr>
          <w:sz w:val="20"/>
          <w:szCs w:val="20"/>
          <w:color w:val="auto"/>
        </w:rPr>
      </w:pPr>
    </w:p>
    <w:p>
      <w:pPr>
        <w:jc w:val="both"/>
        <w:ind w:right="60"/>
        <w:spacing w:after="0" w:line="303" w:lineRule="auto"/>
        <w:rPr>
          <w:sz w:val="20"/>
          <w:szCs w:val="20"/>
          <w:color w:val="auto"/>
        </w:rPr>
      </w:pPr>
      <w:r>
        <w:rPr>
          <w:rFonts w:ascii="Arial" w:cs="Arial" w:eastAsia="Arial" w:hAnsi="Arial"/>
          <w:sz w:val="17"/>
          <w:szCs w:val="17"/>
          <w:color w:val="auto"/>
        </w:rPr>
        <w:t>Loss on extnguishment of debt was $4.3 million during the nine months ended September 30, 2022 due to the refnancing of the June 2017 First Lien Loan with the February 2022 First Lien Loan. There was no loss on extnguishment of debt for the nine months ended September 30, 2023.</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158"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Other income increased $1.0 million, or 1,497%, for the three months ended September 30, 2023 compared to the three months ended September 30, 2022 and decreased $6.3 million, or 94%, for the nine months ended September 30, 2023 compared to the nine months ended September 30, 2022, primarily due to the fair value remeasurement</w:t>
      </w:r>
    </w:p>
    <w:p>
      <w:pPr>
        <w:spacing w:after="0" w:line="7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72" w:right="279" w:bottom="1440" w:gutter="0" w:footer="0" w:header="0"/>
        </w:sectPr>
      </w:pPr>
    </w:p>
    <w:bookmarkStart w:id="37" w:name="page38"/>
    <w:bookmarkEnd w:id="37"/>
    <w:p>
      <w:pPr>
        <w:jc w:val="both"/>
        <w:spacing w:after="0" w:line="273" w:lineRule="auto"/>
        <w:rPr>
          <w:sz w:val="20"/>
          <w:szCs w:val="20"/>
          <w:color w:val="auto"/>
        </w:rPr>
      </w:pPr>
      <w:r>
        <w:rPr>
          <w:rFonts w:ascii="Arial" w:cs="Arial" w:eastAsia="Arial" w:hAnsi="Arial"/>
          <w:sz w:val="18"/>
          <w:szCs w:val="18"/>
          <w:color w:val="auto"/>
        </w:rPr>
        <w:t>of the Hoya Intermediate Warrants and foreign currency revaluaton losses due to unrealized losses arising from the remeasurement of non-operatng assets and liabilites denominated in non-functonal currencies on the balance sheet date.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 (beneft)</w:t>
      </w:r>
    </w:p>
    <w:p>
      <w:pPr>
        <w:spacing w:after="0" w:line="16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Income tax expense was $2.6 million during the three months ended September 30, 2023 and income tax beneft was $21.6 million during the nine months ended September 30, 2023 largely due to the impact of noncontrolling interests and the release of our valuaton allowance on our U.S. net operatng losses, interest limitatons, and tax credit carryforwards.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historically fnanced our operatons primarily through cash generated from our operatng actvites. Our primary short-term requirements for liquidity and capital are to fund general working capital, capital expenditures, and debt service requirements. Our primary long-term liquidity needs are related to debt repayment and potental acquisitons.</w:t>
      </w:r>
    </w:p>
    <w:p>
      <w:pPr>
        <w:spacing w:after="0" w:line="11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primary source of funds is cash generated from operatons. Our existng cash and cash equivalents are sufcient to fund our liquidity needs for at least the next 12 months. As of September 30, 2023, we had $268.7 million of cash and cash equivalents, which consist of interest-bearing deposit accounts, money market accounts managed by fnancial insttutons, and highly liquid investments with maturites of three months or less. For the nine months ended September 30, 2023, we generated positve cash fows from our operatng actvites.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agreements</w:t>
      </w:r>
    </w:p>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had an outstanding loan balance of $465.7 million under the June 2017 First Lien Loan as of December 31, 2021. In the frst quarter of 2022, we repaid $190.7 million of the outstanding balance of the June 2017 First Lien Loan. On February 3, 2022, we entered into an amendment which refnanced the remaining balance of the June 2017 First Lien Loan with a new $275.0 million February 2022 First Lien Loan with a maturity date of February 3, 2029, and added a new $100.0 million Revolving Facility with a maturity date of February 3, 2027. The terms of the February 2022 First Lien Loan specify a SOFR-based foatng interest rate and contain a springing fnancial covenant that requires compliance with a frst lien net leverage rato when revolver borrowings exceed certain levels. All obligatons under the February 2022 First Lien Loan are unconditonally guaranteed by Hoya Intermediate and substantally all of Hoya Intermediate’s existng and future direct and indirect wholly owned domestc subsidiaries. The February 2022 First Lien Loan requires quarterly amortzaton payments of $0.7 million. The Revolving Facility does not require periodic payments. All obligatons under the February 2022 First Lien Loan are secured, subject to permited liens and other exceptons, by frst-priority perfected security interests in substantally all of our assets. The February 2022 First Lien Loan carries an interest rate of SOFR (subject to a 0.5% foor) plus 3.25%.</w:t>
      </w:r>
    </w:p>
    <w:p>
      <w:pPr>
        <w:spacing w:after="0" w:line="118"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In connecton with our acquisiton of Wavedash, we assumed long-term debt from Shoko Chukin Bank Loan of JPY 458.3 million (approximately $3.1 million), which has a maturity date of June 24, 2026, subject to a fxed interest rate of 1.27% per annum.</w:t>
      </w:r>
    </w:p>
    <w:p>
      <w:pPr>
        <w:spacing w:after="0" w:line="11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As of September 30, 2023, we have the February 2022 First Lien Loan and Shoko Chukin Bank Loan outstanding. At September 30, 2023, we had no outstanding borrowings under our Revolving Facility.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58"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On May 25, 2022, our Board authorized the Repurchase Program. The Repurchase Program was announced on May 26, 2022 and its authorizaton was fully utlized during 2022 and the three months ended March 31, 2023. Cumulatvely under the Repurchase Program, we repurchased 5.3 million shares of our Class A common stock for $40.0 million and paid $0.1 million in commissions. The share repurchases are accounted for as Treasury stock in the Condensed Consolidated Balance Sheets. We made no share repurchases during the three months ended September 30, 2023.</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Distributons to non-controlling interests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8" w:name="page39"/>
    <w:bookmarkEnd w:id="38"/>
    <w:p>
      <w:pPr>
        <w:jc w:val="both"/>
        <w:spacing w:after="0" w:line="273" w:lineRule="auto"/>
        <w:rPr>
          <w:sz w:val="20"/>
          <w:szCs w:val="20"/>
          <w:color w:val="auto"/>
        </w:rPr>
      </w:pPr>
      <w:r>
        <w:rPr>
          <w:rFonts w:ascii="Arial" w:cs="Arial" w:eastAsia="Arial" w:hAnsi="Arial"/>
          <w:sz w:val="18"/>
          <w:szCs w:val="18"/>
          <w:color w:val="auto"/>
        </w:rPr>
        <w:t>Per its Limited Liability Company Agreement, Hoya Intermediate is required to make pro-rata tax distributons to its members, of which zero and $11.0 million was distributed to non-controlling interests in the three and nine months ended September 30, 2023, respectvely.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Receivable Agreement</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connecton with the Merger Transacton, we entered into a Tax Receivable Agreement with the existng Hoya Intermediate shareholders that provides for our payment to such shareholders of 85% of the amount of the tax savings, if any, that we realize (or, under certain circumstances, are deemed to realize) as a result of, or atributable to, (i) increases in the tax basis of assets owned directly or indirectly by Hoya Intermediate or its subsidiaries from, among other things, any redemptons or exchanges of Intermediate Units, (ii) existng tax basis (including depreciaton and amortzaton deductons arising from such tax basis) in long-lived assets owned directly or indirectly by Hoya Intermediate and its subsidiaries, and (iii) certain other tax benefts (including deductons in respect of imputed interest) related to us making payments under the Tax Receivable Agreement.</w:t>
      </w:r>
    </w:p>
    <w:p>
      <w:pPr>
        <w:spacing w:after="0" w:line="7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In conjuncton with the Secondary Ofering in the second quarter of 2023, Hoya Topco exchanged Intermediate Units, and as a result, we recorded a liability of $99.0 million and a deferred tax asset of $52.8 million related to the Secondary Ofering as well as the projected payments under the Tax Receivable Agreement, with a corresponding reducton to additonal paid-in capital of $46.1 million. Tax Receivable Agreement-related liabilites are classifed as current or long-term based on the expected date of payment. As of September 30, 2023, there are no amounts due within 12 months and, therefore, the entre liability is included in Tax Receivable Agreement liability within long-term liabilites in the Condensed Consolidated Balance Sheets.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76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49"/>
        </w:trPr>
        <w:tc>
          <w:tcPr>
            <w:tcW w:w="7760" w:type="dxa"/>
            <w:vAlign w:val="bottom"/>
          </w:tcPr>
          <w:p>
            <w:pPr>
              <w:spacing w:after="0"/>
              <w:rPr>
                <w:sz w:val="20"/>
                <w:szCs w:val="20"/>
                <w:color w:val="auto"/>
              </w:rPr>
            </w:pPr>
            <w:r>
              <w:rPr>
                <w:rFonts w:ascii="Arial" w:cs="Arial" w:eastAsia="Arial" w:hAnsi="Arial"/>
                <w:sz w:val="18"/>
                <w:szCs w:val="18"/>
                <w:color w:val="auto"/>
              </w:rPr>
              <w:t>The following table summarizes our cash fows (in thousands):</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7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40" w:type="dxa"/>
            <w:vAlign w:val="bottom"/>
            <w:gridSpan w:val="5"/>
          </w:tcPr>
          <w:p>
            <w:pPr>
              <w:jc w:val="right"/>
              <w:ind w:right="421"/>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33"/>
        </w:trPr>
        <w:tc>
          <w:tcPr>
            <w:tcW w:w="7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0"/>
        </w:trPr>
        <w:tc>
          <w:tcPr>
            <w:tcW w:w="7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43"/>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operatng actvites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114,386</w:t>
            </w: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w:t>
            </w:r>
          </w:p>
        </w:tc>
        <w:tc>
          <w:tcPr>
            <w:tcW w:w="100" w:type="dxa"/>
            <w:vAlign w:val="bottom"/>
            <w:shd w:val="clear" w:color="auto" w:fill="CFF0FC"/>
          </w:tcPr>
          <w:p>
            <w:pPr>
              <w:spacing w:after="0"/>
              <w:rPr>
                <w:sz w:val="21"/>
                <w:szCs w:val="21"/>
                <w:color w:val="auto"/>
              </w:rPr>
            </w:pPr>
          </w:p>
        </w:tc>
      </w:tr>
      <w:tr>
        <w:trPr>
          <w:trHeight w:val="235"/>
        </w:trPr>
        <w:tc>
          <w:tcPr>
            <w:tcW w:w="7760" w:type="dxa"/>
            <w:vAlign w:val="bottom"/>
          </w:tcPr>
          <w:p>
            <w:pPr>
              <w:ind w:left="20"/>
              <w:spacing w:after="0"/>
              <w:rPr>
                <w:sz w:val="20"/>
                <w:szCs w:val="20"/>
                <w:color w:val="auto"/>
              </w:rPr>
            </w:pPr>
            <w:r>
              <w:rPr>
                <w:rFonts w:ascii="Arial" w:cs="Arial" w:eastAsia="Arial" w:hAnsi="Arial"/>
                <w:sz w:val="18"/>
                <w:szCs w:val="18"/>
                <w:color w:val="auto"/>
              </w:rPr>
              <w:t>Net cash used in investng actvites</w:t>
            </w: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(71,032 )</w:t>
            </w:r>
          </w:p>
        </w:tc>
        <w:tc>
          <w:tcPr>
            <w:tcW w:w="34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(11,888 )</w:t>
            </w:r>
          </w:p>
        </w:tc>
      </w:tr>
      <w:tr>
        <w:trPr>
          <w:trHeight w:val="251"/>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fnancing actvites</w:t>
            </w:r>
          </w:p>
        </w:tc>
        <w:tc>
          <w:tcPr>
            <w:tcW w:w="24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(26,696 )</w:t>
            </w:r>
          </w:p>
        </w:tc>
        <w:tc>
          <w:tcPr>
            <w:tcW w:w="3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(204,911 )</w:t>
            </w: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Impact of foreign exchange on cash, cash equivalents, and restricted cash</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786</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77"/>
        </w:trPr>
        <w:tc>
          <w:tcPr>
            <w:tcW w:w="7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17,444</w:t>
            </w:r>
          </w:p>
        </w:tc>
        <w:tc>
          <w:tcPr>
            <w:tcW w:w="3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(215,410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Operatng Actvites</w:t>
      </w:r>
    </w:p>
    <w:p>
      <w:pPr>
        <w:spacing w:after="0" w:line="1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cash provided by operatng actvites was $114.4 million for the nine months ended September 30, 2023 due to $84.6 million in net income, non-cash charges of $6.1 million, and net cash infows from a $23.6 million change in net operatng assets. The net cash infows from the change in our net operatng assets were primarily due to an increase in amounts payable to tcket sellers due to higher volume of orders.</w:t>
      </w:r>
    </w:p>
    <w:p>
      <w:pPr>
        <w:spacing w:after="0" w:line="1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cash provided by operatng actvites was $1.4 million for the nine months ended September 30, 2022 due to $45.9 million in net income, non-cash charges of $18.2 million, and net cash outlows from a $62.7 million change in net operatng assets. The net cash outlows from the change in our net operatng liabilites were primarily due to decreases in accrued expenses and other current liabilites and accounts payable. The decreases resulted primarily from sales tax liability setlements, the redempton of customer credits issued during the COVID-19 pandemic, and a decrease in amounts payable to tcket sellers as events postponed during the COVID-19 pandemic fnally occurred.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Investng Actvites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Net cash used in investng actvites was $71.0 million for the nine months ended September 30, 2023, which was primarily related to our acquisiton of Wavedash, capital spending on development actvites related to our platorm and our investment in a privately held company.</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9" w:name="page40"/>
    <w:bookmarkEnd w:id="39"/>
    <w:p>
      <w:pPr>
        <w:jc w:val="both"/>
        <w:ind w:right="20"/>
        <w:spacing w:after="0" w:line="273" w:lineRule="auto"/>
        <w:rPr>
          <w:sz w:val="20"/>
          <w:szCs w:val="20"/>
          <w:color w:val="auto"/>
        </w:rPr>
      </w:pPr>
      <w:r>
        <w:rPr>
          <w:rFonts w:ascii="Arial" w:cs="Arial" w:eastAsia="Arial" w:hAnsi="Arial"/>
          <w:sz w:val="18"/>
          <w:szCs w:val="18"/>
          <w:color w:val="auto"/>
        </w:rPr>
        <w:t>Net cash used in investng actvites was $11.9 million for the nine months ended September 30, 2022, which was primarily related to capital spending on development actvites related to our platorm.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Financing Actvites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Net cash used in fnancing actvites was $26.7 million for the nine months ended September 30, 2023, which was primarily related tax distributons to non-controlling interest and our Repurchase Program.</w:t>
      </w:r>
    </w:p>
    <w:p>
      <w:pPr>
        <w:spacing w:after="0" w:line="110" w:lineRule="exact"/>
        <w:rPr>
          <w:sz w:val="20"/>
          <w:szCs w:val="20"/>
          <w:color w:val="auto"/>
        </w:rPr>
      </w:pPr>
    </w:p>
    <w:p>
      <w:pPr>
        <w:jc w:val="both"/>
        <w:ind w:right="20"/>
        <w:spacing w:after="0" w:line="273" w:lineRule="auto"/>
        <w:rPr>
          <w:sz w:val="20"/>
          <w:szCs w:val="20"/>
          <w:color w:val="auto"/>
        </w:rPr>
      </w:pPr>
      <w:r>
        <w:rPr>
          <w:rFonts w:ascii="Arial" w:cs="Arial" w:eastAsia="Arial" w:hAnsi="Arial"/>
          <w:sz w:val="18"/>
          <w:szCs w:val="18"/>
          <w:color w:val="auto"/>
        </w:rPr>
        <w:t>Net cash used in fnancing actvites was $204.9 million for the nine months ended September 30, 2022, which was due to the repayment of the June 2017 First Lien Loan in connecton with the refnancing.</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Critcal Accountng Policies and Estmates</w:t>
      </w:r>
    </w:p>
    <w:p>
      <w:pPr>
        <w:spacing w:after="0" w:line="16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Accountng policies and estmates are considered critcal when they require management to make subjectve and complex judgments, estmates and assumptons about maters that have a material impact on the presentaton of our fnancial statements and accompanying notes. For a descripton of our critcal accountng policies and estmates, refer to the “Critcal Accountng Policies and Estmates” secton of our 2022 Form 10-K. During the nine months ended September 30, 2023, there were no material changes to our critcal accountng policies from those discussed in our 2022 Form 10-K.</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Accountng Pronouncements</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New Accountng Standards</w:t>
      </w:r>
      <w:r>
        <w:rPr>
          <w:rFonts w:ascii="Arial" w:cs="Arial" w:eastAsia="Arial" w:hAnsi="Arial"/>
          <w:sz w:val="18"/>
          <w:szCs w:val="18"/>
          <w:color w:val="auto"/>
        </w:rPr>
        <w:t>, in the notes to our unaudited condensed consolidated fnancial statements included elsewhere in this Report for a descripton of recently adopted accountng pronouncements and issued accountng pronouncements not yet adopted.</w:t>
      </w:r>
    </w:p>
    <w:p>
      <w:pPr>
        <w:spacing w:after="0" w:line="10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3. Quanttatve and Qualitatve Disclosures about Market Risk</w:t>
      </w:r>
    </w:p>
    <w:p>
      <w:pPr>
        <w:spacing w:after="0" w:line="16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Market risk is the potental loss from adverse changes in interest rates, foreign exchange rates, and market prices. Our primary market risk is interest rate risk associated with our long-term debt. We manage our exposure to this risk through established policies and procedures. Our objectve is to mitgate potental income statement, cash fow, and market exposures from changes in interest rates.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market risk is afected by changes in interest rates. We maintain foatng-rate debt that bears interest based on market rates plus an applicable spread. Because our interest rate is ted to market rates, we will be susceptble to fuctuatons in interest rates if we do not hedge the interest rate exposure arising from our foatng-rate borrowings. A hypothetcal 1% change in interest rates, assuming rates are above our interest rate foor, would change our interest expense by $2.1 million based on amounts outstanding under the February 2022 First Lien Loan during the nine months ended September 30, 2023.</w:t>
      </w:r>
    </w:p>
    <w:p>
      <w:pPr>
        <w:spacing w:after="0" w:line="123"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Item 4. Controls and Procedures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Limitatons on Efectveness of Disclosure Controls and Procedures</w:t>
      </w:r>
    </w:p>
    <w:p>
      <w:pPr>
        <w:spacing w:after="0" w:line="15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designing and evaluatng our disclosure controls and procedures, management recognizes that any controls and procedures, no mater how well designed and operated, can provide only reasonable assurance of achieving the desired control objectves. In additon, the design of disclosure controls and procedures must refect the fact that there are resource constraints and that management is required to apply judgment in evaluatng the benefts of possible controls and procedures relatve to their costs.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Evaluaton of Disclosure Controls and Procedures</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Disclosure controls and procedures (as defned in Rules 13a-15(e) and 15d-15(e) under the Exchange Act) are designed to ensure that informaton required to be disclosed in reports fled or submited under the Exchange Act is recorded, processed, summarized, and reported within the tme periods specifed in the SEC's rules and forms,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0" w:name="page41"/>
    <w:bookmarkEnd w:id="40"/>
    <w:p>
      <w:pPr>
        <w:jc w:val="both"/>
        <w:spacing w:after="0" w:line="273" w:lineRule="auto"/>
        <w:rPr>
          <w:sz w:val="20"/>
          <w:szCs w:val="20"/>
          <w:color w:val="auto"/>
        </w:rPr>
      </w:pPr>
      <w:r>
        <w:rPr>
          <w:rFonts w:ascii="Arial" w:cs="Arial" w:eastAsia="Arial" w:hAnsi="Arial"/>
          <w:sz w:val="18"/>
          <w:szCs w:val="18"/>
          <w:color w:val="auto"/>
        </w:rPr>
        <w:t>and that such informaton is accumulated and communicated to management, including our principal executve ofcer and principal fnancial ofcer, to allow tmely decisions regarding required disclosures.</w:t>
      </w:r>
    </w:p>
    <w:p>
      <w:pPr>
        <w:spacing w:after="0" w:line="9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Our management, with the partcipaton of our principal executve ofcer and principal fnancial ofcer, has evaluated the efectveness of our disclosure controls and procedures (as defned in Rules 13a-15(e) and 15d-15(e) under the Exchange Act) as of the end of the period covered by this Report. Based on such evaluaton, our principal executve ofcer and principal fnancial ofcer have concluded that our disclosure controls and procedures were not efectve at reasonable assurance levels as of September 30, 2023 due to the reasons described below.</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Material Weakness</w:t>
      </w:r>
    </w:p>
    <w:p>
      <w:pPr>
        <w:spacing w:after="0" w:line="15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connecton with the audit of our consolidated fnancial statements as of December 31, 2022, we identfed a material weakness in our internal control over fnancial reportng related to the implementaton of segregaton of dutes as part of our control actvites, the establishment of clearly defned roles within our fnance and accountng functons and the number of personnel in our fnance and accountng functons with an appropriate level of technical accountng and SEC reportng experience, which in the aggregate, consttute a material weakness.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Remediaton Actvites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part of our plan to remediate the material weakness described above, we are performing a full review of our internal control procedures. We have implemented, and plan to contnue to implement, new controls and processes. We have hired, and plan to contnue to hire, additonal qualifed personnel and establish more robust processes to support our internal control over fnancial reportng, including clearly defned roles and responsibilites and appropriate segregaton of dutes. During the three months ended September 30, 2023, we contnued to make progress in our remediaton of the material weakness. While progress has been made to enhance our internal control, additonal tme is required to complete implementaton and to assess and ensure the sustainability of these controls. The material weakness will not be considered remediated untl the applicable controls operate for a sufcient period of tme and management has concluded, through testng, that these controls are operatng efectvely.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Reportng</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There were no changes in our internal control over fnancial reportng (as defned in Rules 13a-15(f) and 15d-15(f) under the Exchange Act) during the three months ended September 30, 2023 that have materially afected, or are reasonably likely to materially afect, our internal control over fnancial reportng.</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Legal Proceedings</w:t>
      </w:r>
    </w:p>
    <w:p>
      <w:pPr>
        <w:spacing w:after="0" w:line="146" w:lineRule="exact"/>
        <w:rPr>
          <w:sz w:val="20"/>
          <w:szCs w:val="20"/>
          <w:color w:val="auto"/>
        </w:rPr>
      </w:pPr>
    </w:p>
    <w:p>
      <w:pPr>
        <w:jc w:val="both"/>
        <w:ind w:right="20"/>
        <w:spacing w:after="0" w:line="273" w:lineRule="auto"/>
        <w:rPr>
          <w:sz w:val="20"/>
          <w:szCs w:val="20"/>
          <w:color w:val="auto"/>
        </w:rPr>
      </w:pPr>
      <w:r>
        <w:rPr>
          <w:rFonts w:ascii="Arial" w:cs="Arial" w:eastAsia="Arial" w:hAnsi="Arial"/>
          <w:sz w:val="18"/>
          <w:szCs w:val="18"/>
          <w:color w:val="auto"/>
        </w:rPr>
        <w:t xml:space="preserve">Refer to Note 14, </w:t>
      </w:r>
      <w:r>
        <w:rPr>
          <w:rFonts w:ascii="Arial" w:cs="Arial" w:eastAsia="Arial" w:hAnsi="Arial"/>
          <w:sz w:val="18"/>
          <w:szCs w:val="18"/>
          <w:i w:val="1"/>
          <w:iCs w:val="1"/>
          <w:color w:val="auto"/>
        </w:rPr>
        <w:t>Commitments and Contngencies</w:t>
      </w:r>
      <w:r>
        <w:rPr>
          <w:rFonts w:ascii="Arial" w:cs="Arial" w:eastAsia="Arial" w:hAnsi="Arial"/>
          <w:sz w:val="18"/>
          <w:szCs w:val="18"/>
          <w:color w:val="auto"/>
        </w:rPr>
        <w:t>, in the notes to our unaudited condensed consolidated fnancial statements included elsewhere in this Report.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16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additon to the other informaton set forth in this Report, you should carefully consider the factors discussed in the “Risk Factors” secton of our 2022 Form 10-K. These factors could materially adversely afect our business, fnancial conditon, liquidity, results of operatons and capital positon, and could cause our actual results to difer materially from our historical results or the results contemplated by any forward-looking statements contained in this Report. There have been no material changes from the risk factors disclosed in our 2022 Form 10-K.</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Unregistered Sales of Equity Securites, Use of Proceeds, and Issuer Purchases of Equity Securites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Defaults Upon Senior Securites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Item 4. Mine Safety Disclosures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5. Other Informaton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Insider Trading Arrangements</w:t>
      </w:r>
    </w:p>
    <w:p>
      <w:pPr>
        <w:spacing w:after="0" w:line="144"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During the three months ended September 30, 2023, none of our directors or ofcers adopted or terminated any “Rule 10b5-1 trading arrangement” or “non-Rule 10b5-1 trading arrangement” (as each term is defned in Item 408 of Regulaton S-K).</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40" w:type="dxa"/>
            <w:vAlign w:val="bottom"/>
            <w:gridSpan w:val="15"/>
          </w:tcPr>
          <w:p>
            <w:pPr>
              <w:jc w:val="center"/>
              <w:ind w:right="170"/>
              <w:spacing w:after="0"/>
              <w:rPr>
                <w:sz w:val="20"/>
                <w:szCs w:val="20"/>
                <w:color w:val="auto"/>
              </w:rPr>
            </w:pPr>
            <w:r>
              <w:rPr>
                <w:rFonts w:ascii="Arial" w:cs="Arial" w:eastAsia="Arial" w:hAnsi="Arial"/>
                <w:sz w:val="18"/>
                <w:szCs w:val="18"/>
                <w:b w:val="1"/>
                <w:bCs w:val="1"/>
                <w:color w:val="auto"/>
                <w:w w:val="87"/>
              </w:rPr>
              <w:t>Item 6. Exhibits</w:t>
            </w:r>
          </w:p>
        </w:tc>
        <w:tc>
          <w:tcPr>
            <w:tcW w:w="10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80" w:type="dxa"/>
            <w:vAlign w:val="bottom"/>
            <w:gridSpan w:val="4"/>
          </w:tcPr>
          <w:p>
            <w:pPr>
              <w:ind w:left="700"/>
              <w:spacing w:after="0"/>
              <w:rPr>
                <w:sz w:val="20"/>
                <w:szCs w:val="20"/>
                <w:color w:val="auto"/>
              </w:rPr>
            </w:pPr>
            <w:r>
              <w:rPr>
                <w:rFonts w:ascii="Arial" w:cs="Arial" w:eastAsia="Arial" w:hAnsi="Arial"/>
                <w:sz w:val="18"/>
                <w:szCs w:val="18"/>
                <w:b w:val="1"/>
                <w:bCs w:val="1"/>
                <w:color w:val="auto"/>
              </w:rPr>
              <w:t>Incorporated by Reference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960" w:type="dxa"/>
            <w:vAlign w:val="bottom"/>
          </w:tcPr>
          <w:p>
            <w:pPr>
              <w:spacing w:after="0"/>
              <w:rPr>
                <w:sz w:val="2"/>
                <w:szCs w:val="2"/>
                <w:color w:val="auto"/>
              </w:rPr>
            </w:pPr>
          </w:p>
        </w:tc>
        <w:tc>
          <w:tcPr>
            <w:tcW w:w="9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Exhibit</w:t>
            </w:r>
          </w:p>
        </w:tc>
        <w:tc>
          <w:tcPr>
            <w:tcW w:w="5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36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580" w:type="dxa"/>
            <w:vAlign w:val="bottom"/>
            <w:gridSpan w:val="17"/>
            <w:vMerge w:val="restart"/>
          </w:tcPr>
          <w:p>
            <w:pPr>
              <w:ind w:left="340"/>
              <w:spacing w:after="0"/>
              <w:rPr>
                <w:sz w:val="20"/>
                <w:szCs w:val="20"/>
                <w:color w:val="auto"/>
              </w:rPr>
            </w:pPr>
            <w:r>
              <w:rPr>
                <w:rFonts w:ascii="Arial" w:cs="Arial" w:eastAsia="Arial" w:hAnsi="Arial"/>
                <w:sz w:val="18"/>
                <w:szCs w:val="18"/>
                <w:b w:val="1"/>
                <w:bCs w:val="1"/>
                <w:color w:val="auto"/>
              </w:rPr>
              <w:t>Descripton</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Filed / Furnished</w:t>
            </w: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9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2580" w:type="dxa"/>
            <w:vAlign w:val="bottom"/>
            <w:gridSpan w:val="17"/>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ind w:left="360"/>
              <w:spacing w:after="0" w:line="175" w:lineRule="exact"/>
              <w:rPr>
                <w:sz w:val="20"/>
                <w:szCs w:val="20"/>
                <w:color w:val="auto"/>
              </w:rPr>
            </w:pPr>
            <w:r>
              <w:rPr>
                <w:rFonts w:ascii="Arial" w:cs="Arial" w:eastAsia="Arial" w:hAnsi="Arial"/>
                <w:sz w:val="18"/>
                <w:szCs w:val="18"/>
                <w:b w:val="1"/>
                <w:bCs w:val="1"/>
                <w:color w:val="auto"/>
              </w:rPr>
              <w:t>Form</w:t>
            </w:r>
          </w:p>
        </w:tc>
        <w:tc>
          <w:tcPr>
            <w:tcW w:w="1040" w:type="dxa"/>
            <w:vAlign w:val="bottom"/>
          </w:tcPr>
          <w:p>
            <w:pPr>
              <w:jc w:val="right"/>
              <w:ind w:right="30"/>
              <w:spacing w:after="0" w:line="175" w:lineRule="exact"/>
              <w:rPr>
                <w:sz w:val="20"/>
                <w:szCs w:val="20"/>
                <w:color w:val="auto"/>
              </w:rPr>
            </w:pPr>
            <w:r>
              <w:rPr>
                <w:rFonts w:ascii="Arial" w:cs="Arial" w:eastAsia="Arial" w:hAnsi="Arial"/>
                <w:sz w:val="18"/>
                <w:szCs w:val="18"/>
                <w:b w:val="1"/>
                <w:bCs w:val="1"/>
                <w:color w:val="auto"/>
              </w:rPr>
              <w:t>Exhibit</w:t>
            </w:r>
          </w:p>
        </w:tc>
        <w:tc>
          <w:tcPr>
            <w:tcW w:w="1420" w:type="dxa"/>
            <w:vAlign w:val="bottom"/>
          </w:tcPr>
          <w:p>
            <w:pPr>
              <w:ind w:left="380"/>
              <w:spacing w:after="0" w:line="175" w:lineRule="exact"/>
              <w:rPr>
                <w:sz w:val="20"/>
                <w:szCs w:val="20"/>
                <w:color w:val="auto"/>
              </w:rPr>
            </w:pPr>
            <w:r>
              <w:rPr>
                <w:rFonts w:ascii="Arial" w:cs="Arial" w:eastAsia="Arial" w:hAnsi="Arial"/>
                <w:sz w:val="18"/>
                <w:szCs w:val="18"/>
                <w:b w:val="1"/>
                <w:bCs w:val="1"/>
                <w:color w:val="auto"/>
              </w:rPr>
              <w:t>Filing Date</w:t>
            </w:r>
          </w:p>
        </w:tc>
        <w:tc>
          <w:tcPr>
            <w:tcW w:w="130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96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Number</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2"/>
              </w:rPr>
              <w:t>Herewith</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9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920" w:type="dxa"/>
            <w:vAlign w:val="bottom"/>
          </w:tcPr>
          <w:p>
            <w:pPr>
              <w:jc w:val="right"/>
              <w:ind w:right="590"/>
              <w:spacing w:after="0" w:line="156" w:lineRule="exact"/>
              <w:rPr>
                <w:sz w:val="20"/>
                <w:szCs w:val="20"/>
                <w:color w:val="auto"/>
              </w:rPr>
            </w:pPr>
            <w:r>
              <w:rPr>
                <w:rFonts w:ascii="Arial" w:cs="Arial" w:eastAsia="Arial" w:hAnsi="Arial"/>
                <w:sz w:val="18"/>
                <w:szCs w:val="18"/>
                <w:color w:val="auto"/>
                <w:w w:val="87"/>
              </w:rPr>
              <w:t>2.1</w:t>
            </w:r>
          </w:p>
        </w:tc>
        <w:tc>
          <w:tcPr>
            <w:tcW w:w="3260" w:type="dxa"/>
            <w:vAlign w:val="bottom"/>
            <w:tcBorders>
              <w:bottom w:val="single" w:sz="8" w:color="0000FF"/>
            </w:tcBorders>
            <w:gridSpan w:val="14"/>
          </w:tcPr>
          <w:p>
            <w:pPr>
              <w:spacing w:after="0" w:line="156" w:lineRule="exact"/>
              <w:rPr>
                <w:rFonts w:ascii="Arial" w:cs="Arial" w:eastAsia="Arial" w:hAnsi="Arial"/>
                <w:sz w:val="18"/>
                <w:szCs w:val="18"/>
                <w:color w:val="0000FF"/>
                <w:w w:val="92"/>
              </w:rPr>
            </w:pPr>
            <w:hyperlink r:id="rId321">
              <w:r>
                <w:rPr>
                  <w:rFonts w:ascii="Arial" w:cs="Arial" w:eastAsia="Arial" w:hAnsi="Arial"/>
                  <w:sz w:val="18"/>
                  <w:szCs w:val="18"/>
                  <w:color w:val="0000FF"/>
                  <w:w w:val="92"/>
                </w:rPr>
                <w:t>Transacton Agreement dated April 21, 2021</w:t>
              </w:r>
            </w:hyperlink>
          </w:p>
        </w:tc>
        <w:tc>
          <w:tcPr>
            <w:tcW w:w="40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ind w:left="20"/>
              <w:spacing w:after="0" w:line="156" w:lineRule="exact"/>
              <w:rPr>
                <w:sz w:val="20"/>
                <w:szCs w:val="20"/>
                <w:color w:val="auto"/>
              </w:rPr>
            </w:pPr>
            <w:r>
              <w:rPr>
                <w:rFonts w:ascii="Arial" w:cs="Arial" w:eastAsia="Arial" w:hAnsi="Arial"/>
                <w:sz w:val="18"/>
                <w:szCs w:val="18"/>
                <w:color w:val="auto"/>
              </w:rPr>
              <w:t>S-4</w:t>
            </w:r>
          </w:p>
        </w:tc>
        <w:tc>
          <w:tcPr>
            <w:tcW w:w="1040" w:type="dxa"/>
            <w:vAlign w:val="bottom"/>
          </w:tcPr>
          <w:p>
            <w:pPr>
              <w:jc w:val="right"/>
              <w:ind w:right="530"/>
              <w:spacing w:after="0" w:line="156" w:lineRule="exact"/>
              <w:rPr>
                <w:sz w:val="20"/>
                <w:szCs w:val="20"/>
                <w:color w:val="auto"/>
              </w:rPr>
            </w:pPr>
            <w:r>
              <w:rPr>
                <w:rFonts w:ascii="Arial" w:cs="Arial" w:eastAsia="Arial" w:hAnsi="Arial"/>
                <w:sz w:val="18"/>
                <w:szCs w:val="18"/>
                <w:color w:val="auto"/>
              </w:rPr>
              <w:t>2.1</w:t>
            </w:r>
          </w:p>
        </w:tc>
        <w:tc>
          <w:tcPr>
            <w:tcW w:w="1420" w:type="dxa"/>
            <w:vAlign w:val="bottom"/>
          </w:tcPr>
          <w:p>
            <w:pPr>
              <w:ind w:left="120"/>
              <w:spacing w:after="0" w:line="156" w:lineRule="exact"/>
              <w:rPr>
                <w:sz w:val="20"/>
                <w:szCs w:val="20"/>
                <w:color w:val="auto"/>
              </w:rPr>
            </w:pPr>
            <w:r>
              <w:rPr>
                <w:rFonts w:ascii="Arial" w:cs="Arial" w:eastAsia="Arial" w:hAnsi="Arial"/>
                <w:sz w:val="18"/>
                <w:szCs w:val="18"/>
                <w:color w:val="auto"/>
              </w:rPr>
              <w:t>5/28/2021</w:t>
            </w:r>
          </w:p>
        </w:tc>
        <w:tc>
          <w:tcPr>
            <w:tcW w:w="1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560" w:type="dxa"/>
            <w:vAlign w:val="bottom"/>
            <w:tcBorders>
              <w:bottom w:val="single" w:sz="8" w:color="0000FF"/>
            </w:tcBorders>
            <w:gridSpan w:val="19"/>
          </w:tcPr>
          <w:p>
            <w:pPr>
              <w:spacing w:after="0" w:line="196" w:lineRule="exact"/>
              <w:rPr>
                <w:rFonts w:ascii="Arial" w:cs="Arial" w:eastAsia="Arial" w:hAnsi="Arial"/>
                <w:sz w:val="18"/>
                <w:szCs w:val="18"/>
                <w:color w:val="0000FF"/>
                <w:w w:val="93"/>
              </w:rPr>
            </w:pPr>
            <w:hyperlink r:id="rId321">
              <w:r>
                <w:rPr>
                  <w:rFonts w:ascii="Arial" w:cs="Arial" w:eastAsia="Arial" w:hAnsi="Arial"/>
                  <w:sz w:val="18"/>
                  <w:szCs w:val="18"/>
                  <w:color w:val="0000FF"/>
                  <w:w w:val="93"/>
                </w:rPr>
                <w:t>among Horizon Acquisiton Corporaton, Horizon</w:t>
              </w:r>
            </w:hyperlink>
          </w:p>
        </w:tc>
        <w:tc>
          <w:tcPr>
            <w:tcW w:w="10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60" w:type="dxa"/>
            <w:vAlign w:val="bottom"/>
            <w:tcBorders>
              <w:bottom w:val="single" w:sz="8" w:color="0000FF"/>
            </w:tcBorders>
            <w:gridSpan w:val="22"/>
          </w:tcPr>
          <w:p>
            <w:pPr>
              <w:spacing w:after="0" w:line="196" w:lineRule="exact"/>
              <w:rPr>
                <w:rFonts w:ascii="Arial" w:cs="Arial" w:eastAsia="Arial" w:hAnsi="Arial"/>
                <w:sz w:val="18"/>
                <w:szCs w:val="18"/>
                <w:color w:val="0000FF"/>
                <w:w w:val="86"/>
              </w:rPr>
            </w:pPr>
            <w:hyperlink r:id="rId321">
              <w:r>
                <w:rPr>
                  <w:rFonts w:ascii="Arial" w:cs="Arial" w:eastAsia="Arial" w:hAnsi="Arial"/>
                  <w:sz w:val="18"/>
                  <w:szCs w:val="18"/>
                  <w:color w:val="0000FF"/>
                  <w:w w:val="86"/>
                </w:rPr>
                <w:t>Sponsor, LLC, Hoya Topco, LLC, Hoya Intermediate,</w:t>
              </w:r>
            </w:hyperlink>
          </w:p>
        </w:tc>
        <w:tc>
          <w:tcPr>
            <w:tcW w:w="20"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60" w:type="dxa"/>
            <w:vAlign w:val="bottom"/>
            <w:gridSpan w:val="22"/>
          </w:tcPr>
          <w:p>
            <w:pPr>
              <w:spacing w:after="0" w:line="196" w:lineRule="exact"/>
              <w:rPr>
                <w:rFonts w:ascii="Arial" w:cs="Arial" w:eastAsia="Arial" w:hAnsi="Arial"/>
                <w:sz w:val="18"/>
                <w:szCs w:val="18"/>
                <w:color w:val="0000FF"/>
              </w:rPr>
            </w:pPr>
            <w:hyperlink r:id="rId321">
              <w:r>
                <w:rPr>
                  <w:rFonts w:ascii="Arial" w:cs="Arial" w:eastAsia="Arial" w:hAnsi="Arial"/>
                  <w:sz w:val="18"/>
                  <w:szCs w:val="18"/>
                  <w:color w:val="0000FF"/>
                </w:rPr>
                <w:t>LLC and Vivid Seats Inc.</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spacing w:after="0"/>
              <w:rPr>
                <w:sz w:val="18"/>
                <w:szCs w:val="18"/>
                <w:color w:val="auto"/>
              </w:rPr>
            </w:pPr>
          </w:p>
        </w:tc>
        <w:tc>
          <w:tcPr>
            <w:tcW w:w="920" w:type="dxa"/>
            <w:vAlign w:val="bottom"/>
          </w:tcPr>
          <w:p>
            <w:pPr>
              <w:jc w:val="right"/>
              <w:ind w:right="590"/>
              <w:spacing w:after="0"/>
              <w:rPr>
                <w:sz w:val="20"/>
                <w:szCs w:val="20"/>
                <w:color w:val="auto"/>
              </w:rPr>
            </w:pPr>
            <w:r>
              <w:rPr>
                <w:rFonts w:ascii="Arial" w:cs="Arial" w:eastAsia="Arial" w:hAnsi="Arial"/>
                <w:sz w:val="18"/>
                <w:szCs w:val="18"/>
                <w:color w:val="auto"/>
                <w:w w:val="87"/>
              </w:rPr>
              <w:t>2.2</w:t>
            </w:r>
          </w:p>
        </w:tc>
        <w:tc>
          <w:tcPr>
            <w:tcW w:w="3660" w:type="dxa"/>
            <w:vAlign w:val="bottom"/>
            <w:tcBorders>
              <w:bottom w:val="single" w:sz="8" w:color="0000FF"/>
            </w:tcBorders>
            <w:gridSpan w:val="22"/>
          </w:tcPr>
          <w:p>
            <w:pPr>
              <w:spacing w:after="0"/>
              <w:rPr>
                <w:rFonts w:ascii="Arial" w:cs="Arial" w:eastAsia="Arial" w:hAnsi="Arial"/>
                <w:sz w:val="18"/>
                <w:szCs w:val="18"/>
                <w:color w:val="0000FF"/>
                <w:w w:val="91"/>
              </w:rPr>
            </w:pPr>
            <w:hyperlink r:id="rId322">
              <w:r>
                <w:rPr>
                  <w:rFonts w:ascii="Arial" w:cs="Arial" w:eastAsia="Arial" w:hAnsi="Arial"/>
                  <w:sz w:val="18"/>
                  <w:szCs w:val="18"/>
                  <w:color w:val="0000FF"/>
                  <w:w w:val="91"/>
                </w:rPr>
                <w:t>Purchase, Sale and Redempton Agreement dated</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auto"/>
              </w:rPr>
              <w:t>S-4</w:t>
            </w:r>
          </w:p>
        </w:tc>
        <w:tc>
          <w:tcPr>
            <w:tcW w:w="1040" w:type="dxa"/>
            <w:vAlign w:val="bottom"/>
          </w:tcPr>
          <w:p>
            <w:pPr>
              <w:jc w:val="right"/>
              <w:ind w:right="530"/>
              <w:spacing w:after="0"/>
              <w:rPr>
                <w:sz w:val="20"/>
                <w:szCs w:val="20"/>
                <w:color w:val="auto"/>
              </w:rPr>
            </w:pPr>
            <w:r>
              <w:rPr>
                <w:rFonts w:ascii="Arial" w:cs="Arial" w:eastAsia="Arial" w:hAnsi="Arial"/>
                <w:sz w:val="18"/>
                <w:szCs w:val="18"/>
                <w:color w:val="auto"/>
              </w:rPr>
              <w:t>2.2</w:t>
            </w:r>
          </w:p>
        </w:tc>
        <w:tc>
          <w:tcPr>
            <w:tcW w:w="1420" w:type="dxa"/>
            <w:vAlign w:val="bottom"/>
          </w:tcPr>
          <w:p>
            <w:pPr>
              <w:ind w:left="120"/>
              <w:spacing w:after="0"/>
              <w:rPr>
                <w:sz w:val="20"/>
                <w:szCs w:val="20"/>
                <w:color w:val="auto"/>
              </w:rPr>
            </w:pPr>
            <w:r>
              <w:rPr>
                <w:rFonts w:ascii="Arial" w:cs="Arial" w:eastAsia="Arial" w:hAnsi="Arial"/>
                <w:sz w:val="18"/>
                <w:szCs w:val="18"/>
                <w:color w:val="auto"/>
              </w:rPr>
              <w:t>5/28/2021</w:t>
            </w: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60" w:type="dxa"/>
            <w:vAlign w:val="bottom"/>
            <w:tcBorders>
              <w:bottom w:val="single" w:sz="8" w:color="0000FF"/>
            </w:tcBorders>
            <w:gridSpan w:val="14"/>
          </w:tcPr>
          <w:p>
            <w:pPr>
              <w:spacing w:after="0" w:line="196" w:lineRule="exact"/>
              <w:rPr>
                <w:rFonts w:ascii="Arial" w:cs="Arial" w:eastAsia="Arial" w:hAnsi="Arial"/>
                <w:sz w:val="18"/>
                <w:szCs w:val="18"/>
                <w:color w:val="0000FF"/>
                <w:w w:val="87"/>
              </w:rPr>
            </w:pPr>
            <w:hyperlink r:id="rId322">
              <w:r>
                <w:rPr>
                  <w:rFonts w:ascii="Arial" w:cs="Arial" w:eastAsia="Arial" w:hAnsi="Arial"/>
                  <w:sz w:val="18"/>
                  <w:szCs w:val="18"/>
                  <w:color w:val="0000FF"/>
                  <w:w w:val="87"/>
                </w:rPr>
                <w:t>April 21, 2021 among Hoya Topco, LLC, Hoya</w:t>
              </w:r>
            </w:hyperlink>
          </w:p>
        </w:tc>
        <w:tc>
          <w:tcPr>
            <w:tcW w:w="40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0" w:type="dxa"/>
            <w:vAlign w:val="bottom"/>
            <w:tcBorders>
              <w:bottom w:val="single" w:sz="8" w:color="0000FF"/>
            </w:tcBorders>
            <w:gridSpan w:val="12"/>
          </w:tcPr>
          <w:p>
            <w:pPr>
              <w:spacing w:after="0" w:line="196" w:lineRule="exact"/>
              <w:rPr>
                <w:rFonts w:ascii="Arial" w:cs="Arial" w:eastAsia="Arial" w:hAnsi="Arial"/>
                <w:sz w:val="18"/>
                <w:szCs w:val="18"/>
                <w:color w:val="0000FF"/>
                <w:w w:val="88"/>
              </w:rPr>
            </w:pPr>
            <w:hyperlink r:id="rId322">
              <w:r>
                <w:rPr>
                  <w:rFonts w:ascii="Arial" w:cs="Arial" w:eastAsia="Arial" w:hAnsi="Arial"/>
                  <w:sz w:val="18"/>
                  <w:szCs w:val="18"/>
                  <w:color w:val="0000FF"/>
                  <w:w w:val="88"/>
                </w:rPr>
                <w:t>Intermediate, LLC, Vivid Seats Inc., Crescent</w:t>
              </w:r>
            </w:hyperlink>
          </w:p>
        </w:tc>
        <w:tc>
          <w:tcPr>
            <w:tcW w:w="46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40" w:type="dxa"/>
            <w:vAlign w:val="bottom"/>
            <w:tcBorders>
              <w:bottom w:val="single" w:sz="8" w:color="0000FF"/>
            </w:tcBorders>
            <w:gridSpan w:val="21"/>
          </w:tcPr>
          <w:p>
            <w:pPr>
              <w:spacing w:after="0" w:line="196" w:lineRule="exact"/>
              <w:rPr>
                <w:rFonts w:ascii="Arial" w:cs="Arial" w:eastAsia="Arial" w:hAnsi="Arial"/>
                <w:sz w:val="18"/>
                <w:szCs w:val="18"/>
                <w:color w:val="0000FF"/>
                <w:w w:val="88"/>
              </w:rPr>
            </w:pPr>
            <w:hyperlink r:id="rId322">
              <w:r>
                <w:rPr>
                  <w:rFonts w:ascii="Arial" w:cs="Arial" w:eastAsia="Arial" w:hAnsi="Arial"/>
                  <w:sz w:val="18"/>
                  <w:szCs w:val="18"/>
                  <w:color w:val="0000FF"/>
                  <w:w w:val="88"/>
                </w:rPr>
                <w:t>Mezzanine Partners VIB, L.P., Crescent Mezzanine</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0" w:type="dxa"/>
            <w:vAlign w:val="bottom"/>
            <w:tcBorders>
              <w:bottom w:val="single" w:sz="8" w:color="0000FF"/>
            </w:tcBorders>
            <w:gridSpan w:val="9"/>
          </w:tcPr>
          <w:p>
            <w:pPr>
              <w:spacing w:after="0" w:line="196" w:lineRule="exact"/>
              <w:rPr>
                <w:rFonts w:ascii="Arial" w:cs="Arial" w:eastAsia="Arial" w:hAnsi="Arial"/>
                <w:sz w:val="18"/>
                <w:szCs w:val="18"/>
                <w:color w:val="0000FF"/>
                <w:w w:val="86"/>
              </w:rPr>
            </w:pPr>
            <w:hyperlink r:id="rId322">
              <w:r>
                <w:rPr>
                  <w:rFonts w:ascii="Arial" w:cs="Arial" w:eastAsia="Arial" w:hAnsi="Arial"/>
                  <w:sz w:val="18"/>
                  <w:szCs w:val="18"/>
                  <w:color w:val="0000FF"/>
                  <w:w w:val="86"/>
                </w:rPr>
                <w:t>Partners VIC, L.P., NPS/Crescent Strategic</w:t>
              </w:r>
            </w:hyperlink>
          </w:p>
        </w:tc>
        <w:tc>
          <w:tcPr>
            <w:tcW w:w="66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60" w:type="dxa"/>
            <w:vAlign w:val="bottom"/>
            <w:tcBorders>
              <w:bottom w:val="single" w:sz="8" w:color="0000FF"/>
            </w:tcBorders>
            <w:gridSpan w:val="17"/>
          </w:tcPr>
          <w:p>
            <w:pPr>
              <w:spacing w:after="0" w:line="196" w:lineRule="exact"/>
              <w:rPr>
                <w:rFonts w:ascii="Arial" w:cs="Arial" w:eastAsia="Arial" w:hAnsi="Arial"/>
                <w:sz w:val="18"/>
                <w:szCs w:val="18"/>
                <w:color w:val="0000FF"/>
                <w:w w:val="86"/>
              </w:rPr>
            </w:pPr>
            <w:hyperlink r:id="rId322">
              <w:r>
                <w:rPr>
                  <w:rFonts w:ascii="Arial" w:cs="Arial" w:eastAsia="Arial" w:hAnsi="Arial"/>
                  <w:sz w:val="18"/>
                  <w:szCs w:val="18"/>
                  <w:color w:val="0000FF"/>
                  <w:w w:val="86"/>
                </w:rPr>
                <w:t>Partnership II, LP, CM7C VS Equity Holdings, LP,</w:t>
              </w:r>
            </w:hyperlink>
          </w:p>
        </w:tc>
        <w:tc>
          <w:tcPr>
            <w:tcW w:w="20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40" w:type="dxa"/>
            <w:vAlign w:val="bottom"/>
            <w:gridSpan w:val="26"/>
          </w:tcPr>
          <w:p>
            <w:pPr>
              <w:spacing w:after="0" w:line="196" w:lineRule="exact"/>
              <w:rPr>
                <w:rFonts w:ascii="Arial" w:cs="Arial" w:eastAsia="Arial" w:hAnsi="Arial"/>
                <w:sz w:val="18"/>
                <w:szCs w:val="18"/>
                <w:color w:val="0000FF"/>
              </w:rPr>
            </w:pPr>
            <w:hyperlink r:id="rId322">
              <w:r>
                <w:rPr>
                  <w:rFonts w:ascii="Arial" w:cs="Arial" w:eastAsia="Arial" w:hAnsi="Arial"/>
                  <w:sz w:val="18"/>
                  <w:szCs w:val="18"/>
                  <w:color w:val="0000FF"/>
                </w:rPr>
                <w:t>Crescent Mezzanine Partners VIIB, L.P., CM6B Vivid</w:t>
              </w:r>
            </w:hyperlink>
          </w:p>
        </w:tc>
        <w:tc>
          <w:tcPr>
            <w:tcW w:w="10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32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87"/>
              </w:rPr>
            </w:pPr>
            <w:hyperlink r:id="rId322">
              <w:r>
                <w:rPr>
                  <w:rFonts w:ascii="Arial" w:cs="Arial" w:eastAsia="Arial" w:hAnsi="Arial"/>
                  <w:sz w:val="18"/>
                  <w:szCs w:val="18"/>
                  <w:color w:val="0000FF"/>
                  <w:w w:val="87"/>
                </w:rPr>
                <w:t>Equity, Inc., CM6C Vivid Equity, Inc., CM7C VS</w:t>
              </w:r>
            </w:hyperlink>
          </w:p>
        </w:tc>
        <w:tc>
          <w:tcPr>
            <w:tcW w:w="340" w:type="dxa"/>
            <w:vAlign w:val="bottom"/>
            <w:tcBorders>
              <w:top w:val="single" w:sz="8" w:color="0000FF"/>
            </w:tcBorders>
            <w:gridSpan w:val="7"/>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100" w:type="dxa"/>
            <w:vAlign w:val="bottom"/>
            <w:tcBorders>
              <w:bottom w:val="single" w:sz="8" w:color="0000FF"/>
            </w:tcBorders>
            <w:gridSpan w:val="11"/>
          </w:tcPr>
          <w:p>
            <w:pPr>
              <w:spacing w:after="0" w:line="196" w:lineRule="exact"/>
              <w:rPr>
                <w:rFonts w:ascii="Arial" w:cs="Arial" w:eastAsia="Arial" w:hAnsi="Arial"/>
                <w:sz w:val="18"/>
                <w:szCs w:val="18"/>
                <w:color w:val="0000FF"/>
                <w:w w:val="85"/>
              </w:rPr>
            </w:pPr>
            <w:hyperlink r:id="rId322">
              <w:r>
                <w:rPr>
                  <w:rFonts w:ascii="Arial" w:cs="Arial" w:eastAsia="Arial" w:hAnsi="Arial"/>
                  <w:sz w:val="18"/>
                  <w:szCs w:val="18"/>
                  <w:color w:val="0000FF"/>
                  <w:w w:val="85"/>
                </w:rPr>
                <w:t>Equity, LLC, CM7B VS Equity, LLC, Crescent</w:t>
              </w:r>
            </w:hyperlink>
          </w:p>
        </w:tc>
        <w:tc>
          <w:tcPr>
            <w:tcW w:w="56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520" w:type="dxa"/>
            <w:vAlign w:val="bottom"/>
            <w:tcBorders>
              <w:bottom w:val="single" w:sz="8" w:color="0000FF"/>
            </w:tcBorders>
            <w:gridSpan w:val="18"/>
          </w:tcPr>
          <w:p>
            <w:pPr>
              <w:spacing w:after="0" w:line="196" w:lineRule="exact"/>
              <w:rPr>
                <w:rFonts w:ascii="Arial" w:cs="Arial" w:eastAsia="Arial" w:hAnsi="Arial"/>
                <w:sz w:val="18"/>
                <w:szCs w:val="18"/>
                <w:color w:val="0000FF"/>
                <w:w w:val="87"/>
              </w:rPr>
            </w:pPr>
            <w:hyperlink r:id="rId322">
              <w:r>
                <w:rPr>
                  <w:rFonts w:ascii="Arial" w:cs="Arial" w:eastAsia="Arial" w:hAnsi="Arial"/>
                  <w:sz w:val="18"/>
                  <w:szCs w:val="18"/>
                  <w:color w:val="0000FF"/>
                  <w:w w:val="87"/>
                </w:rPr>
                <w:t>Mezzanine Partners VI, L.P., Crescent Mezzanine</w:t>
              </w:r>
            </w:hyperlink>
          </w:p>
        </w:tc>
        <w:tc>
          <w:tcPr>
            <w:tcW w:w="14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40" w:type="dxa"/>
            <w:vAlign w:val="bottom"/>
            <w:tcBorders>
              <w:bottom w:val="single" w:sz="8" w:color="0000FF"/>
            </w:tcBorders>
            <w:gridSpan w:val="21"/>
          </w:tcPr>
          <w:p>
            <w:pPr>
              <w:spacing w:after="0" w:line="196" w:lineRule="exact"/>
              <w:rPr>
                <w:rFonts w:ascii="Arial" w:cs="Arial" w:eastAsia="Arial" w:hAnsi="Arial"/>
                <w:sz w:val="18"/>
                <w:szCs w:val="18"/>
                <w:color w:val="0000FF"/>
                <w:w w:val="88"/>
              </w:rPr>
            </w:pPr>
            <w:hyperlink r:id="rId322">
              <w:r>
                <w:rPr>
                  <w:rFonts w:ascii="Arial" w:cs="Arial" w:eastAsia="Arial" w:hAnsi="Arial"/>
                  <w:sz w:val="18"/>
                  <w:szCs w:val="18"/>
                  <w:color w:val="0000FF"/>
                  <w:w w:val="88"/>
                </w:rPr>
                <w:t>Partners VII, L.P., Crescent Mezzanine Partners VII</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60" w:type="dxa"/>
            <w:vAlign w:val="bottom"/>
            <w:tcBorders>
              <w:bottom w:val="single" w:sz="8" w:color="0000FF"/>
            </w:tcBorders>
            <w:gridSpan w:val="17"/>
          </w:tcPr>
          <w:p>
            <w:pPr>
              <w:spacing w:after="0" w:line="196" w:lineRule="exact"/>
              <w:rPr>
                <w:rFonts w:ascii="Arial" w:cs="Arial" w:eastAsia="Arial" w:hAnsi="Arial"/>
                <w:sz w:val="18"/>
                <w:szCs w:val="18"/>
                <w:color w:val="0000FF"/>
                <w:w w:val="85"/>
              </w:rPr>
            </w:pPr>
            <w:hyperlink r:id="rId322">
              <w:r>
                <w:rPr>
                  <w:rFonts w:ascii="Arial" w:cs="Arial" w:eastAsia="Arial" w:hAnsi="Arial"/>
                  <w:sz w:val="18"/>
                  <w:szCs w:val="18"/>
                  <w:color w:val="0000FF"/>
                  <w:w w:val="85"/>
                </w:rPr>
                <w:t>(LTL), L.P., CBDC Universal Equity, Inc., Crescent</w:t>
              </w:r>
            </w:hyperlink>
          </w:p>
        </w:tc>
        <w:tc>
          <w:tcPr>
            <w:tcW w:w="20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6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322">
              <w:r>
                <w:rPr>
                  <w:rFonts w:ascii="Arial" w:cs="Arial" w:eastAsia="Arial" w:hAnsi="Arial"/>
                  <w:sz w:val="18"/>
                  <w:szCs w:val="18"/>
                  <w:color w:val="0000FF"/>
                  <w:w w:val="91"/>
                </w:rPr>
                <w:t>Capital Group, LP and Horizon Acquisiton</w:t>
              </w:r>
            </w:hyperlink>
          </w:p>
        </w:tc>
        <w:tc>
          <w:tcPr>
            <w:tcW w:w="60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60" w:type="dxa"/>
            <w:vAlign w:val="bottom"/>
            <w:gridSpan w:val="22"/>
          </w:tcPr>
          <w:p>
            <w:pPr>
              <w:spacing w:after="0" w:line="196" w:lineRule="exact"/>
              <w:rPr>
                <w:rFonts w:ascii="Arial" w:cs="Arial" w:eastAsia="Arial" w:hAnsi="Arial"/>
                <w:sz w:val="18"/>
                <w:szCs w:val="18"/>
                <w:color w:val="0000FF"/>
              </w:rPr>
            </w:pPr>
            <w:hyperlink r:id="rId322">
              <w:r>
                <w:rPr>
                  <w:rFonts w:ascii="Arial" w:cs="Arial" w:eastAsia="Arial" w:hAnsi="Arial"/>
                  <w:sz w:val="18"/>
                  <w:szCs w:val="18"/>
                  <w:color w:val="0000FF"/>
                </w:rPr>
                <w:t>Corporaton</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920" w:type="dxa"/>
            <w:vAlign w:val="bottom"/>
          </w:tcPr>
          <w:p>
            <w:pPr>
              <w:jc w:val="right"/>
              <w:ind w:right="590"/>
              <w:spacing w:after="0"/>
              <w:rPr>
                <w:sz w:val="20"/>
                <w:szCs w:val="20"/>
                <w:color w:val="auto"/>
              </w:rPr>
            </w:pPr>
            <w:r>
              <w:rPr>
                <w:rFonts w:ascii="Arial" w:cs="Arial" w:eastAsia="Arial" w:hAnsi="Arial"/>
                <w:sz w:val="18"/>
                <w:szCs w:val="18"/>
                <w:color w:val="auto"/>
                <w:w w:val="87"/>
              </w:rPr>
              <w:t>2.3</w:t>
            </w:r>
          </w:p>
        </w:tc>
        <w:tc>
          <w:tcPr>
            <w:tcW w:w="3440" w:type="dxa"/>
            <w:vAlign w:val="bottom"/>
            <w:tcBorders>
              <w:bottom w:val="single" w:sz="8" w:color="0000FF"/>
            </w:tcBorders>
            <w:gridSpan w:val="16"/>
          </w:tcPr>
          <w:p>
            <w:pPr>
              <w:spacing w:after="0"/>
              <w:rPr>
                <w:rFonts w:ascii="Arial" w:cs="Arial" w:eastAsia="Arial" w:hAnsi="Arial"/>
                <w:sz w:val="18"/>
                <w:szCs w:val="18"/>
                <w:color w:val="0000FF"/>
                <w:w w:val="91"/>
              </w:rPr>
            </w:pPr>
            <w:hyperlink r:id="rId323">
              <w:r>
                <w:rPr>
                  <w:rFonts w:ascii="Arial" w:cs="Arial" w:eastAsia="Arial" w:hAnsi="Arial"/>
                  <w:sz w:val="18"/>
                  <w:szCs w:val="18"/>
                  <w:color w:val="0000FF"/>
                  <w:w w:val="91"/>
                </w:rPr>
                <w:t>Plan of Merger dated October 18, 2021 among</w:t>
              </w:r>
            </w:hyperlink>
          </w:p>
        </w:tc>
        <w:tc>
          <w:tcPr>
            <w:tcW w:w="220" w:type="dxa"/>
            <w:vAlign w:val="bottom"/>
            <w:gridSpan w:val="6"/>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auto"/>
              </w:rPr>
              <w:t>10-Q</w:t>
            </w:r>
          </w:p>
        </w:tc>
        <w:tc>
          <w:tcPr>
            <w:tcW w:w="1040" w:type="dxa"/>
            <w:vAlign w:val="bottom"/>
          </w:tcPr>
          <w:p>
            <w:pPr>
              <w:jc w:val="right"/>
              <w:ind w:right="530"/>
              <w:spacing w:after="0"/>
              <w:rPr>
                <w:sz w:val="20"/>
                <w:szCs w:val="20"/>
                <w:color w:val="auto"/>
              </w:rPr>
            </w:pPr>
            <w:r>
              <w:rPr>
                <w:rFonts w:ascii="Arial" w:cs="Arial" w:eastAsia="Arial" w:hAnsi="Arial"/>
                <w:sz w:val="18"/>
                <w:szCs w:val="18"/>
                <w:color w:val="auto"/>
              </w:rPr>
              <w:t>2.3</w:t>
            </w:r>
          </w:p>
        </w:tc>
        <w:tc>
          <w:tcPr>
            <w:tcW w:w="1420" w:type="dxa"/>
            <w:vAlign w:val="bottom"/>
          </w:tcPr>
          <w:p>
            <w:pPr>
              <w:ind w:left="120"/>
              <w:spacing w:after="0"/>
              <w:rPr>
                <w:sz w:val="20"/>
                <w:szCs w:val="20"/>
                <w:color w:val="auto"/>
              </w:rPr>
            </w:pPr>
            <w:r>
              <w:rPr>
                <w:rFonts w:ascii="Arial" w:cs="Arial" w:eastAsia="Arial" w:hAnsi="Arial"/>
                <w:sz w:val="18"/>
                <w:szCs w:val="18"/>
                <w:color w:val="auto"/>
              </w:rPr>
              <w:t>11/15/2021</w:t>
            </w: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60" w:type="dxa"/>
            <w:vAlign w:val="bottom"/>
            <w:tcBorders>
              <w:bottom w:val="single" w:sz="8" w:color="0000FF"/>
            </w:tcBorders>
            <w:gridSpan w:val="22"/>
          </w:tcPr>
          <w:p>
            <w:pPr>
              <w:spacing w:after="0" w:line="196" w:lineRule="exact"/>
              <w:rPr>
                <w:rFonts w:ascii="Arial" w:cs="Arial" w:eastAsia="Arial" w:hAnsi="Arial"/>
                <w:sz w:val="18"/>
                <w:szCs w:val="18"/>
                <w:color w:val="0000FF"/>
                <w:w w:val="92"/>
              </w:rPr>
            </w:pPr>
            <w:hyperlink r:id="rId323">
              <w:r>
                <w:rPr>
                  <w:rFonts w:ascii="Arial" w:cs="Arial" w:eastAsia="Arial" w:hAnsi="Arial"/>
                  <w:sz w:val="18"/>
                  <w:szCs w:val="18"/>
                  <w:color w:val="0000FF"/>
                  <w:w w:val="92"/>
                </w:rPr>
                <w:t>Horizon Acquisiton Corporaton, Horizon Sponsor,</w:t>
              </w:r>
            </w:hyperlink>
          </w:p>
        </w:tc>
        <w:tc>
          <w:tcPr>
            <w:tcW w:w="20"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20" w:type="dxa"/>
            <w:vAlign w:val="bottom"/>
            <w:tcBorders>
              <w:bottom w:val="single" w:sz="8" w:color="0000FF"/>
            </w:tcBorders>
            <w:gridSpan w:val="20"/>
          </w:tcPr>
          <w:p>
            <w:pPr>
              <w:spacing w:after="0" w:line="196" w:lineRule="exact"/>
              <w:rPr>
                <w:rFonts w:ascii="Arial" w:cs="Arial" w:eastAsia="Arial" w:hAnsi="Arial"/>
                <w:sz w:val="18"/>
                <w:szCs w:val="18"/>
                <w:color w:val="0000FF"/>
                <w:w w:val="86"/>
              </w:rPr>
            </w:pPr>
            <w:hyperlink r:id="rId323">
              <w:r>
                <w:rPr>
                  <w:rFonts w:ascii="Arial" w:cs="Arial" w:eastAsia="Arial" w:hAnsi="Arial"/>
                  <w:sz w:val="18"/>
                  <w:szCs w:val="18"/>
                  <w:color w:val="0000FF"/>
                  <w:w w:val="86"/>
                </w:rPr>
                <w:t>LLC, Hoya Topco, LLC, Hoya Intermediate, LLC and</w:t>
              </w:r>
            </w:hyperlink>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60" w:type="dxa"/>
            <w:vAlign w:val="bottom"/>
            <w:gridSpan w:val="22"/>
          </w:tcPr>
          <w:p>
            <w:pPr>
              <w:spacing w:after="0" w:line="196" w:lineRule="exact"/>
              <w:rPr>
                <w:rFonts w:ascii="Arial" w:cs="Arial" w:eastAsia="Arial" w:hAnsi="Arial"/>
                <w:sz w:val="18"/>
                <w:szCs w:val="18"/>
                <w:color w:val="0000FF"/>
              </w:rPr>
            </w:pPr>
            <w:hyperlink r:id="rId323">
              <w:r>
                <w:rPr>
                  <w:rFonts w:ascii="Arial" w:cs="Arial" w:eastAsia="Arial" w:hAnsi="Arial"/>
                  <w:sz w:val="18"/>
                  <w:szCs w:val="18"/>
                  <w:color w:val="0000FF"/>
                </w:rPr>
                <w:t>Vivid Seats Inc.</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920" w:type="dxa"/>
            <w:vAlign w:val="bottom"/>
          </w:tcPr>
          <w:p>
            <w:pPr>
              <w:jc w:val="right"/>
              <w:ind w:right="590"/>
              <w:spacing w:after="0"/>
              <w:rPr>
                <w:sz w:val="20"/>
                <w:szCs w:val="20"/>
                <w:color w:val="auto"/>
              </w:rPr>
            </w:pPr>
            <w:r>
              <w:rPr>
                <w:rFonts w:ascii="Arial" w:cs="Arial" w:eastAsia="Arial" w:hAnsi="Arial"/>
                <w:sz w:val="18"/>
                <w:szCs w:val="18"/>
                <w:color w:val="auto"/>
                <w:w w:val="87"/>
              </w:rPr>
              <w:t>3.1</w:t>
            </w:r>
          </w:p>
        </w:tc>
        <w:tc>
          <w:tcPr>
            <w:tcW w:w="2720" w:type="dxa"/>
            <w:vAlign w:val="bottom"/>
            <w:tcBorders>
              <w:bottom w:val="single" w:sz="8" w:color="0000FF"/>
            </w:tcBorders>
            <w:gridSpan w:val="8"/>
          </w:tcPr>
          <w:p>
            <w:pPr>
              <w:spacing w:after="0"/>
              <w:rPr>
                <w:rFonts w:ascii="Arial" w:cs="Arial" w:eastAsia="Arial" w:hAnsi="Arial"/>
                <w:sz w:val="18"/>
                <w:szCs w:val="18"/>
                <w:color w:val="0000FF"/>
                <w:w w:val="94"/>
              </w:rPr>
            </w:pPr>
            <w:hyperlink r:id="rId324">
              <w:r>
                <w:rPr>
                  <w:rFonts w:ascii="Arial" w:cs="Arial" w:eastAsia="Arial" w:hAnsi="Arial"/>
                  <w:sz w:val="18"/>
                  <w:szCs w:val="18"/>
                  <w:color w:val="0000FF"/>
                  <w:w w:val="94"/>
                </w:rPr>
                <w:t>Amended and Restated Certfcate of</w:t>
              </w:r>
            </w:hyperlink>
          </w:p>
        </w:tc>
        <w:tc>
          <w:tcPr>
            <w:tcW w:w="940" w:type="dxa"/>
            <w:vAlign w:val="bottom"/>
            <w:gridSpan w:val="14"/>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auto"/>
              </w:rPr>
              <w:t>8-K</w:t>
            </w:r>
          </w:p>
        </w:tc>
        <w:tc>
          <w:tcPr>
            <w:tcW w:w="1040" w:type="dxa"/>
            <w:vAlign w:val="bottom"/>
          </w:tcPr>
          <w:p>
            <w:pPr>
              <w:jc w:val="right"/>
              <w:ind w:right="530"/>
              <w:spacing w:after="0"/>
              <w:rPr>
                <w:sz w:val="20"/>
                <w:szCs w:val="20"/>
                <w:color w:val="auto"/>
              </w:rPr>
            </w:pPr>
            <w:r>
              <w:rPr>
                <w:rFonts w:ascii="Arial" w:cs="Arial" w:eastAsia="Arial" w:hAnsi="Arial"/>
                <w:sz w:val="18"/>
                <w:szCs w:val="18"/>
                <w:color w:val="auto"/>
              </w:rPr>
              <w:t>3.1</w:t>
            </w:r>
          </w:p>
        </w:tc>
        <w:tc>
          <w:tcPr>
            <w:tcW w:w="1420" w:type="dxa"/>
            <w:vAlign w:val="bottom"/>
          </w:tcPr>
          <w:p>
            <w:pPr>
              <w:ind w:left="120"/>
              <w:spacing w:after="0"/>
              <w:rPr>
                <w:sz w:val="20"/>
                <w:szCs w:val="20"/>
                <w:color w:val="auto"/>
              </w:rPr>
            </w:pPr>
            <w:r>
              <w:rPr>
                <w:rFonts w:ascii="Arial" w:cs="Arial" w:eastAsia="Arial" w:hAnsi="Arial"/>
                <w:sz w:val="18"/>
                <w:szCs w:val="18"/>
                <w:color w:val="auto"/>
              </w:rPr>
              <w:t>10/22/2021</w:t>
            </w: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60" w:type="dxa"/>
            <w:vAlign w:val="bottom"/>
            <w:gridSpan w:val="22"/>
          </w:tcPr>
          <w:p>
            <w:pPr>
              <w:spacing w:after="0" w:line="196" w:lineRule="exact"/>
              <w:rPr>
                <w:rFonts w:ascii="Arial" w:cs="Arial" w:eastAsia="Arial" w:hAnsi="Arial"/>
                <w:sz w:val="18"/>
                <w:szCs w:val="18"/>
                <w:color w:val="0000FF"/>
              </w:rPr>
            </w:pPr>
            <w:hyperlink r:id="rId324">
              <w:r>
                <w:rPr>
                  <w:rFonts w:ascii="Arial" w:cs="Arial" w:eastAsia="Arial" w:hAnsi="Arial"/>
                  <w:sz w:val="18"/>
                  <w:szCs w:val="18"/>
                  <w:color w:val="0000FF"/>
                </w:rPr>
                <w:t>Incorporaton</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right w:val="single" w:sz="8" w:color="0000EE"/>
            </w:tcBorders>
            <w:gridSpan w:val="2"/>
            <w:shd w:val="clear" w:color="auto" w:fill="0000FF"/>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920" w:type="dxa"/>
            <w:vAlign w:val="bottom"/>
          </w:tcPr>
          <w:p>
            <w:pPr>
              <w:jc w:val="right"/>
              <w:ind w:right="590"/>
              <w:spacing w:after="0"/>
              <w:rPr>
                <w:sz w:val="20"/>
                <w:szCs w:val="20"/>
                <w:color w:val="auto"/>
              </w:rPr>
            </w:pPr>
            <w:r>
              <w:rPr>
                <w:rFonts w:ascii="Arial" w:cs="Arial" w:eastAsia="Arial" w:hAnsi="Arial"/>
                <w:sz w:val="18"/>
                <w:szCs w:val="18"/>
                <w:color w:val="auto"/>
                <w:w w:val="87"/>
              </w:rPr>
              <w:t>3.2</w:t>
            </w:r>
          </w:p>
        </w:tc>
        <w:tc>
          <w:tcPr>
            <w:tcW w:w="3240" w:type="dxa"/>
            <w:vAlign w:val="bottom"/>
            <w:tcBorders>
              <w:bottom w:val="single" w:sz="8" w:color="0000FF"/>
            </w:tcBorders>
            <w:gridSpan w:val="13"/>
          </w:tcPr>
          <w:p>
            <w:pPr>
              <w:spacing w:after="0"/>
              <w:rPr>
                <w:rFonts w:ascii="Arial" w:cs="Arial" w:eastAsia="Arial" w:hAnsi="Arial"/>
                <w:sz w:val="18"/>
                <w:szCs w:val="18"/>
                <w:color w:val="0000FF"/>
                <w:w w:val="91"/>
              </w:rPr>
            </w:pPr>
            <w:hyperlink r:id="rId325">
              <w:r>
                <w:rPr>
                  <w:rFonts w:ascii="Arial" w:cs="Arial" w:eastAsia="Arial" w:hAnsi="Arial"/>
                  <w:sz w:val="18"/>
                  <w:szCs w:val="18"/>
                  <w:color w:val="0000FF"/>
                  <w:w w:val="91"/>
                </w:rPr>
                <w:t>First Amendment to Amended and Restated</w:t>
              </w:r>
            </w:hyperlink>
          </w:p>
        </w:tc>
        <w:tc>
          <w:tcPr>
            <w:tcW w:w="420" w:type="dxa"/>
            <w:vAlign w:val="bottom"/>
            <w:gridSpan w:val="9"/>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auto"/>
              </w:rPr>
              <w:t>10-Q</w:t>
            </w:r>
          </w:p>
        </w:tc>
        <w:tc>
          <w:tcPr>
            <w:tcW w:w="1040" w:type="dxa"/>
            <w:vAlign w:val="bottom"/>
          </w:tcPr>
          <w:p>
            <w:pPr>
              <w:jc w:val="right"/>
              <w:ind w:right="530"/>
              <w:spacing w:after="0"/>
              <w:rPr>
                <w:sz w:val="20"/>
                <w:szCs w:val="20"/>
                <w:color w:val="auto"/>
              </w:rPr>
            </w:pPr>
            <w:r>
              <w:rPr>
                <w:rFonts w:ascii="Arial" w:cs="Arial" w:eastAsia="Arial" w:hAnsi="Arial"/>
                <w:sz w:val="18"/>
                <w:szCs w:val="18"/>
                <w:color w:val="auto"/>
              </w:rPr>
              <w:t>3.2</w:t>
            </w:r>
          </w:p>
        </w:tc>
        <w:tc>
          <w:tcPr>
            <w:tcW w:w="1420" w:type="dxa"/>
            <w:vAlign w:val="bottom"/>
          </w:tcPr>
          <w:p>
            <w:pPr>
              <w:ind w:left="120"/>
              <w:spacing w:after="0"/>
              <w:rPr>
                <w:sz w:val="20"/>
                <w:szCs w:val="20"/>
                <w:color w:val="auto"/>
              </w:rPr>
            </w:pPr>
            <w:r>
              <w:rPr>
                <w:rFonts w:ascii="Arial" w:cs="Arial" w:eastAsia="Arial" w:hAnsi="Arial"/>
                <w:sz w:val="18"/>
                <w:szCs w:val="18"/>
                <w:color w:val="auto"/>
              </w:rPr>
              <w:t>5/10/2022</w:t>
            </w: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Borders>
              <w:bottom w:val="single" w:sz="8" w:color="0000FF"/>
            </w:tcBorders>
          </w:tcPr>
          <w:p>
            <w:pPr>
              <w:spacing w:after="0" w:line="196" w:lineRule="exact"/>
              <w:rPr>
                <w:rFonts w:ascii="Arial" w:cs="Arial" w:eastAsia="Arial" w:hAnsi="Arial"/>
                <w:sz w:val="18"/>
                <w:szCs w:val="18"/>
                <w:color w:val="0000FF"/>
                <w:w w:val="84"/>
              </w:rPr>
            </w:pPr>
            <w:hyperlink r:id="rId325">
              <w:r>
                <w:rPr>
                  <w:rFonts w:ascii="Arial" w:cs="Arial" w:eastAsia="Arial" w:hAnsi="Arial"/>
                  <w:sz w:val="18"/>
                  <w:szCs w:val="18"/>
                  <w:color w:val="0000FF"/>
                  <w:w w:val="84"/>
                </w:rPr>
                <w:t>Bylaws</w:t>
              </w:r>
            </w:hyperlink>
          </w:p>
        </w:tc>
        <w:tc>
          <w:tcPr>
            <w:tcW w:w="20" w:type="dxa"/>
            <w:vAlign w:val="bottom"/>
            <w:tcBorders>
              <w:bottom w:val="single" w:sz="8" w:color="0000EE"/>
            </w:tcBorders>
          </w:tcPr>
          <w:p>
            <w:pPr>
              <w:spacing w:after="0"/>
              <w:rPr>
                <w:sz w:val="17"/>
                <w:szCs w:val="17"/>
                <w:color w:val="auto"/>
              </w:rPr>
            </w:pPr>
          </w:p>
        </w:tc>
        <w:tc>
          <w:tcPr>
            <w:tcW w:w="3140" w:type="dxa"/>
            <w:vAlign w:val="bottom"/>
            <w:gridSpan w:val="20"/>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920" w:type="dxa"/>
            <w:vAlign w:val="bottom"/>
          </w:tcPr>
          <w:p>
            <w:pPr>
              <w:jc w:val="right"/>
              <w:ind w:right="590"/>
              <w:spacing w:after="0"/>
              <w:rPr>
                <w:sz w:val="20"/>
                <w:szCs w:val="20"/>
                <w:color w:val="auto"/>
              </w:rPr>
            </w:pPr>
            <w:r>
              <w:rPr>
                <w:rFonts w:ascii="Arial" w:cs="Arial" w:eastAsia="Arial" w:hAnsi="Arial"/>
                <w:sz w:val="18"/>
                <w:szCs w:val="18"/>
                <w:color w:val="auto"/>
                <w:w w:val="87"/>
              </w:rPr>
              <w:t>3.3</w:t>
            </w:r>
          </w:p>
        </w:tc>
        <w:tc>
          <w:tcPr>
            <w:tcW w:w="3660" w:type="dxa"/>
            <w:vAlign w:val="bottom"/>
            <w:gridSpan w:val="22"/>
          </w:tcPr>
          <w:p>
            <w:pPr>
              <w:spacing w:after="0"/>
              <w:rPr>
                <w:rFonts w:ascii="Arial" w:cs="Arial" w:eastAsia="Arial" w:hAnsi="Arial"/>
                <w:sz w:val="18"/>
                <w:szCs w:val="18"/>
                <w:color w:val="0000FF"/>
              </w:rPr>
            </w:pPr>
            <w:hyperlink r:id="rId326">
              <w:r>
                <w:rPr>
                  <w:rFonts w:ascii="Arial" w:cs="Arial" w:eastAsia="Arial" w:hAnsi="Arial"/>
                  <w:sz w:val="18"/>
                  <w:szCs w:val="18"/>
                  <w:color w:val="0000FF"/>
                </w:rPr>
                <w:t>Amended and Restated Bylaws</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auto"/>
              </w:rPr>
              <w:t>8-K</w:t>
            </w:r>
          </w:p>
        </w:tc>
        <w:tc>
          <w:tcPr>
            <w:tcW w:w="1040" w:type="dxa"/>
            <w:vAlign w:val="bottom"/>
          </w:tcPr>
          <w:p>
            <w:pPr>
              <w:jc w:val="right"/>
              <w:ind w:right="530"/>
              <w:spacing w:after="0"/>
              <w:rPr>
                <w:sz w:val="20"/>
                <w:szCs w:val="20"/>
                <w:color w:val="auto"/>
              </w:rPr>
            </w:pPr>
            <w:r>
              <w:rPr>
                <w:rFonts w:ascii="Arial" w:cs="Arial" w:eastAsia="Arial" w:hAnsi="Arial"/>
                <w:sz w:val="18"/>
                <w:szCs w:val="18"/>
                <w:color w:val="auto"/>
              </w:rPr>
              <w:t>3.2</w:t>
            </w:r>
          </w:p>
        </w:tc>
        <w:tc>
          <w:tcPr>
            <w:tcW w:w="1420" w:type="dxa"/>
            <w:vAlign w:val="bottom"/>
          </w:tcPr>
          <w:p>
            <w:pPr>
              <w:ind w:left="120"/>
              <w:spacing w:after="0"/>
              <w:rPr>
                <w:sz w:val="20"/>
                <w:szCs w:val="20"/>
                <w:color w:val="auto"/>
              </w:rPr>
            </w:pPr>
            <w:r>
              <w:rPr>
                <w:rFonts w:ascii="Arial" w:cs="Arial" w:eastAsia="Arial" w:hAnsi="Arial"/>
                <w:sz w:val="18"/>
                <w:szCs w:val="18"/>
                <w:color w:val="auto"/>
              </w:rPr>
              <w:t>10/22/2021</w:t>
            </w: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9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520" w:type="dxa"/>
            <w:vAlign w:val="bottom"/>
            <w:tcBorders>
              <w:top w:val="single" w:sz="8" w:color="0000FF"/>
            </w:tcBorders>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gridSpan w:val="4"/>
          </w:tcPr>
          <w:p>
            <w:pPr>
              <w:jc w:val="right"/>
              <w:ind w:right="710"/>
              <w:spacing w:after="0"/>
              <w:rPr>
                <w:sz w:val="20"/>
                <w:szCs w:val="20"/>
                <w:color w:val="auto"/>
              </w:rPr>
            </w:pPr>
            <w:r>
              <w:rPr>
                <w:rFonts w:ascii="Arial" w:cs="Arial" w:eastAsia="Arial" w:hAnsi="Arial"/>
                <w:sz w:val="18"/>
                <w:szCs w:val="18"/>
                <w:color w:val="auto"/>
                <w:w w:val="79"/>
              </w:rPr>
              <w:t>40</w:t>
            </w:r>
          </w:p>
        </w:tc>
        <w:tc>
          <w:tcPr>
            <w:tcW w:w="10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6"/>
        </w:trPr>
        <w:tc>
          <w:tcPr>
            <w:tcW w:w="960" w:type="dxa"/>
            <w:vAlign w:val="bottom"/>
            <w:tcBorders>
              <w:bottom w:val="single" w:sz="8" w:color="9A9A9A"/>
            </w:tcBorders>
          </w:tcPr>
          <w:p>
            <w:pPr>
              <w:spacing w:after="0"/>
              <w:rPr>
                <w:sz w:val="11"/>
                <w:szCs w:val="11"/>
                <w:color w:val="auto"/>
              </w:rPr>
            </w:pPr>
          </w:p>
        </w:tc>
        <w:tc>
          <w:tcPr>
            <w:tcW w:w="92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92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420" w:type="dxa"/>
            <w:vAlign w:val="bottom"/>
            <w:tcBorders>
              <w:bottom w:val="single" w:sz="8" w:color="9A9A9A"/>
            </w:tcBorders>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0" w:right="339" w:bottom="1440" w:gutter="0" w:footer="0" w:header="0"/>
        </w:sectPr>
      </w:pPr>
    </w:p>
    <w:bookmarkStart w:id="42" w:name="page43"/>
    <w:bookmarkEnd w:id="42"/>
    <w:tbl>
      <w:tblPr>
        <w:tblLayout w:type="fixed"/>
        <w:tblInd w:w="98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Arial" w:cs="Arial" w:eastAsia="Arial" w:hAnsi="Arial"/>
                <w:sz w:val="18"/>
                <w:szCs w:val="18"/>
                <w:color w:val="auto"/>
              </w:rPr>
              <w:t>4.1</w:t>
            </w:r>
          </w:p>
        </w:tc>
        <w:tc>
          <w:tcPr>
            <w:tcW w:w="4440" w:type="dxa"/>
            <w:vAlign w:val="bottom"/>
            <w:gridSpan w:val="13"/>
          </w:tcPr>
          <w:p>
            <w:pPr>
              <w:spacing w:after="0"/>
              <w:rPr>
                <w:rFonts w:ascii="Arial" w:cs="Arial" w:eastAsia="Arial" w:hAnsi="Arial"/>
                <w:sz w:val="18"/>
                <w:szCs w:val="18"/>
                <w:color w:val="0000FF"/>
              </w:rPr>
            </w:pPr>
            <w:hyperlink r:id="rId329">
              <w:r>
                <w:rPr>
                  <w:rFonts w:ascii="Arial" w:cs="Arial" w:eastAsia="Arial" w:hAnsi="Arial"/>
                  <w:sz w:val="18"/>
                  <w:szCs w:val="18"/>
                  <w:color w:val="0000FF"/>
                </w:rPr>
                <w:t xml:space="preserve">Amended and Restated Warrant Agreement dated </w:t>
              </w:r>
            </w:hyperlink>
            <w:r>
              <w:rPr>
                <w:rFonts w:ascii="Arial" w:cs="Arial" w:eastAsia="Arial" w:hAnsi="Arial"/>
                <w:sz w:val="18"/>
                <w:szCs w:val="18"/>
                <w:color w:val="000000"/>
              </w:rPr>
              <w:t>8-K</w:t>
            </w:r>
          </w:p>
        </w:tc>
        <w:tc>
          <w:tcPr>
            <w:tcW w:w="1040" w:type="dxa"/>
            <w:vAlign w:val="bottom"/>
          </w:tcPr>
          <w:p>
            <w:pPr>
              <w:ind w:left="380"/>
              <w:spacing w:after="0"/>
              <w:rPr>
                <w:sz w:val="20"/>
                <w:szCs w:val="20"/>
                <w:color w:val="auto"/>
              </w:rPr>
            </w:pPr>
            <w:r>
              <w:rPr>
                <w:rFonts w:ascii="Arial" w:cs="Arial" w:eastAsia="Arial" w:hAnsi="Arial"/>
                <w:sz w:val="18"/>
                <w:szCs w:val="18"/>
                <w:color w:val="auto"/>
              </w:rPr>
              <w:t>10.7</w:t>
            </w:r>
          </w:p>
        </w:tc>
        <w:tc>
          <w:tcPr>
            <w:tcW w:w="2360" w:type="dxa"/>
            <w:vAlign w:val="bottom"/>
          </w:tcPr>
          <w:p>
            <w:pPr>
              <w:ind w:left="320"/>
              <w:spacing w:after="0"/>
              <w:rPr>
                <w:sz w:val="20"/>
                <w:szCs w:val="20"/>
                <w:color w:val="auto"/>
              </w:rPr>
            </w:pPr>
            <w:r>
              <w:rPr>
                <w:rFonts w:ascii="Arial" w:cs="Arial" w:eastAsia="Arial" w:hAnsi="Arial"/>
                <w:sz w:val="18"/>
                <w:szCs w:val="18"/>
                <w:color w:val="auto"/>
              </w:rPr>
              <w:t>10/22/2021</w:t>
            </w:r>
          </w:p>
        </w:tc>
      </w:tr>
      <w:tr>
        <w:trPr>
          <w:trHeight w:val="196"/>
        </w:trPr>
        <w:tc>
          <w:tcPr>
            <w:tcW w:w="900" w:type="dxa"/>
            <w:vAlign w:val="bottom"/>
          </w:tcPr>
          <w:p>
            <w:pPr>
              <w:spacing w:after="0"/>
              <w:rPr>
                <w:sz w:val="17"/>
                <w:szCs w:val="17"/>
                <w:color w:val="auto"/>
              </w:rPr>
            </w:pPr>
          </w:p>
        </w:tc>
        <w:tc>
          <w:tcPr>
            <w:tcW w:w="344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3"/>
              </w:rPr>
            </w:pPr>
            <w:hyperlink r:id="rId329">
              <w:r>
                <w:rPr>
                  <w:rFonts w:ascii="Arial" w:cs="Arial" w:eastAsia="Arial" w:hAnsi="Arial"/>
                  <w:sz w:val="18"/>
                  <w:szCs w:val="18"/>
                  <w:color w:val="0000FF"/>
                  <w:w w:val="93"/>
                </w:rPr>
                <w:t>October 14, 2021 between Horizon Acquisiton</w:t>
              </w:r>
            </w:hyperlink>
          </w:p>
        </w:tc>
        <w:tc>
          <w:tcPr>
            <w:tcW w:w="260" w:type="dxa"/>
            <w:vAlign w:val="bottom"/>
            <w:tcBorders>
              <w:top w:val="single" w:sz="8" w:color="0000FF"/>
            </w:tcBorders>
            <w:gridSpan w:val="3"/>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370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329">
              <w:r>
                <w:rPr>
                  <w:rFonts w:ascii="Arial" w:cs="Arial" w:eastAsia="Arial" w:hAnsi="Arial"/>
                  <w:sz w:val="18"/>
                  <w:szCs w:val="18"/>
                  <w:color w:val="0000FF"/>
                  <w:w w:val="91"/>
                </w:rPr>
                <w:t>Corporaton and Contnental Stock Transfer &amp; Trust</w:t>
              </w:r>
            </w:hyperlink>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680" w:type="dxa"/>
            <w:vAlign w:val="bottom"/>
            <w:tcBorders>
              <w:bottom w:val="single" w:sz="8" w:color="0000FF"/>
            </w:tcBorders>
          </w:tcPr>
          <w:p>
            <w:pPr>
              <w:spacing w:after="0" w:line="196" w:lineRule="exact"/>
              <w:rPr>
                <w:rFonts w:ascii="Arial" w:cs="Arial" w:eastAsia="Arial" w:hAnsi="Arial"/>
                <w:sz w:val="18"/>
                <w:szCs w:val="18"/>
                <w:color w:val="0000FF"/>
                <w:w w:val="85"/>
              </w:rPr>
            </w:pPr>
            <w:hyperlink r:id="rId329">
              <w:r>
                <w:rPr>
                  <w:rFonts w:ascii="Arial" w:cs="Arial" w:eastAsia="Arial" w:hAnsi="Arial"/>
                  <w:sz w:val="18"/>
                  <w:szCs w:val="18"/>
                  <w:color w:val="0000FF"/>
                  <w:w w:val="85"/>
                </w:rPr>
                <w:t>Company</w:t>
              </w:r>
            </w:hyperlink>
          </w:p>
        </w:tc>
        <w:tc>
          <w:tcPr>
            <w:tcW w:w="20" w:type="dxa"/>
            <w:vAlign w:val="bottom"/>
            <w:tcBorders>
              <w:bottom w:val="single" w:sz="8" w:color="0000EE"/>
            </w:tcBorders>
          </w:tcPr>
          <w:p>
            <w:pPr>
              <w:spacing w:after="0"/>
              <w:rPr>
                <w:sz w:val="17"/>
                <w:szCs w:val="17"/>
                <w:color w:val="auto"/>
              </w:rPr>
            </w:pPr>
          </w:p>
        </w:tc>
        <w:tc>
          <w:tcPr>
            <w:tcW w:w="3000" w:type="dxa"/>
            <w:vAlign w:val="bottom"/>
            <w:gridSpan w:val="10"/>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09"/>
        </w:trPr>
        <w:tc>
          <w:tcPr>
            <w:tcW w:w="900" w:type="dxa"/>
            <w:vAlign w:val="bottom"/>
          </w:tcPr>
          <w:p>
            <w:pPr>
              <w:spacing w:after="0"/>
              <w:rPr>
                <w:sz w:val="20"/>
                <w:szCs w:val="20"/>
                <w:color w:val="auto"/>
              </w:rPr>
            </w:pPr>
            <w:r>
              <w:rPr>
                <w:rFonts w:ascii="Arial" w:cs="Arial" w:eastAsia="Arial" w:hAnsi="Arial"/>
                <w:sz w:val="18"/>
                <w:szCs w:val="18"/>
                <w:color w:val="auto"/>
              </w:rPr>
              <w:t>4.2</w:t>
            </w:r>
          </w:p>
        </w:tc>
        <w:tc>
          <w:tcPr>
            <w:tcW w:w="3420" w:type="dxa"/>
            <w:vAlign w:val="bottom"/>
            <w:tcBorders>
              <w:bottom w:val="single" w:sz="8" w:color="0000FF"/>
            </w:tcBorders>
            <w:gridSpan w:val="8"/>
          </w:tcPr>
          <w:p>
            <w:pPr>
              <w:spacing w:after="0"/>
              <w:rPr>
                <w:rFonts w:ascii="Arial" w:cs="Arial" w:eastAsia="Arial" w:hAnsi="Arial"/>
                <w:sz w:val="18"/>
                <w:szCs w:val="18"/>
                <w:color w:val="0000FF"/>
                <w:w w:val="91"/>
              </w:rPr>
            </w:pPr>
            <w:hyperlink r:id="rId330">
              <w:r>
                <w:rPr>
                  <w:rFonts w:ascii="Arial" w:cs="Arial" w:eastAsia="Arial" w:hAnsi="Arial"/>
                  <w:sz w:val="18"/>
                  <w:szCs w:val="18"/>
                  <w:color w:val="0000FF"/>
                  <w:w w:val="91"/>
                </w:rPr>
                <w:t>Specimen Class A Common Stock Certfcate of</w:t>
              </w:r>
            </w:hyperlink>
          </w:p>
        </w:tc>
        <w:tc>
          <w:tcPr>
            <w:tcW w:w="280" w:type="dxa"/>
            <w:vAlign w:val="bottom"/>
            <w:gridSpan w:val="4"/>
          </w:tcPr>
          <w:p>
            <w:pPr>
              <w:spacing w:after="0"/>
              <w:rPr>
                <w:sz w:val="18"/>
                <w:szCs w:val="18"/>
                <w:color w:val="auto"/>
              </w:rPr>
            </w:pPr>
          </w:p>
        </w:tc>
        <w:tc>
          <w:tcPr>
            <w:tcW w:w="740" w:type="dxa"/>
            <w:vAlign w:val="bottom"/>
          </w:tcPr>
          <w:p>
            <w:pPr>
              <w:ind w:left="40"/>
              <w:spacing w:after="0"/>
              <w:rPr>
                <w:sz w:val="20"/>
                <w:szCs w:val="20"/>
                <w:color w:val="auto"/>
              </w:rPr>
            </w:pPr>
            <w:r>
              <w:rPr>
                <w:rFonts w:ascii="Arial" w:cs="Arial" w:eastAsia="Arial" w:hAnsi="Arial"/>
                <w:sz w:val="18"/>
                <w:szCs w:val="18"/>
                <w:color w:val="auto"/>
              </w:rPr>
              <w:t>10-K</w:t>
            </w:r>
          </w:p>
        </w:tc>
        <w:tc>
          <w:tcPr>
            <w:tcW w:w="1040" w:type="dxa"/>
            <w:vAlign w:val="bottom"/>
          </w:tcPr>
          <w:p>
            <w:pPr>
              <w:ind w:left="380"/>
              <w:spacing w:after="0"/>
              <w:rPr>
                <w:sz w:val="20"/>
                <w:szCs w:val="20"/>
                <w:color w:val="auto"/>
              </w:rPr>
            </w:pPr>
            <w:r>
              <w:rPr>
                <w:rFonts w:ascii="Arial" w:cs="Arial" w:eastAsia="Arial" w:hAnsi="Arial"/>
                <w:sz w:val="18"/>
                <w:szCs w:val="18"/>
                <w:color w:val="auto"/>
              </w:rPr>
              <w:t>4.2</w:t>
            </w:r>
          </w:p>
        </w:tc>
        <w:tc>
          <w:tcPr>
            <w:tcW w:w="2360" w:type="dxa"/>
            <w:vAlign w:val="bottom"/>
          </w:tcPr>
          <w:p>
            <w:pPr>
              <w:ind w:left="320"/>
              <w:spacing w:after="0"/>
              <w:rPr>
                <w:sz w:val="20"/>
                <w:szCs w:val="20"/>
                <w:color w:val="auto"/>
              </w:rPr>
            </w:pPr>
            <w:r>
              <w:rPr>
                <w:rFonts w:ascii="Arial" w:cs="Arial" w:eastAsia="Arial" w:hAnsi="Arial"/>
                <w:sz w:val="18"/>
                <w:szCs w:val="18"/>
                <w:color w:val="auto"/>
              </w:rPr>
              <w:t>3/15/2022</w:t>
            </w:r>
          </w:p>
        </w:tc>
      </w:tr>
      <w:tr>
        <w:trPr>
          <w:trHeight w:val="196"/>
        </w:trPr>
        <w:tc>
          <w:tcPr>
            <w:tcW w:w="900" w:type="dxa"/>
            <w:vAlign w:val="bottom"/>
          </w:tcPr>
          <w:p>
            <w:pPr>
              <w:spacing w:after="0"/>
              <w:rPr>
                <w:sz w:val="17"/>
                <w:szCs w:val="17"/>
                <w:color w:val="auto"/>
              </w:rPr>
            </w:pPr>
          </w:p>
        </w:tc>
        <w:tc>
          <w:tcPr>
            <w:tcW w:w="3700" w:type="dxa"/>
            <w:vAlign w:val="bottom"/>
            <w:gridSpan w:val="12"/>
          </w:tcPr>
          <w:p>
            <w:pPr>
              <w:spacing w:after="0" w:line="196" w:lineRule="exact"/>
              <w:rPr>
                <w:rFonts w:ascii="Arial" w:cs="Arial" w:eastAsia="Arial" w:hAnsi="Arial"/>
                <w:sz w:val="18"/>
                <w:szCs w:val="18"/>
                <w:color w:val="0000FF"/>
              </w:rPr>
            </w:pPr>
            <w:hyperlink r:id="rId330">
              <w:r>
                <w:rPr>
                  <w:rFonts w:ascii="Arial" w:cs="Arial" w:eastAsia="Arial" w:hAnsi="Arial"/>
                  <w:sz w:val="18"/>
                  <w:szCs w:val="18"/>
                  <w:color w:val="0000FF"/>
                </w:rPr>
                <w:t>Vivid Seats Inc.</w:t>
              </w:r>
            </w:hyperlink>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09"/>
        </w:trPr>
        <w:tc>
          <w:tcPr>
            <w:tcW w:w="900" w:type="dxa"/>
            <w:vAlign w:val="bottom"/>
          </w:tcPr>
          <w:p>
            <w:pPr>
              <w:spacing w:after="0"/>
              <w:rPr>
                <w:sz w:val="20"/>
                <w:szCs w:val="20"/>
                <w:color w:val="auto"/>
              </w:rPr>
            </w:pPr>
            <w:r>
              <w:rPr>
                <w:rFonts w:ascii="Arial" w:cs="Arial" w:eastAsia="Arial" w:hAnsi="Arial"/>
                <w:sz w:val="18"/>
                <w:szCs w:val="18"/>
                <w:color w:val="auto"/>
              </w:rPr>
              <w:t>4.3</w:t>
            </w:r>
          </w:p>
        </w:tc>
        <w:tc>
          <w:tcPr>
            <w:tcW w:w="3460" w:type="dxa"/>
            <w:vAlign w:val="bottom"/>
            <w:tcBorders>
              <w:bottom w:val="single" w:sz="8" w:color="0000FF"/>
            </w:tcBorders>
            <w:gridSpan w:val="10"/>
          </w:tcPr>
          <w:p>
            <w:pPr>
              <w:spacing w:after="0"/>
              <w:rPr>
                <w:rFonts w:ascii="Arial" w:cs="Arial" w:eastAsia="Arial" w:hAnsi="Arial"/>
                <w:sz w:val="18"/>
                <w:szCs w:val="18"/>
                <w:color w:val="0000FF"/>
                <w:w w:val="91"/>
              </w:rPr>
            </w:pPr>
            <w:hyperlink r:id="rId331">
              <w:r>
                <w:rPr>
                  <w:rFonts w:ascii="Arial" w:cs="Arial" w:eastAsia="Arial" w:hAnsi="Arial"/>
                  <w:sz w:val="18"/>
                  <w:szCs w:val="18"/>
                  <w:color w:val="0000FF"/>
                  <w:w w:val="91"/>
                </w:rPr>
                <w:t>Specimen Warrant Certfcate of Vivid Seats Inc.</w:t>
              </w:r>
            </w:hyperlink>
          </w:p>
        </w:tc>
        <w:tc>
          <w:tcPr>
            <w:tcW w:w="20" w:type="dxa"/>
            <w:vAlign w:val="bottom"/>
            <w:tcBorders>
              <w:bottom w:val="single" w:sz="8" w:color="0000EE"/>
            </w:tcBorders>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ind w:left="40"/>
              <w:spacing w:after="0"/>
              <w:rPr>
                <w:sz w:val="20"/>
                <w:szCs w:val="20"/>
                <w:color w:val="auto"/>
              </w:rPr>
            </w:pPr>
            <w:r>
              <w:rPr>
                <w:rFonts w:ascii="Arial" w:cs="Arial" w:eastAsia="Arial" w:hAnsi="Arial"/>
                <w:sz w:val="18"/>
                <w:szCs w:val="18"/>
                <w:color w:val="auto"/>
              </w:rPr>
              <w:t>10-K</w:t>
            </w:r>
          </w:p>
        </w:tc>
        <w:tc>
          <w:tcPr>
            <w:tcW w:w="1040" w:type="dxa"/>
            <w:vAlign w:val="bottom"/>
          </w:tcPr>
          <w:p>
            <w:pPr>
              <w:ind w:left="380"/>
              <w:spacing w:after="0"/>
              <w:rPr>
                <w:sz w:val="20"/>
                <w:szCs w:val="20"/>
                <w:color w:val="auto"/>
              </w:rPr>
            </w:pPr>
            <w:r>
              <w:rPr>
                <w:rFonts w:ascii="Arial" w:cs="Arial" w:eastAsia="Arial" w:hAnsi="Arial"/>
                <w:sz w:val="18"/>
                <w:szCs w:val="18"/>
                <w:color w:val="auto"/>
              </w:rPr>
              <w:t>4.3</w:t>
            </w:r>
          </w:p>
        </w:tc>
        <w:tc>
          <w:tcPr>
            <w:tcW w:w="2360" w:type="dxa"/>
            <w:vAlign w:val="bottom"/>
          </w:tcPr>
          <w:p>
            <w:pPr>
              <w:ind w:left="320"/>
              <w:spacing w:after="0"/>
              <w:rPr>
                <w:sz w:val="20"/>
                <w:szCs w:val="20"/>
                <w:color w:val="auto"/>
              </w:rPr>
            </w:pPr>
            <w:r>
              <w:rPr>
                <w:rFonts w:ascii="Arial" w:cs="Arial" w:eastAsia="Arial" w:hAnsi="Arial"/>
                <w:sz w:val="18"/>
                <w:szCs w:val="18"/>
                <w:color w:val="auto"/>
              </w:rPr>
              <w:t>3/15/2022</w:t>
            </w:r>
          </w:p>
        </w:tc>
      </w:tr>
      <w:tr>
        <w:trPr>
          <w:trHeight w:val="210"/>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370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6"/>
              </w:rPr>
              <w:t>Certfcaton of Principal Executve Ofcer Pursuant</w:t>
            </w: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360" w:type="dxa"/>
            <w:vAlign w:val="bottom"/>
          </w:tcPr>
          <w:p>
            <w:pPr>
              <w:jc w:val="center"/>
              <w:ind w:left="2090"/>
              <w:spacing w:after="0"/>
              <w:rPr>
                <w:sz w:val="20"/>
                <w:szCs w:val="20"/>
                <w:color w:val="auto"/>
              </w:rPr>
            </w:pPr>
            <w:r>
              <w:rPr>
                <w:rFonts w:ascii="Arial" w:cs="Arial" w:eastAsia="Arial" w:hAnsi="Arial"/>
                <w:sz w:val="18"/>
                <w:szCs w:val="18"/>
                <w:color w:val="auto"/>
              </w:rPr>
              <w:t>*</w:t>
            </w:r>
          </w:p>
        </w:tc>
      </w:tr>
      <w:tr>
        <w:trPr>
          <w:trHeight w:val="196"/>
        </w:trPr>
        <w:tc>
          <w:tcPr>
            <w:tcW w:w="900" w:type="dxa"/>
            <w:vAlign w:val="bottom"/>
          </w:tcPr>
          <w:p>
            <w:pPr>
              <w:spacing w:after="0"/>
              <w:rPr>
                <w:sz w:val="17"/>
                <w:szCs w:val="17"/>
                <w:color w:val="auto"/>
              </w:rPr>
            </w:pPr>
          </w:p>
        </w:tc>
        <w:tc>
          <w:tcPr>
            <w:tcW w:w="2120" w:type="dxa"/>
            <w:vAlign w:val="bottom"/>
            <w:tcBorders>
              <w:bottom w:val="single" w:sz="8" w:color="0000FF"/>
            </w:tcBorders>
            <w:gridSpan w:val="6"/>
          </w:tcPr>
          <w:p>
            <w:pPr>
              <w:spacing w:after="0" w:line="196" w:lineRule="exact"/>
              <w:rPr>
                <w:sz w:val="20"/>
                <w:szCs w:val="20"/>
                <w:color w:val="auto"/>
              </w:rPr>
            </w:pPr>
            <w:r>
              <w:rPr>
                <w:rFonts w:ascii="Arial" w:cs="Arial" w:eastAsia="Arial" w:hAnsi="Arial"/>
                <w:sz w:val="18"/>
                <w:szCs w:val="18"/>
                <w:color w:val="0000FF"/>
                <w:w w:val="90"/>
              </w:rPr>
              <w:t>to Rule 13a-14(a) / 15d-14(a)</w:t>
            </w:r>
          </w:p>
        </w:tc>
        <w:tc>
          <w:tcPr>
            <w:tcW w:w="20" w:type="dxa"/>
            <w:vAlign w:val="bottom"/>
            <w:tcBorders>
              <w:bottom w:val="single" w:sz="8" w:color="0000EE"/>
            </w:tcBorders>
          </w:tcPr>
          <w:p>
            <w:pPr>
              <w:spacing w:after="0"/>
              <w:rPr>
                <w:sz w:val="17"/>
                <w:szCs w:val="17"/>
                <w:color w:val="auto"/>
              </w:rPr>
            </w:pPr>
          </w:p>
        </w:tc>
        <w:tc>
          <w:tcPr>
            <w:tcW w:w="1560" w:type="dxa"/>
            <w:vAlign w:val="bottom"/>
            <w:gridSpan w:val="5"/>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09"/>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370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6"/>
              </w:rPr>
              <w:t>Certfcaton of Principal Financial Ofcer Pursuant</w:t>
            </w: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360" w:type="dxa"/>
            <w:vAlign w:val="bottom"/>
          </w:tcPr>
          <w:p>
            <w:pPr>
              <w:jc w:val="center"/>
              <w:ind w:left="2090"/>
              <w:spacing w:after="0"/>
              <w:rPr>
                <w:sz w:val="20"/>
                <w:szCs w:val="20"/>
                <w:color w:val="auto"/>
              </w:rPr>
            </w:pPr>
            <w:r>
              <w:rPr>
                <w:rFonts w:ascii="Arial" w:cs="Arial" w:eastAsia="Arial" w:hAnsi="Arial"/>
                <w:sz w:val="18"/>
                <w:szCs w:val="18"/>
                <w:color w:val="auto"/>
              </w:rPr>
              <w:t>*</w:t>
            </w:r>
          </w:p>
        </w:tc>
      </w:tr>
      <w:tr>
        <w:trPr>
          <w:trHeight w:val="196"/>
        </w:trPr>
        <w:tc>
          <w:tcPr>
            <w:tcW w:w="900" w:type="dxa"/>
            <w:vAlign w:val="bottom"/>
          </w:tcPr>
          <w:p>
            <w:pPr>
              <w:spacing w:after="0"/>
              <w:rPr>
                <w:sz w:val="17"/>
                <w:szCs w:val="17"/>
                <w:color w:val="auto"/>
              </w:rPr>
            </w:pPr>
          </w:p>
        </w:tc>
        <w:tc>
          <w:tcPr>
            <w:tcW w:w="2120" w:type="dxa"/>
            <w:vAlign w:val="bottom"/>
            <w:tcBorders>
              <w:bottom w:val="single" w:sz="8" w:color="0000FF"/>
            </w:tcBorders>
            <w:gridSpan w:val="6"/>
          </w:tcPr>
          <w:p>
            <w:pPr>
              <w:spacing w:after="0" w:line="196" w:lineRule="exact"/>
              <w:rPr>
                <w:sz w:val="20"/>
                <w:szCs w:val="20"/>
                <w:color w:val="auto"/>
              </w:rPr>
            </w:pPr>
            <w:r>
              <w:rPr>
                <w:rFonts w:ascii="Arial" w:cs="Arial" w:eastAsia="Arial" w:hAnsi="Arial"/>
                <w:sz w:val="18"/>
                <w:szCs w:val="18"/>
                <w:color w:val="0000FF"/>
                <w:w w:val="90"/>
              </w:rPr>
              <w:t>to Rule 13a-14(a) / 15d-14(a)</w:t>
            </w:r>
          </w:p>
        </w:tc>
        <w:tc>
          <w:tcPr>
            <w:tcW w:w="20" w:type="dxa"/>
            <w:vAlign w:val="bottom"/>
            <w:tcBorders>
              <w:bottom w:val="single" w:sz="8" w:color="0000EE"/>
            </w:tcBorders>
          </w:tcPr>
          <w:p>
            <w:pPr>
              <w:spacing w:after="0"/>
              <w:rPr>
                <w:sz w:val="17"/>
                <w:szCs w:val="17"/>
                <w:color w:val="auto"/>
              </w:rPr>
            </w:pPr>
          </w:p>
        </w:tc>
        <w:tc>
          <w:tcPr>
            <w:tcW w:w="1560" w:type="dxa"/>
            <w:vAlign w:val="bottom"/>
            <w:gridSpan w:val="5"/>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09"/>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370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6"/>
              </w:rPr>
              <w:t>Certfcaton of Principal Executve Ofcer Pursuant</w:t>
            </w: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360" w:type="dxa"/>
            <w:vAlign w:val="bottom"/>
          </w:tcPr>
          <w:p>
            <w:pPr>
              <w:jc w:val="center"/>
              <w:ind w:left="2090"/>
              <w:spacing w:after="0"/>
              <w:rPr>
                <w:sz w:val="20"/>
                <w:szCs w:val="20"/>
                <w:color w:val="auto"/>
              </w:rPr>
            </w:pPr>
            <w:r>
              <w:rPr>
                <w:rFonts w:ascii="Arial" w:cs="Arial" w:eastAsia="Arial" w:hAnsi="Arial"/>
                <w:sz w:val="18"/>
                <w:szCs w:val="18"/>
                <w:color w:val="auto"/>
              </w:rPr>
              <w:t>**</w:t>
            </w:r>
          </w:p>
        </w:tc>
      </w:tr>
      <w:tr>
        <w:trPr>
          <w:trHeight w:val="196"/>
        </w:trPr>
        <w:tc>
          <w:tcPr>
            <w:tcW w:w="900" w:type="dxa"/>
            <w:vAlign w:val="bottom"/>
          </w:tcPr>
          <w:p>
            <w:pPr>
              <w:spacing w:after="0"/>
              <w:rPr>
                <w:sz w:val="17"/>
                <w:szCs w:val="17"/>
                <w:color w:val="auto"/>
              </w:rPr>
            </w:pPr>
          </w:p>
        </w:tc>
        <w:tc>
          <w:tcPr>
            <w:tcW w:w="124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85"/>
              </w:rPr>
              <w:t>to 18 U.S.C. 1350</w:t>
            </w:r>
          </w:p>
        </w:tc>
        <w:tc>
          <w:tcPr>
            <w:tcW w:w="20" w:type="dxa"/>
            <w:vAlign w:val="bottom"/>
            <w:tcBorders>
              <w:bottom w:val="single" w:sz="8" w:color="0000EE"/>
            </w:tcBorders>
          </w:tcPr>
          <w:p>
            <w:pPr>
              <w:spacing w:after="0"/>
              <w:rPr>
                <w:sz w:val="17"/>
                <w:szCs w:val="17"/>
                <w:color w:val="auto"/>
              </w:rPr>
            </w:pPr>
          </w:p>
        </w:tc>
        <w:tc>
          <w:tcPr>
            <w:tcW w:w="2440" w:type="dxa"/>
            <w:vAlign w:val="bottom"/>
            <w:gridSpan w:val="7"/>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10"/>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370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6"/>
              </w:rPr>
              <w:t>Certfcaton of Principal Financial Ofcer Pursuant</w:t>
            </w: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360" w:type="dxa"/>
            <w:vAlign w:val="bottom"/>
          </w:tcPr>
          <w:p>
            <w:pPr>
              <w:jc w:val="center"/>
              <w:ind w:left="2090"/>
              <w:spacing w:after="0"/>
              <w:rPr>
                <w:sz w:val="20"/>
                <w:szCs w:val="20"/>
                <w:color w:val="auto"/>
              </w:rPr>
            </w:pPr>
            <w:r>
              <w:rPr>
                <w:rFonts w:ascii="Arial" w:cs="Arial" w:eastAsia="Arial" w:hAnsi="Arial"/>
                <w:sz w:val="18"/>
                <w:szCs w:val="18"/>
                <w:color w:val="auto"/>
              </w:rPr>
              <w:t>**</w:t>
            </w:r>
          </w:p>
        </w:tc>
      </w:tr>
      <w:tr>
        <w:trPr>
          <w:trHeight w:val="196"/>
        </w:trPr>
        <w:tc>
          <w:tcPr>
            <w:tcW w:w="900" w:type="dxa"/>
            <w:vAlign w:val="bottom"/>
          </w:tcPr>
          <w:p>
            <w:pPr>
              <w:spacing w:after="0"/>
              <w:rPr>
                <w:sz w:val="17"/>
                <w:szCs w:val="17"/>
                <w:color w:val="auto"/>
              </w:rPr>
            </w:pPr>
          </w:p>
        </w:tc>
        <w:tc>
          <w:tcPr>
            <w:tcW w:w="124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85"/>
              </w:rPr>
              <w:t>to 18 U.S.C. 1350</w:t>
            </w:r>
          </w:p>
        </w:tc>
        <w:tc>
          <w:tcPr>
            <w:tcW w:w="20" w:type="dxa"/>
            <w:vAlign w:val="bottom"/>
            <w:tcBorders>
              <w:bottom w:val="single" w:sz="8" w:color="0000EE"/>
            </w:tcBorders>
          </w:tcPr>
          <w:p>
            <w:pPr>
              <w:spacing w:after="0"/>
              <w:rPr>
                <w:sz w:val="17"/>
                <w:szCs w:val="17"/>
                <w:color w:val="auto"/>
              </w:rPr>
            </w:pPr>
          </w:p>
        </w:tc>
        <w:tc>
          <w:tcPr>
            <w:tcW w:w="2440" w:type="dxa"/>
            <w:vAlign w:val="bottom"/>
            <w:gridSpan w:val="7"/>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31"/>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3700" w:type="dxa"/>
            <w:vAlign w:val="bottom"/>
            <w:gridSpan w:val="12"/>
          </w:tcPr>
          <w:p>
            <w:pPr>
              <w:spacing w:after="0"/>
              <w:rPr>
                <w:sz w:val="20"/>
                <w:szCs w:val="20"/>
                <w:color w:val="auto"/>
              </w:rPr>
            </w:pPr>
            <w:r>
              <w:rPr>
                <w:rFonts w:ascii="Arial" w:cs="Arial" w:eastAsia="Arial" w:hAnsi="Arial"/>
                <w:sz w:val="18"/>
                <w:szCs w:val="18"/>
                <w:color w:val="auto"/>
                <w:w w:val="98"/>
              </w:rPr>
              <w:t>Inline XBRL Instance Document – the instance</w:t>
            </w: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360" w:type="dxa"/>
            <w:vAlign w:val="bottom"/>
          </w:tcPr>
          <w:p>
            <w:pPr>
              <w:jc w:val="center"/>
              <w:ind w:left="2090"/>
              <w:spacing w:after="0"/>
              <w:rPr>
                <w:sz w:val="20"/>
                <w:szCs w:val="20"/>
                <w:color w:val="auto"/>
              </w:rPr>
            </w:pPr>
            <w:r>
              <w:rPr>
                <w:rFonts w:ascii="Arial" w:cs="Arial" w:eastAsia="Arial" w:hAnsi="Arial"/>
                <w:sz w:val="18"/>
                <w:szCs w:val="18"/>
                <w:color w:val="auto"/>
              </w:rPr>
              <w:t>*</w:t>
            </w:r>
          </w:p>
        </w:tc>
      </w:tr>
      <w:tr>
        <w:trPr>
          <w:trHeight w:val="216"/>
        </w:trPr>
        <w:tc>
          <w:tcPr>
            <w:tcW w:w="900" w:type="dxa"/>
            <w:vAlign w:val="bottom"/>
          </w:tcPr>
          <w:p>
            <w:pPr>
              <w:spacing w:after="0"/>
              <w:rPr>
                <w:sz w:val="18"/>
                <w:szCs w:val="18"/>
                <w:color w:val="auto"/>
              </w:rPr>
            </w:pPr>
          </w:p>
        </w:tc>
        <w:tc>
          <w:tcPr>
            <w:tcW w:w="3700" w:type="dxa"/>
            <w:vAlign w:val="bottom"/>
            <w:gridSpan w:val="12"/>
          </w:tcPr>
          <w:p>
            <w:pPr>
              <w:spacing w:after="0"/>
              <w:rPr>
                <w:sz w:val="20"/>
                <w:szCs w:val="20"/>
                <w:color w:val="auto"/>
              </w:rPr>
            </w:pPr>
            <w:r>
              <w:rPr>
                <w:rFonts w:ascii="Arial" w:cs="Arial" w:eastAsia="Arial" w:hAnsi="Arial"/>
                <w:sz w:val="18"/>
                <w:szCs w:val="18"/>
                <w:color w:val="auto"/>
                <w:w w:val="94"/>
              </w:rPr>
              <w:t>document does not appear in the Interactve Data</w:t>
            </w: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700" w:type="dxa"/>
            <w:vAlign w:val="bottom"/>
            <w:gridSpan w:val="12"/>
          </w:tcPr>
          <w:p>
            <w:pPr>
              <w:spacing w:after="0"/>
              <w:rPr>
                <w:sz w:val="20"/>
                <w:szCs w:val="20"/>
                <w:color w:val="auto"/>
              </w:rPr>
            </w:pPr>
            <w:r>
              <w:rPr>
                <w:rFonts w:ascii="Arial" w:cs="Arial" w:eastAsia="Arial" w:hAnsi="Arial"/>
                <w:sz w:val="18"/>
                <w:szCs w:val="18"/>
                <w:color w:val="auto"/>
                <w:w w:val="93"/>
              </w:rPr>
              <w:t>File because XBRL tags are embedded within the</w:t>
            </w: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27"/>
        </w:trPr>
        <w:tc>
          <w:tcPr>
            <w:tcW w:w="900" w:type="dxa"/>
            <w:vAlign w:val="bottom"/>
          </w:tcPr>
          <w:p>
            <w:pPr>
              <w:spacing w:after="0"/>
              <w:rPr>
                <w:sz w:val="19"/>
                <w:szCs w:val="19"/>
                <w:color w:val="auto"/>
              </w:rPr>
            </w:pPr>
          </w:p>
        </w:tc>
        <w:tc>
          <w:tcPr>
            <w:tcW w:w="3700" w:type="dxa"/>
            <w:vAlign w:val="bottom"/>
            <w:gridSpan w:val="12"/>
          </w:tcPr>
          <w:p>
            <w:pPr>
              <w:spacing w:after="0"/>
              <w:rPr>
                <w:sz w:val="20"/>
                <w:szCs w:val="20"/>
                <w:color w:val="auto"/>
              </w:rPr>
            </w:pPr>
            <w:r>
              <w:rPr>
                <w:rFonts w:ascii="Arial" w:cs="Arial" w:eastAsia="Arial" w:hAnsi="Arial"/>
                <w:sz w:val="18"/>
                <w:szCs w:val="18"/>
                <w:color w:val="auto"/>
              </w:rPr>
              <w:t>Inline XBRL document</w:t>
            </w: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19"/>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370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w:t>
            </w: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360" w:type="dxa"/>
            <w:vAlign w:val="bottom"/>
          </w:tcPr>
          <w:p>
            <w:pPr>
              <w:jc w:val="center"/>
              <w:ind w:left="2090"/>
              <w:spacing w:after="0"/>
              <w:rPr>
                <w:sz w:val="20"/>
                <w:szCs w:val="20"/>
                <w:color w:val="auto"/>
              </w:rPr>
            </w:pPr>
            <w:r>
              <w:rPr>
                <w:rFonts w:ascii="Arial" w:cs="Arial" w:eastAsia="Arial" w:hAnsi="Arial"/>
                <w:sz w:val="18"/>
                <w:szCs w:val="18"/>
                <w:color w:val="auto"/>
              </w:rPr>
              <w:t>*</w:t>
            </w:r>
          </w:p>
        </w:tc>
      </w:tr>
      <w:tr>
        <w:trPr>
          <w:trHeight w:val="227"/>
        </w:trPr>
        <w:tc>
          <w:tcPr>
            <w:tcW w:w="900" w:type="dxa"/>
            <w:vAlign w:val="bottom"/>
          </w:tcPr>
          <w:p>
            <w:pPr>
              <w:spacing w:after="0"/>
              <w:rPr>
                <w:sz w:val="19"/>
                <w:szCs w:val="19"/>
                <w:color w:val="auto"/>
              </w:rPr>
            </w:pPr>
          </w:p>
        </w:tc>
        <w:tc>
          <w:tcPr>
            <w:tcW w:w="370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19"/>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370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Calculaton</w:t>
            </w: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360" w:type="dxa"/>
            <w:vAlign w:val="bottom"/>
          </w:tcPr>
          <w:p>
            <w:pPr>
              <w:jc w:val="center"/>
              <w:ind w:left="2090"/>
              <w:spacing w:after="0"/>
              <w:rPr>
                <w:sz w:val="20"/>
                <w:szCs w:val="20"/>
                <w:color w:val="auto"/>
              </w:rPr>
            </w:pPr>
            <w:r>
              <w:rPr>
                <w:rFonts w:ascii="Arial" w:cs="Arial" w:eastAsia="Arial" w:hAnsi="Arial"/>
                <w:sz w:val="18"/>
                <w:szCs w:val="18"/>
                <w:color w:val="auto"/>
              </w:rPr>
              <w:t>*</w:t>
            </w:r>
          </w:p>
        </w:tc>
      </w:tr>
      <w:tr>
        <w:trPr>
          <w:trHeight w:val="227"/>
        </w:trPr>
        <w:tc>
          <w:tcPr>
            <w:tcW w:w="900" w:type="dxa"/>
            <w:vAlign w:val="bottom"/>
          </w:tcPr>
          <w:p>
            <w:pPr>
              <w:spacing w:after="0"/>
              <w:rPr>
                <w:sz w:val="19"/>
                <w:szCs w:val="19"/>
                <w:color w:val="auto"/>
              </w:rPr>
            </w:pPr>
          </w:p>
        </w:tc>
        <w:tc>
          <w:tcPr>
            <w:tcW w:w="3700" w:type="dxa"/>
            <w:vAlign w:val="bottom"/>
            <w:gridSpan w:val="12"/>
          </w:tcPr>
          <w:p>
            <w:pPr>
              <w:spacing w:after="0"/>
              <w:rPr>
                <w:sz w:val="20"/>
                <w:szCs w:val="20"/>
                <w:color w:val="auto"/>
              </w:rPr>
            </w:pPr>
            <w:r>
              <w:rPr>
                <w:rFonts w:ascii="Arial" w:cs="Arial" w:eastAsia="Arial" w:hAnsi="Arial"/>
                <w:sz w:val="18"/>
                <w:szCs w:val="18"/>
                <w:color w:val="auto"/>
              </w:rPr>
              <w:t>Linkbase Document</w:t>
            </w: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19"/>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3700" w:type="dxa"/>
            <w:vAlign w:val="bottom"/>
            <w:gridSpan w:val="12"/>
          </w:tcPr>
          <w:p>
            <w:pPr>
              <w:spacing w:after="0"/>
              <w:rPr>
                <w:sz w:val="20"/>
                <w:szCs w:val="20"/>
                <w:color w:val="auto"/>
              </w:rPr>
            </w:pPr>
            <w:r>
              <w:rPr>
                <w:rFonts w:ascii="Arial" w:cs="Arial" w:eastAsia="Arial" w:hAnsi="Arial"/>
                <w:sz w:val="18"/>
                <w:szCs w:val="18"/>
                <w:color w:val="auto"/>
              </w:rPr>
              <w:t>Inline XBRL Taxonomy Extension Defniton</w:t>
            </w: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360" w:type="dxa"/>
            <w:vAlign w:val="bottom"/>
          </w:tcPr>
          <w:p>
            <w:pPr>
              <w:jc w:val="center"/>
              <w:ind w:left="2090"/>
              <w:spacing w:after="0"/>
              <w:rPr>
                <w:sz w:val="20"/>
                <w:szCs w:val="20"/>
                <w:color w:val="auto"/>
              </w:rPr>
            </w:pPr>
            <w:r>
              <w:rPr>
                <w:rFonts w:ascii="Arial" w:cs="Arial" w:eastAsia="Arial" w:hAnsi="Arial"/>
                <w:sz w:val="18"/>
                <w:szCs w:val="18"/>
                <w:color w:val="auto"/>
              </w:rPr>
              <w:t>*</w:t>
            </w:r>
          </w:p>
        </w:tc>
      </w:tr>
      <w:tr>
        <w:trPr>
          <w:trHeight w:val="227"/>
        </w:trPr>
        <w:tc>
          <w:tcPr>
            <w:tcW w:w="900" w:type="dxa"/>
            <w:vAlign w:val="bottom"/>
          </w:tcPr>
          <w:p>
            <w:pPr>
              <w:spacing w:after="0"/>
              <w:rPr>
                <w:sz w:val="19"/>
                <w:szCs w:val="19"/>
                <w:color w:val="auto"/>
              </w:rPr>
            </w:pPr>
          </w:p>
        </w:tc>
        <w:tc>
          <w:tcPr>
            <w:tcW w:w="3700" w:type="dxa"/>
            <w:vAlign w:val="bottom"/>
            <w:gridSpan w:val="12"/>
          </w:tcPr>
          <w:p>
            <w:pPr>
              <w:spacing w:after="0"/>
              <w:rPr>
                <w:sz w:val="20"/>
                <w:szCs w:val="20"/>
                <w:color w:val="auto"/>
              </w:rPr>
            </w:pPr>
            <w:r>
              <w:rPr>
                <w:rFonts w:ascii="Arial" w:cs="Arial" w:eastAsia="Arial" w:hAnsi="Arial"/>
                <w:sz w:val="18"/>
                <w:szCs w:val="18"/>
                <w:color w:val="auto"/>
              </w:rPr>
              <w:t>Linkbase Document</w:t>
            </w: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19"/>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3700" w:type="dxa"/>
            <w:vAlign w:val="bottom"/>
            <w:gridSpan w:val="12"/>
          </w:tcPr>
          <w:p>
            <w:pPr>
              <w:spacing w:after="0"/>
              <w:rPr>
                <w:sz w:val="20"/>
                <w:szCs w:val="20"/>
                <w:color w:val="auto"/>
              </w:rPr>
            </w:pPr>
            <w:r>
              <w:rPr>
                <w:rFonts w:ascii="Arial" w:cs="Arial" w:eastAsia="Arial" w:hAnsi="Arial"/>
                <w:sz w:val="18"/>
                <w:szCs w:val="18"/>
                <w:color w:val="auto"/>
                <w:w w:val="93"/>
              </w:rPr>
              <w:t>Inline XBRL Taxonomy Extension Label Linkbase</w:t>
            </w: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360" w:type="dxa"/>
            <w:vAlign w:val="bottom"/>
          </w:tcPr>
          <w:p>
            <w:pPr>
              <w:jc w:val="center"/>
              <w:ind w:left="2090"/>
              <w:spacing w:after="0"/>
              <w:rPr>
                <w:sz w:val="20"/>
                <w:szCs w:val="20"/>
                <w:color w:val="auto"/>
              </w:rPr>
            </w:pPr>
            <w:r>
              <w:rPr>
                <w:rFonts w:ascii="Arial" w:cs="Arial" w:eastAsia="Arial" w:hAnsi="Arial"/>
                <w:sz w:val="18"/>
                <w:szCs w:val="18"/>
                <w:color w:val="auto"/>
              </w:rPr>
              <w:t>*</w:t>
            </w:r>
          </w:p>
        </w:tc>
      </w:tr>
      <w:tr>
        <w:trPr>
          <w:trHeight w:val="227"/>
        </w:trPr>
        <w:tc>
          <w:tcPr>
            <w:tcW w:w="900" w:type="dxa"/>
            <w:vAlign w:val="bottom"/>
          </w:tcPr>
          <w:p>
            <w:pPr>
              <w:spacing w:after="0"/>
              <w:rPr>
                <w:sz w:val="19"/>
                <w:szCs w:val="19"/>
                <w:color w:val="auto"/>
              </w:rPr>
            </w:pPr>
          </w:p>
        </w:tc>
        <w:tc>
          <w:tcPr>
            <w:tcW w:w="370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19"/>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3700" w:type="dxa"/>
            <w:vAlign w:val="bottom"/>
            <w:gridSpan w:val="12"/>
          </w:tcPr>
          <w:p>
            <w:pPr>
              <w:spacing w:after="0"/>
              <w:rPr>
                <w:sz w:val="20"/>
                <w:szCs w:val="20"/>
                <w:color w:val="auto"/>
              </w:rPr>
            </w:pPr>
            <w:r>
              <w:rPr>
                <w:rFonts w:ascii="Arial" w:cs="Arial" w:eastAsia="Arial" w:hAnsi="Arial"/>
                <w:sz w:val="18"/>
                <w:szCs w:val="18"/>
                <w:color w:val="auto"/>
                <w:w w:val="99"/>
              </w:rPr>
              <w:t>Inline XBRL Taxonomy Extension Presentaton</w:t>
            </w: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360" w:type="dxa"/>
            <w:vAlign w:val="bottom"/>
          </w:tcPr>
          <w:p>
            <w:pPr>
              <w:jc w:val="center"/>
              <w:ind w:left="2090"/>
              <w:spacing w:after="0"/>
              <w:rPr>
                <w:sz w:val="20"/>
                <w:szCs w:val="20"/>
                <w:color w:val="auto"/>
              </w:rPr>
            </w:pPr>
            <w:r>
              <w:rPr>
                <w:rFonts w:ascii="Arial" w:cs="Arial" w:eastAsia="Arial" w:hAnsi="Arial"/>
                <w:sz w:val="18"/>
                <w:szCs w:val="18"/>
                <w:color w:val="auto"/>
              </w:rPr>
              <w:t>*</w:t>
            </w:r>
          </w:p>
        </w:tc>
      </w:tr>
      <w:tr>
        <w:trPr>
          <w:trHeight w:val="227"/>
        </w:trPr>
        <w:tc>
          <w:tcPr>
            <w:tcW w:w="900" w:type="dxa"/>
            <w:vAlign w:val="bottom"/>
          </w:tcPr>
          <w:p>
            <w:pPr>
              <w:spacing w:after="0"/>
              <w:rPr>
                <w:sz w:val="19"/>
                <w:szCs w:val="19"/>
                <w:color w:val="auto"/>
              </w:rPr>
            </w:pPr>
          </w:p>
        </w:tc>
        <w:tc>
          <w:tcPr>
            <w:tcW w:w="3700" w:type="dxa"/>
            <w:vAlign w:val="bottom"/>
            <w:gridSpan w:val="12"/>
          </w:tcPr>
          <w:p>
            <w:pPr>
              <w:spacing w:after="0"/>
              <w:rPr>
                <w:sz w:val="20"/>
                <w:szCs w:val="20"/>
                <w:color w:val="auto"/>
              </w:rPr>
            </w:pPr>
            <w:r>
              <w:rPr>
                <w:rFonts w:ascii="Arial" w:cs="Arial" w:eastAsia="Arial" w:hAnsi="Arial"/>
                <w:sz w:val="18"/>
                <w:szCs w:val="18"/>
                <w:color w:val="auto"/>
              </w:rPr>
              <w:t>Linkbase Document</w:t>
            </w: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19"/>
        </w:trPr>
        <w:tc>
          <w:tcPr>
            <w:tcW w:w="900" w:type="dxa"/>
            <w:vAlign w:val="bottom"/>
          </w:tcPr>
          <w:p>
            <w:pPr>
              <w:spacing w:after="0"/>
              <w:rPr>
                <w:sz w:val="20"/>
                <w:szCs w:val="20"/>
                <w:color w:val="auto"/>
              </w:rPr>
            </w:pPr>
            <w:r>
              <w:rPr>
                <w:rFonts w:ascii="Arial" w:cs="Arial" w:eastAsia="Arial" w:hAnsi="Arial"/>
                <w:sz w:val="18"/>
                <w:szCs w:val="18"/>
                <w:color w:val="auto"/>
              </w:rPr>
              <w:t>104</w:t>
            </w:r>
          </w:p>
        </w:tc>
        <w:tc>
          <w:tcPr>
            <w:tcW w:w="3700" w:type="dxa"/>
            <w:vAlign w:val="bottom"/>
            <w:gridSpan w:val="12"/>
          </w:tcPr>
          <w:p>
            <w:pPr>
              <w:spacing w:after="0"/>
              <w:rPr>
                <w:sz w:val="20"/>
                <w:szCs w:val="20"/>
                <w:color w:val="auto"/>
              </w:rPr>
            </w:pPr>
            <w:r>
              <w:rPr>
                <w:rFonts w:ascii="Arial" w:cs="Arial" w:eastAsia="Arial" w:hAnsi="Arial"/>
                <w:sz w:val="18"/>
                <w:szCs w:val="18"/>
                <w:color w:val="auto"/>
                <w:w w:val="91"/>
              </w:rPr>
              <w:t>Cover Page Interactve Data File (embedded within</w:t>
            </w: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360" w:type="dxa"/>
            <w:vAlign w:val="bottom"/>
          </w:tcPr>
          <w:p>
            <w:pPr>
              <w:jc w:val="center"/>
              <w:ind w:left="2090"/>
              <w:spacing w:after="0"/>
              <w:rPr>
                <w:sz w:val="20"/>
                <w:szCs w:val="20"/>
                <w:color w:val="auto"/>
              </w:rPr>
            </w:pPr>
            <w:r>
              <w:rPr>
                <w:rFonts w:ascii="Arial" w:cs="Arial" w:eastAsia="Arial" w:hAnsi="Arial"/>
                <w:sz w:val="18"/>
                <w:szCs w:val="18"/>
                <w:color w:val="auto"/>
              </w:rPr>
              <w:t>*</w:t>
            </w:r>
          </w:p>
        </w:tc>
      </w:tr>
      <w:tr>
        <w:trPr>
          <w:trHeight w:val="227"/>
        </w:trPr>
        <w:tc>
          <w:tcPr>
            <w:tcW w:w="900" w:type="dxa"/>
            <w:vAlign w:val="bottom"/>
          </w:tcPr>
          <w:p>
            <w:pPr>
              <w:spacing w:after="0"/>
              <w:rPr>
                <w:sz w:val="19"/>
                <w:szCs w:val="19"/>
                <w:color w:val="auto"/>
              </w:rPr>
            </w:pPr>
          </w:p>
        </w:tc>
        <w:tc>
          <w:tcPr>
            <w:tcW w:w="3700" w:type="dxa"/>
            <w:vAlign w:val="bottom"/>
            <w:gridSpan w:val="12"/>
          </w:tcPr>
          <w:p>
            <w:pPr>
              <w:spacing w:after="0"/>
              <w:rPr>
                <w:sz w:val="20"/>
                <w:szCs w:val="20"/>
                <w:color w:val="auto"/>
              </w:rPr>
            </w:pPr>
            <w:r>
              <w:rPr>
                <w:rFonts w:ascii="Arial" w:cs="Arial" w:eastAsia="Arial" w:hAnsi="Arial"/>
                <w:sz w:val="18"/>
                <w:szCs w:val="18"/>
                <w:color w:val="auto"/>
              </w:rPr>
              <w:t>the Inline XBRL document)</w:t>
            </w: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360" w:type="dxa"/>
            <w:vAlign w:val="bottom"/>
          </w:tcPr>
          <w:p>
            <w:pPr>
              <w:spacing w:after="0"/>
              <w:rPr>
                <w:sz w:val="19"/>
                <w:szCs w:val="19"/>
                <w:color w:val="auto"/>
              </w:rPr>
            </w:pPr>
          </w:p>
        </w:tc>
      </w:tr>
    </w:tbl>
    <w:p>
      <w:pPr>
        <w:spacing w:after="0" w:line="20" w:lineRule="exact"/>
        <w:rPr>
          <w:sz w:val="20"/>
          <w:szCs w:val="20"/>
          <w:color w:val="auto"/>
        </w:rPr>
      </w:pP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11" w:right="1440"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7"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Securites Exchange Act of 1934, the registrant has duly caused this report to be signed on its behalf by the undersigned thereunto duly authorized.</w:t>
      </w:r>
    </w:p>
    <w:p>
      <w:pPr>
        <w:spacing w:after="0" w:line="17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Vivid Seats Inc.</w:t>
      </w:r>
    </w:p>
    <w:p>
      <w:pPr>
        <w:spacing w:after="0" w:line="252" w:lineRule="exact"/>
        <w:rPr>
          <w:sz w:val="20"/>
          <w:szCs w:val="20"/>
          <w:color w:val="auto"/>
        </w:rPr>
      </w:pPr>
    </w:p>
    <w:p>
      <w:pPr>
        <w:ind w:left="5680"/>
        <w:spacing w:after="0"/>
        <w:tabs>
          <w:tab w:leader="none" w:pos="6100" w:val="left"/>
        </w:tabs>
        <w:rPr>
          <w:sz w:val="20"/>
          <w:szCs w:val="20"/>
          <w:color w:val="auto"/>
        </w:rPr>
      </w:pPr>
      <w:r>
        <w:rPr>
          <w:rFonts w:ascii="Arial" w:cs="Arial" w:eastAsia="Arial" w:hAnsi="Arial"/>
          <w:sz w:val="18"/>
          <w:szCs w:val="18"/>
          <w:color w:val="auto"/>
        </w:rPr>
        <w:t>By:</w:t>
        <w:tab/>
        <w:t>/s/ Stanley Chia</w:t>
      </w:r>
    </w:p>
    <w:p>
      <w:pPr>
        <w:spacing w:after="0" w:line="3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Stanley 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-118745</wp:posOffset>
            </wp:positionV>
            <wp:extent cx="325755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3">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Executve Ofcer</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November 7, 2023</w:t>
      </w:r>
    </w:p>
    <w:p>
      <w:pPr>
        <w:spacing w:after="0" w:line="252" w:lineRule="exact"/>
        <w:rPr>
          <w:sz w:val="20"/>
          <w:szCs w:val="20"/>
          <w:color w:val="auto"/>
        </w:rPr>
      </w:pPr>
    </w:p>
    <w:p>
      <w:pPr>
        <w:ind w:left="5680"/>
        <w:spacing w:after="0"/>
        <w:tabs>
          <w:tab w:leader="none" w:pos="6100" w:val="left"/>
        </w:tabs>
        <w:rPr>
          <w:sz w:val="20"/>
          <w:szCs w:val="20"/>
          <w:color w:val="auto"/>
        </w:rPr>
      </w:pPr>
      <w:r>
        <w:rPr>
          <w:rFonts w:ascii="Arial" w:cs="Arial" w:eastAsia="Arial" w:hAnsi="Arial"/>
          <w:sz w:val="18"/>
          <w:szCs w:val="18"/>
          <w:color w:val="auto"/>
        </w:rPr>
        <w:t>By:</w:t>
        <w:tab/>
        <w:t>/s/ Lawrence Fey</w:t>
      </w:r>
    </w:p>
    <w:p>
      <w:pPr>
        <w:spacing w:after="0" w:line="3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-118745</wp:posOffset>
            </wp:positionV>
            <wp:extent cx="325755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4">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Financial Ofcer</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November 7, 2023</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Stanley Chia, certfy that:</w:t>
      </w:r>
    </w:p>
    <w:p>
      <w:pPr>
        <w:spacing w:after="0" w:line="225" w:lineRule="exact"/>
        <w:rPr>
          <w:sz w:val="20"/>
          <w:szCs w:val="20"/>
          <w:color w:val="auto"/>
        </w:rPr>
      </w:pPr>
    </w:p>
    <w:p>
      <w:pPr>
        <w:ind w:left="520" w:hanging="51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Vivid Seats Inc.;</w:t>
      </w:r>
    </w:p>
    <w:p>
      <w:pPr>
        <w:spacing w:after="0" w:line="225" w:lineRule="exact"/>
        <w:rPr>
          <w:rFonts w:ascii="Arial" w:cs="Arial" w:eastAsia="Arial" w:hAnsi="Arial"/>
          <w:sz w:val="18"/>
          <w:szCs w:val="18"/>
          <w:color w:val="auto"/>
        </w:rPr>
      </w:pPr>
    </w:p>
    <w:p>
      <w:pPr>
        <w:jc w:val="both"/>
        <w:ind w:left="520" w:hanging="512"/>
        <w:spacing w:after="0" w:line="262"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rFonts w:ascii="Arial" w:cs="Arial" w:eastAsia="Arial" w:hAnsi="Arial"/>
          <w:sz w:val="18"/>
          <w:szCs w:val="18"/>
          <w:color w:val="auto"/>
        </w:rPr>
      </w:pPr>
    </w:p>
    <w:p>
      <w:pPr>
        <w:ind w:left="520" w:hanging="512"/>
        <w:spacing w:after="0" w:line="273"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177" w:lineRule="exact"/>
        <w:rPr>
          <w:rFonts w:ascii="Arial" w:cs="Arial" w:eastAsia="Arial" w:hAnsi="Arial"/>
          <w:sz w:val="18"/>
          <w:szCs w:val="18"/>
          <w:color w:val="auto"/>
        </w:rPr>
      </w:pPr>
    </w:p>
    <w:p>
      <w:pPr>
        <w:jc w:val="both"/>
        <w:ind w:left="520" w:hanging="512"/>
        <w:spacing w:after="0" w:line="262"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certfying ofcer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186" w:lineRule="exact"/>
        <w:rPr>
          <w:rFonts w:ascii="Arial" w:cs="Arial" w:eastAsia="Arial" w:hAnsi="Arial"/>
          <w:sz w:val="18"/>
          <w:szCs w:val="18"/>
          <w:color w:val="auto"/>
        </w:rPr>
      </w:pPr>
    </w:p>
    <w:p>
      <w:pPr>
        <w:jc w:val="both"/>
        <w:ind w:left="1020" w:hanging="503"/>
        <w:spacing w:after="0" w:line="262" w:lineRule="auto"/>
        <w:tabs>
          <w:tab w:leader="none" w:pos="10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186" w:lineRule="exact"/>
        <w:rPr>
          <w:rFonts w:ascii="Arial" w:cs="Arial" w:eastAsia="Arial" w:hAnsi="Arial"/>
          <w:sz w:val="18"/>
          <w:szCs w:val="18"/>
          <w:color w:val="auto"/>
        </w:rPr>
      </w:pPr>
    </w:p>
    <w:p>
      <w:pPr>
        <w:jc w:val="both"/>
        <w:ind w:left="1020" w:hanging="503"/>
        <w:spacing w:after="0" w:line="262" w:lineRule="auto"/>
        <w:tabs>
          <w:tab w:leader="none" w:pos="10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186" w:lineRule="exact"/>
        <w:rPr>
          <w:rFonts w:ascii="Arial" w:cs="Arial" w:eastAsia="Arial" w:hAnsi="Arial"/>
          <w:sz w:val="18"/>
          <w:szCs w:val="18"/>
          <w:color w:val="auto"/>
        </w:rPr>
      </w:pPr>
    </w:p>
    <w:p>
      <w:pPr>
        <w:ind w:left="1020" w:right="20" w:hanging="503"/>
        <w:spacing w:after="0" w:line="303" w:lineRule="auto"/>
        <w:tabs>
          <w:tab w:leader="none" w:pos="10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154" w:lineRule="exact"/>
        <w:rPr>
          <w:rFonts w:ascii="Arial" w:cs="Arial" w:eastAsia="Arial" w:hAnsi="Arial"/>
          <w:sz w:val="17"/>
          <w:szCs w:val="17"/>
          <w:color w:val="auto"/>
        </w:rPr>
      </w:pPr>
    </w:p>
    <w:p>
      <w:pPr>
        <w:jc w:val="both"/>
        <w:ind w:left="1020" w:hanging="503"/>
        <w:spacing w:after="0" w:line="262" w:lineRule="auto"/>
        <w:tabs>
          <w:tab w:leader="none" w:pos="10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186" w:lineRule="exact"/>
        <w:rPr>
          <w:rFonts w:ascii="Arial" w:cs="Arial" w:eastAsia="Arial" w:hAnsi="Arial"/>
          <w:sz w:val="18"/>
          <w:szCs w:val="18"/>
          <w:color w:val="auto"/>
        </w:rPr>
      </w:pPr>
    </w:p>
    <w:p>
      <w:pPr>
        <w:ind w:left="520" w:hanging="512"/>
        <w:spacing w:after="0" w:line="303" w:lineRule="auto"/>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154" w:lineRule="exact"/>
        <w:rPr>
          <w:rFonts w:ascii="Arial" w:cs="Arial" w:eastAsia="Arial" w:hAnsi="Arial"/>
          <w:sz w:val="17"/>
          <w:szCs w:val="17"/>
          <w:color w:val="auto"/>
        </w:rPr>
      </w:pPr>
    </w:p>
    <w:p>
      <w:pPr>
        <w:ind w:left="1020" w:hanging="503"/>
        <w:spacing w:after="0" w:line="273" w:lineRule="auto"/>
        <w:tabs>
          <w:tab w:leader="none" w:pos="10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177" w:lineRule="exact"/>
        <w:rPr>
          <w:rFonts w:ascii="Arial" w:cs="Arial" w:eastAsia="Arial" w:hAnsi="Arial"/>
          <w:sz w:val="18"/>
          <w:szCs w:val="18"/>
          <w:color w:val="auto"/>
        </w:rPr>
      </w:pPr>
    </w:p>
    <w:p>
      <w:pPr>
        <w:ind w:left="1020" w:hanging="503"/>
        <w:spacing w:after="0" w:line="273" w:lineRule="auto"/>
        <w:tabs>
          <w:tab w:leader="none" w:pos="10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signifcant role in the registrant's internal control over fnancial reportng.</w:t>
      </w:r>
    </w:p>
    <w:p>
      <w:pPr>
        <w:spacing w:after="0" w:line="231" w:lineRule="exact"/>
        <w:rPr>
          <w:sz w:val="20"/>
          <w:szCs w:val="20"/>
          <w:color w:val="auto"/>
        </w:rPr>
      </w:pPr>
    </w:p>
    <w:p>
      <w:pPr>
        <w:ind w:left="20"/>
        <w:spacing w:after="0"/>
        <w:tabs>
          <w:tab w:leader="none" w:pos="5660" w:val="left"/>
          <w:tab w:leader="none" w:pos="8040" w:val="left"/>
        </w:tabs>
        <w:rPr>
          <w:sz w:val="20"/>
          <w:szCs w:val="20"/>
          <w:color w:val="auto"/>
        </w:rPr>
      </w:pPr>
      <w:r>
        <w:rPr>
          <w:rFonts w:ascii="Arial" w:cs="Arial" w:eastAsia="Arial" w:hAnsi="Arial"/>
          <w:sz w:val="18"/>
          <w:szCs w:val="18"/>
          <w:color w:val="auto"/>
        </w:rPr>
        <w:t>Date: November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Stanley Chia</w:t>
      </w:r>
    </w:p>
    <w:p>
      <w:pPr>
        <w:spacing w:after="0" w:line="34"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Stanley 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-117475</wp:posOffset>
            </wp:positionV>
            <wp:extent cx="332613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6">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4"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Chief Executve Ofcer</w:t>
      </w:r>
    </w:p>
    <w:p>
      <w:pPr>
        <w:spacing w:after="0" w:line="23" w:lineRule="exact"/>
        <w:rPr>
          <w:sz w:val="20"/>
          <w:szCs w:val="20"/>
          <w:color w:val="auto"/>
        </w:rPr>
      </w:pPr>
    </w:p>
    <w:p>
      <w:pPr>
        <w:jc w:val="center"/>
        <w:ind w:left="5980"/>
        <w:spacing w:after="0"/>
        <w:rPr>
          <w:sz w:val="20"/>
          <w:szCs w:val="20"/>
          <w:color w:val="auto"/>
        </w:rPr>
      </w:pPr>
      <w:r>
        <w:rPr>
          <w:rFonts w:ascii="Arial" w:cs="Arial" w:eastAsia="Arial" w:hAnsi="Arial"/>
          <w:sz w:val="18"/>
          <w:szCs w:val="18"/>
          <w:i w:val="1"/>
          <w:iCs w:val="1"/>
          <w:color w:val="auto"/>
        </w:rPr>
        <w:t>(Principal Executve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Lawrence Fey, certfy that:</w:t>
      </w:r>
    </w:p>
    <w:p>
      <w:pPr>
        <w:spacing w:after="0" w:line="225"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Vivid Seats Inc.;</w:t>
      </w:r>
    </w:p>
    <w:p>
      <w:pPr>
        <w:spacing w:after="0" w:line="225" w:lineRule="exact"/>
        <w:rPr>
          <w:rFonts w:ascii="Arial" w:cs="Arial" w:eastAsia="Arial" w:hAnsi="Arial"/>
          <w:sz w:val="18"/>
          <w:szCs w:val="18"/>
          <w:color w:val="auto"/>
        </w:rPr>
      </w:pPr>
    </w:p>
    <w:p>
      <w:pPr>
        <w:jc w:val="both"/>
        <w:ind w:left="520" w:hanging="512"/>
        <w:spacing w:after="0" w:line="262"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rFonts w:ascii="Arial" w:cs="Arial" w:eastAsia="Arial" w:hAnsi="Arial"/>
          <w:sz w:val="18"/>
          <w:szCs w:val="18"/>
          <w:color w:val="auto"/>
        </w:rPr>
      </w:pPr>
    </w:p>
    <w:p>
      <w:pPr>
        <w:ind w:left="520" w:hanging="512"/>
        <w:spacing w:after="0" w:line="273"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177" w:lineRule="exact"/>
        <w:rPr>
          <w:rFonts w:ascii="Arial" w:cs="Arial" w:eastAsia="Arial" w:hAnsi="Arial"/>
          <w:sz w:val="18"/>
          <w:szCs w:val="18"/>
          <w:color w:val="auto"/>
        </w:rPr>
      </w:pPr>
    </w:p>
    <w:p>
      <w:pPr>
        <w:jc w:val="both"/>
        <w:ind w:left="520" w:hanging="512"/>
        <w:spacing w:after="0" w:line="262"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certfying ofcer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186" w:lineRule="exact"/>
        <w:rPr>
          <w:rFonts w:ascii="Arial" w:cs="Arial" w:eastAsia="Arial" w:hAnsi="Arial"/>
          <w:sz w:val="18"/>
          <w:szCs w:val="18"/>
          <w:color w:val="auto"/>
        </w:rPr>
      </w:pPr>
    </w:p>
    <w:p>
      <w:pPr>
        <w:jc w:val="both"/>
        <w:ind w:left="1020" w:hanging="503"/>
        <w:spacing w:after="0" w:line="262" w:lineRule="auto"/>
        <w:tabs>
          <w:tab w:leader="none" w:pos="10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186" w:lineRule="exact"/>
        <w:rPr>
          <w:rFonts w:ascii="Arial" w:cs="Arial" w:eastAsia="Arial" w:hAnsi="Arial"/>
          <w:sz w:val="18"/>
          <w:szCs w:val="18"/>
          <w:color w:val="auto"/>
        </w:rPr>
      </w:pPr>
    </w:p>
    <w:p>
      <w:pPr>
        <w:jc w:val="both"/>
        <w:ind w:left="1020" w:hanging="503"/>
        <w:spacing w:after="0" w:line="262" w:lineRule="auto"/>
        <w:tabs>
          <w:tab w:leader="none" w:pos="10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186" w:lineRule="exact"/>
        <w:rPr>
          <w:rFonts w:ascii="Arial" w:cs="Arial" w:eastAsia="Arial" w:hAnsi="Arial"/>
          <w:sz w:val="18"/>
          <w:szCs w:val="18"/>
          <w:color w:val="auto"/>
        </w:rPr>
      </w:pPr>
    </w:p>
    <w:p>
      <w:pPr>
        <w:ind w:left="1020" w:right="20" w:hanging="503"/>
        <w:spacing w:after="0" w:line="303" w:lineRule="auto"/>
        <w:tabs>
          <w:tab w:leader="none" w:pos="1020"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154" w:lineRule="exact"/>
        <w:rPr>
          <w:rFonts w:ascii="Arial" w:cs="Arial" w:eastAsia="Arial" w:hAnsi="Arial"/>
          <w:sz w:val="17"/>
          <w:szCs w:val="17"/>
          <w:color w:val="auto"/>
        </w:rPr>
      </w:pPr>
    </w:p>
    <w:p>
      <w:pPr>
        <w:jc w:val="both"/>
        <w:ind w:left="1020" w:hanging="503"/>
        <w:spacing w:after="0" w:line="262" w:lineRule="auto"/>
        <w:tabs>
          <w:tab w:leader="none" w:pos="10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186" w:lineRule="exact"/>
        <w:rPr>
          <w:rFonts w:ascii="Arial" w:cs="Arial" w:eastAsia="Arial" w:hAnsi="Arial"/>
          <w:sz w:val="18"/>
          <w:szCs w:val="18"/>
          <w:color w:val="auto"/>
        </w:rPr>
      </w:pPr>
    </w:p>
    <w:p>
      <w:pPr>
        <w:ind w:left="520" w:hanging="512"/>
        <w:spacing w:after="0" w:line="303" w:lineRule="auto"/>
        <w:tabs>
          <w:tab w:leader="none" w:pos="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154" w:lineRule="exact"/>
        <w:rPr>
          <w:rFonts w:ascii="Arial" w:cs="Arial" w:eastAsia="Arial" w:hAnsi="Arial"/>
          <w:sz w:val="17"/>
          <w:szCs w:val="17"/>
          <w:color w:val="auto"/>
        </w:rPr>
      </w:pPr>
    </w:p>
    <w:p>
      <w:pPr>
        <w:ind w:left="1020" w:hanging="503"/>
        <w:spacing w:after="0" w:line="273" w:lineRule="auto"/>
        <w:tabs>
          <w:tab w:leader="none" w:pos="10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177" w:lineRule="exact"/>
        <w:rPr>
          <w:rFonts w:ascii="Arial" w:cs="Arial" w:eastAsia="Arial" w:hAnsi="Arial"/>
          <w:sz w:val="18"/>
          <w:szCs w:val="18"/>
          <w:color w:val="auto"/>
        </w:rPr>
      </w:pPr>
    </w:p>
    <w:p>
      <w:pPr>
        <w:ind w:left="1020" w:hanging="503"/>
        <w:spacing w:after="0" w:line="273" w:lineRule="auto"/>
        <w:tabs>
          <w:tab w:leader="none" w:pos="10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signifcant role in the registrant's internal control over fnancial reportng.</w:t>
      </w:r>
    </w:p>
    <w:p>
      <w:pPr>
        <w:spacing w:after="0" w:line="177" w:lineRule="exact"/>
        <w:rPr>
          <w:sz w:val="20"/>
          <w:szCs w:val="20"/>
          <w:color w:val="auto"/>
        </w:rPr>
      </w:pPr>
    </w:p>
    <w:p>
      <w:pPr>
        <w:ind w:left="20"/>
        <w:spacing w:after="0"/>
        <w:tabs>
          <w:tab w:leader="none" w:pos="5660" w:val="left"/>
          <w:tab w:leader="none" w:pos="7980" w:val="left"/>
        </w:tabs>
        <w:rPr>
          <w:sz w:val="20"/>
          <w:szCs w:val="20"/>
          <w:color w:val="auto"/>
        </w:rPr>
      </w:pPr>
      <w:r>
        <w:rPr>
          <w:rFonts w:ascii="Arial" w:cs="Arial" w:eastAsia="Arial" w:hAnsi="Arial"/>
          <w:sz w:val="18"/>
          <w:szCs w:val="18"/>
          <w:color w:val="auto"/>
        </w:rPr>
        <w:t>Date: November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Lawrence Fey</w:t>
      </w:r>
    </w:p>
    <w:p>
      <w:pPr>
        <w:spacing w:after="0" w:line="34"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-117475</wp:posOffset>
            </wp:positionV>
            <wp:extent cx="332613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8">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4"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Chief Financial Ofcer</w:t>
      </w:r>
    </w:p>
    <w:p>
      <w:pPr>
        <w:spacing w:after="0" w:line="23" w:lineRule="exact"/>
        <w:rPr>
          <w:sz w:val="20"/>
          <w:szCs w:val="20"/>
          <w:color w:val="auto"/>
        </w:rPr>
      </w:pPr>
    </w:p>
    <w:p>
      <w:pPr>
        <w:jc w:val="center"/>
        <w:ind w:left="5980"/>
        <w:spacing w:after="0"/>
        <w:rPr>
          <w:sz w:val="20"/>
          <w:szCs w:val="20"/>
          <w:color w:val="auto"/>
        </w:rPr>
      </w:pPr>
      <w:r>
        <w:rPr>
          <w:rFonts w:ascii="Arial" w:cs="Arial" w:eastAsia="Arial" w:hAnsi="Arial"/>
          <w:sz w:val="18"/>
          <w:szCs w:val="18"/>
          <w:i w:val="1"/>
          <w:iCs w:val="1"/>
          <w:color w:val="auto"/>
        </w:rPr>
        <w:t>(Principal Financial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2"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8"/>
          <w:szCs w:val="18"/>
          <w:color w:val="auto"/>
        </w:rPr>
        <w:t>In connecton with the Quarterly Report on Form 10-Q of Vivid Seats Inc. (the “Company”) for the period ended September 30, 2023 as fled with the Securites and Exchange Commission on the date hereof (the “Report”), I, Stanley Chia, Chief Executve Ofcer of the Company, certfy, pursuant to 18 U.S.C. § 1350, as adopted pursuant to § 906 of the Sarbanes-Oxley Act of 2002, that, to my knowledge:</w:t>
      </w:r>
    </w:p>
    <w:p>
      <w:pPr>
        <w:spacing w:after="0" w:line="186" w:lineRule="exact"/>
        <w:rPr>
          <w:sz w:val="20"/>
          <w:szCs w:val="20"/>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secton 13(a) or 15(d) of the Securites Exchange Act of 1934; and</w:t>
      </w:r>
    </w:p>
    <w:p>
      <w:pPr>
        <w:spacing w:after="0" w:line="225" w:lineRule="exact"/>
        <w:rPr>
          <w:rFonts w:ascii="Arial" w:cs="Arial" w:eastAsia="Arial" w:hAnsi="Arial"/>
          <w:sz w:val="18"/>
          <w:szCs w:val="18"/>
          <w:color w:val="auto"/>
        </w:rPr>
      </w:pPr>
    </w:p>
    <w:p>
      <w:pPr>
        <w:ind w:left="1020" w:hanging="503"/>
        <w:spacing w:after="0" w:line="273"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informaton contained in the Report fairly presents, in all material respects, the fnancial conditon and results of operatons of the Company.</w:t>
      </w:r>
    </w:p>
    <w:p>
      <w:pPr>
        <w:spacing w:after="0" w:line="231" w:lineRule="exact"/>
        <w:rPr>
          <w:sz w:val="20"/>
          <w:szCs w:val="20"/>
          <w:color w:val="auto"/>
        </w:rPr>
      </w:pPr>
    </w:p>
    <w:p>
      <w:pPr>
        <w:ind w:left="20"/>
        <w:spacing w:after="0"/>
        <w:tabs>
          <w:tab w:leader="none" w:pos="5660" w:val="left"/>
          <w:tab w:leader="none" w:pos="8040" w:val="left"/>
        </w:tabs>
        <w:rPr>
          <w:sz w:val="20"/>
          <w:szCs w:val="20"/>
          <w:color w:val="auto"/>
        </w:rPr>
      </w:pPr>
      <w:r>
        <w:rPr>
          <w:rFonts w:ascii="Arial" w:cs="Arial" w:eastAsia="Arial" w:hAnsi="Arial"/>
          <w:sz w:val="18"/>
          <w:szCs w:val="18"/>
          <w:color w:val="auto"/>
        </w:rPr>
        <w:t>Date: November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Stanley Chia</w:t>
      </w:r>
    </w:p>
    <w:p>
      <w:pPr>
        <w:spacing w:after="0" w:line="34"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Stanley 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-117475</wp:posOffset>
            </wp:positionV>
            <wp:extent cx="332613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0">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4"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Chief Executve Ofcer</w:t>
      </w:r>
    </w:p>
    <w:p>
      <w:pPr>
        <w:spacing w:after="0" w:line="23" w:lineRule="exact"/>
        <w:rPr>
          <w:sz w:val="20"/>
          <w:szCs w:val="20"/>
          <w:color w:val="auto"/>
        </w:rPr>
      </w:pPr>
    </w:p>
    <w:p>
      <w:pPr>
        <w:jc w:val="center"/>
        <w:ind w:left="5980"/>
        <w:spacing w:after="0"/>
        <w:rPr>
          <w:sz w:val="20"/>
          <w:szCs w:val="20"/>
          <w:color w:val="auto"/>
        </w:rPr>
      </w:pPr>
      <w:r>
        <w:rPr>
          <w:rFonts w:ascii="Arial" w:cs="Arial" w:eastAsia="Arial" w:hAnsi="Arial"/>
          <w:sz w:val="18"/>
          <w:szCs w:val="18"/>
          <w:i w:val="1"/>
          <w:iCs w:val="1"/>
          <w:color w:val="auto"/>
        </w:rPr>
        <w:t>(Principal Executve Ofcer)</w:t>
      </w:r>
    </w:p>
    <w:p>
      <w:pPr>
        <w:spacing w:after="0" w:line="200" w:lineRule="exact"/>
        <w:rPr>
          <w:sz w:val="20"/>
          <w:szCs w:val="20"/>
          <w:color w:val="auto"/>
        </w:rPr>
      </w:pPr>
    </w:p>
    <w:p>
      <w:pPr>
        <w:spacing w:after="0" w:line="255" w:lineRule="exact"/>
        <w:rPr>
          <w:sz w:val="20"/>
          <w:szCs w:val="20"/>
          <w:color w:val="auto"/>
        </w:rPr>
      </w:pPr>
    </w:p>
    <w:p>
      <w:pPr>
        <w:ind w:firstLine="509"/>
        <w:spacing w:after="0" w:line="273" w:lineRule="auto"/>
        <w:rPr>
          <w:sz w:val="20"/>
          <w:szCs w:val="20"/>
          <w:color w:val="auto"/>
        </w:rPr>
      </w:pPr>
      <w:r>
        <w:rPr>
          <w:rFonts w:ascii="Arial" w:cs="Arial" w:eastAsia="Arial" w:hAnsi="Arial"/>
          <w:sz w:val="18"/>
          <w:szCs w:val="18"/>
          <w:color w:val="auto"/>
        </w:rPr>
        <w:t>A signed original of this writen statement required by Secton 906 has been provided to the Company and will be retained by the Company and furnished to the Securites and Exchange Commission or its staf upon request.</w:t>
      </w:r>
    </w:p>
    <w:p>
      <w:pPr>
        <w:spacing w:after="0" w:line="177" w:lineRule="exact"/>
        <w:rPr>
          <w:sz w:val="20"/>
          <w:szCs w:val="20"/>
          <w:color w:val="auto"/>
        </w:rPr>
      </w:pPr>
    </w:p>
    <w:p>
      <w:pPr>
        <w:ind w:firstLine="509"/>
        <w:spacing w:after="0" w:line="273" w:lineRule="auto"/>
        <w:rPr>
          <w:sz w:val="20"/>
          <w:szCs w:val="20"/>
          <w:color w:val="auto"/>
        </w:rPr>
      </w:pPr>
      <w:r>
        <w:rPr>
          <w:rFonts w:ascii="Arial" w:cs="Arial" w:eastAsia="Arial" w:hAnsi="Arial"/>
          <w:sz w:val="18"/>
          <w:szCs w:val="18"/>
          <w:color w:val="auto"/>
        </w:rPr>
        <w:t>The foregoing certfcaton is being furnished solely pursuant to 18 U.S.C. § 1350 and is not being fled as a part of this report or on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2"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8"/>
          <w:szCs w:val="18"/>
          <w:color w:val="auto"/>
        </w:rPr>
        <w:t>In connecton with the Quarterly Report of Vivid Seats Inc. (the “Company”) on Form 10-Q for the period ending September 30, 2023 as fled with the Securites and Exchange Commission on the date hereof (the “Report”), I, Lawrence Fey, Chief Financial Ofcer of the Company, certfy, pursuant to 18 U.S.C. § 1350, as adopted pursuant to § 906 of the Sarbanes-Oxley Act of 2002, that, to such ofcer's knowledge:</w:t>
      </w:r>
    </w:p>
    <w:p>
      <w:pPr>
        <w:spacing w:after="0" w:line="186" w:lineRule="exact"/>
        <w:rPr>
          <w:sz w:val="20"/>
          <w:szCs w:val="20"/>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secton 13(a) or 15(d) of the Securites Exchange Act of 1934; and</w:t>
      </w:r>
    </w:p>
    <w:p>
      <w:pPr>
        <w:spacing w:after="0" w:line="225" w:lineRule="exact"/>
        <w:rPr>
          <w:rFonts w:ascii="Arial" w:cs="Arial" w:eastAsia="Arial" w:hAnsi="Arial"/>
          <w:sz w:val="18"/>
          <w:szCs w:val="18"/>
          <w:color w:val="auto"/>
        </w:rPr>
      </w:pPr>
    </w:p>
    <w:p>
      <w:pPr>
        <w:ind w:left="1020" w:hanging="503"/>
        <w:spacing w:after="0" w:line="273"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informaton contained in the Report fairly presents, in all material respects, the fnancial conditon and results of operatons of the Company.</w:t>
      </w:r>
    </w:p>
    <w:p>
      <w:pPr>
        <w:spacing w:after="0" w:line="177" w:lineRule="exact"/>
        <w:rPr>
          <w:sz w:val="20"/>
          <w:szCs w:val="20"/>
          <w:color w:val="auto"/>
        </w:rPr>
      </w:pPr>
    </w:p>
    <w:p>
      <w:pPr>
        <w:ind w:left="20"/>
        <w:spacing w:after="0"/>
        <w:tabs>
          <w:tab w:leader="none" w:pos="5660" w:val="left"/>
          <w:tab w:leader="none" w:pos="7980" w:val="left"/>
        </w:tabs>
        <w:rPr>
          <w:sz w:val="20"/>
          <w:szCs w:val="20"/>
          <w:color w:val="auto"/>
        </w:rPr>
      </w:pPr>
      <w:r>
        <w:rPr>
          <w:rFonts w:ascii="Arial" w:cs="Arial" w:eastAsia="Arial" w:hAnsi="Arial"/>
          <w:sz w:val="18"/>
          <w:szCs w:val="18"/>
          <w:color w:val="auto"/>
        </w:rPr>
        <w:t>Date: November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Lawrence Fey</w:t>
      </w:r>
    </w:p>
    <w:p>
      <w:pPr>
        <w:spacing w:after="0" w:line="34"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-117475</wp:posOffset>
            </wp:positionV>
            <wp:extent cx="332613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2">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4"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Chief Financial Ofcer</w:t>
      </w:r>
    </w:p>
    <w:p>
      <w:pPr>
        <w:spacing w:after="0" w:line="23" w:lineRule="exact"/>
        <w:rPr>
          <w:sz w:val="20"/>
          <w:szCs w:val="20"/>
          <w:color w:val="auto"/>
        </w:rPr>
      </w:pPr>
    </w:p>
    <w:p>
      <w:pPr>
        <w:jc w:val="center"/>
        <w:ind w:left="5980"/>
        <w:spacing w:after="0"/>
        <w:rPr>
          <w:sz w:val="20"/>
          <w:szCs w:val="20"/>
          <w:color w:val="auto"/>
        </w:rPr>
      </w:pPr>
      <w:r>
        <w:rPr>
          <w:rFonts w:ascii="Arial" w:cs="Arial" w:eastAsia="Arial" w:hAnsi="Arial"/>
          <w:sz w:val="18"/>
          <w:szCs w:val="18"/>
          <w:i w:val="1"/>
          <w:iCs w:val="1"/>
          <w:color w:val="auto"/>
        </w:rPr>
        <w:t>(Principal Financial Ofcer)</w:t>
      </w:r>
    </w:p>
    <w:p>
      <w:pPr>
        <w:spacing w:after="0" w:line="200" w:lineRule="exact"/>
        <w:rPr>
          <w:sz w:val="20"/>
          <w:szCs w:val="20"/>
          <w:color w:val="auto"/>
        </w:rPr>
      </w:pPr>
    </w:p>
    <w:p>
      <w:pPr>
        <w:spacing w:after="0" w:line="255" w:lineRule="exact"/>
        <w:rPr>
          <w:sz w:val="20"/>
          <w:szCs w:val="20"/>
          <w:color w:val="auto"/>
        </w:rPr>
      </w:pPr>
    </w:p>
    <w:p>
      <w:pPr>
        <w:ind w:firstLine="509"/>
        <w:spacing w:after="0" w:line="273" w:lineRule="auto"/>
        <w:rPr>
          <w:sz w:val="20"/>
          <w:szCs w:val="20"/>
          <w:color w:val="auto"/>
        </w:rPr>
      </w:pPr>
      <w:r>
        <w:rPr>
          <w:rFonts w:ascii="Arial" w:cs="Arial" w:eastAsia="Arial" w:hAnsi="Arial"/>
          <w:sz w:val="18"/>
          <w:szCs w:val="18"/>
          <w:color w:val="auto"/>
        </w:rPr>
        <w:t>A signed original of this writen statement required by Secton 906 has been provided to the Company and will be retained by the Company and furnished to the Securites and Exchange Commission or its staf upon request.</w:t>
      </w:r>
    </w:p>
    <w:p>
      <w:pPr>
        <w:spacing w:after="0" w:line="177" w:lineRule="exact"/>
        <w:rPr>
          <w:sz w:val="20"/>
          <w:szCs w:val="20"/>
          <w:color w:val="auto"/>
        </w:rPr>
      </w:pPr>
    </w:p>
    <w:p>
      <w:pPr>
        <w:ind w:firstLine="509"/>
        <w:spacing w:after="0" w:line="273" w:lineRule="auto"/>
        <w:rPr>
          <w:sz w:val="20"/>
          <w:szCs w:val="20"/>
          <w:color w:val="auto"/>
        </w:rPr>
      </w:pPr>
      <w:r>
        <w:rPr>
          <w:rFonts w:ascii="Arial" w:cs="Arial" w:eastAsia="Arial" w:hAnsi="Arial"/>
          <w:sz w:val="18"/>
          <w:szCs w:val="18"/>
          <w:color w:val="auto"/>
        </w:rPr>
        <w:t>The foregoing certfcaton is being furnished solely pursuant to 18 U.S.C. § 1350 and is not being fled as a part of this report or on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48" w:name="page49"/>
    <w:bookmarkEnd w:id="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o"/>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2"/>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3"/>
    </w:lvl>
  </w:abstractNum>
  <w:abstractNum w:abstractNumId="7">
    <w:nsid w:val="25E45D32"/>
    <w:multiLevelType w:val="hybridMultilevel"/>
    <w:lvl w:ilvl="0">
      <w:lvlJc w:val="left"/>
      <w:lvlText w:val="%1."/>
      <w:numFmt w:val="decimal"/>
      <w:start w:val="4"/>
    </w:lvl>
  </w:abstractNum>
  <w:abstractNum w:abstractNumId="8">
    <w:nsid w:val="519B500D"/>
    <w:multiLevelType w:val="hybridMultilevel"/>
    <w:lvl w:ilvl="0">
      <w:lvlJc w:val="left"/>
      <w:lvlText w:val="%1."/>
      <w:numFmt w:val="decimal"/>
      <w:start w:val="5"/>
    </w:lvl>
  </w:abstractNum>
  <w:abstractNum w:abstractNumId="9">
    <w:nsid w:val="431BD7B7"/>
    <w:multiLevelType w:val="hybridMultilevel"/>
    <w:lvl w:ilvl="0">
      <w:lvlJc w:val="left"/>
      <w:lvlText w:val="%1."/>
      <w:numFmt w:val="decimal"/>
      <w:start w:val="6"/>
    </w:lvl>
  </w:abstractNum>
  <w:abstractNum w:abstractNumId="10">
    <w:nsid w:val="3F2DBA31"/>
    <w:multiLevelType w:val="hybridMultilevel"/>
    <w:lvl w:ilvl="0">
      <w:lvlJc w:val="left"/>
      <w:lvlText w:val="%1."/>
      <w:numFmt w:val="decimal"/>
      <w:start w:val="8"/>
    </w:lvl>
  </w:abstractNum>
  <w:abstractNum w:abstractNumId="11">
    <w:nsid w:val="7C83E458"/>
    <w:multiLevelType w:val="hybridMultilevel"/>
    <w:lvl w:ilvl="0">
      <w:lvlJc w:val="left"/>
      <w:lvlText w:val="%1."/>
      <w:numFmt w:val="decimal"/>
      <w:start w:val="9"/>
    </w:lvl>
  </w:abstractNum>
  <w:abstractNum w:abstractNumId="12">
    <w:nsid w:val="257130A3"/>
    <w:multiLevelType w:val="hybridMultilevel"/>
    <w:lvl w:ilvl="0">
      <w:lvlJc w:val="left"/>
      <w:lvlText w:val="%1."/>
      <w:numFmt w:val="decimal"/>
      <w:start w:val="10"/>
    </w:lvl>
  </w:abstractNum>
  <w:abstractNum w:abstractNumId="13">
    <w:nsid w:val="62BBD95A"/>
    <w:multiLevelType w:val="hybridMultilevel"/>
    <w:lvl w:ilvl="0">
      <w:lvlJc w:val="left"/>
      <w:lvlText w:val="%1."/>
      <w:numFmt w:val="decimal"/>
      <w:start w:val="13"/>
    </w:lvl>
  </w:abstractNum>
  <w:abstractNum w:abstractNumId="14">
    <w:nsid w:val="436C6125"/>
    <w:multiLevelType w:val="hybridMultilevel"/>
    <w:lvl w:ilvl="0">
      <w:lvlJc w:val="left"/>
      <w:lvlText w:val="%1."/>
      <w:numFmt w:val="decimal"/>
      <w:start w:val="14"/>
    </w:lvl>
  </w:abstractNum>
  <w:abstractNum w:abstractNumId="15">
    <w:nsid w:val="628C895D"/>
    <w:multiLevelType w:val="hybridMultilevel"/>
    <w:lvl w:ilvl="0">
      <w:lvlJc w:val="left"/>
      <w:lvlText w:val="%1."/>
      <w:numFmt w:val="decimal"/>
      <w:start w:val="15"/>
    </w:lvl>
  </w:abstractNum>
  <w:abstractNum w:abstractNumId="16">
    <w:nsid w:val="333AB105"/>
    <w:multiLevelType w:val="hybridMultilevel"/>
    <w:lvl w:ilvl="0">
      <w:lvlJc w:val="left"/>
      <w:lvlText w:val="%1."/>
      <w:numFmt w:val="decimal"/>
      <w:start w:val="16"/>
    </w:lvl>
  </w:abstractNum>
  <w:abstractNum w:abstractNumId="17">
    <w:nsid w:val="721DA317"/>
    <w:multiLevelType w:val="hybridMultilevel"/>
    <w:lvl w:ilvl="0">
      <w:lvlJc w:val="left"/>
      <w:lvlText w:val="%1."/>
      <w:numFmt w:val="decimal"/>
      <w:start w:val="17"/>
    </w:lvl>
  </w:abstractNum>
  <w:abstractNum w:abstractNumId="18">
    <w:nsid w:val="2443A858"/>
    <w:multiLevelType w:val="hybridMultilevel"/>
    <w:lvl w:ilvl="0">
      <w:lvlJc w:val="left"/>
      <w:lvlText w:val="%1."/>
      <w:numFmt w:val="decimal"/>
      <w:start w:val="18"/>
    </w:lvl>
  </w:abstractNum>
  <w:abstractNum w:abstractNumId="19">
    <w:nsid w:val="2D1D5AE9"/>
    <w:multiLevelType w:val="hybridMultilevel"/>
    <w:lvl w:ilvl="0">
      <w:lvlJc w:val="left"/>
      <w:lvlText w:val="%1."/>
      <w:numFmt w:val="decimal"/>
      <w:start w:val="19"/>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7" Type="http://schemas.openxmlformats.org/officeDocument/2006/relationships/image" Target="media/image314.png"/><Relationship Id="rId328" Type="http://schemas.openxmlformats.org/officeDocument/2006/relationships/image" Target="media/image315.png"/><Relationship Id="rId332" Type="http://schemas.openxmlformats.org/officeDocument/2006/relationships/image" Target="media/image316.png"/><Relationship Id="rId333" Type="http://schemas.openxmlformats.org/officeDocument/2006/relationships/image" Target="media/image317.png"/><Relationship Id="rId334" Type="http://schemas.openxmlformats.org/officeDocument/2006/relationships/image" Target="media/image318.png"/><Relationship Id="rId335" Type="http://schemas.openxmlformats.org/officeDocument/2006/relationships/image" Target="media/image319.png"/><Relationship Id="rId336" Type="http://schemas.openxmlformats.org/officeDocument/2006/relationships/image" Target="media/image320.png"/><Relationship Id="rId337" Type="http://schemas.openxmlformats.org/officeDocument/2006/relationships/image" Target="media/image321.png"/><Relationship Id="rId338" Type="http://schemas.openxmlformats.org/officeDocument/2006/relationships/image" Target="media/image322.png"/><Relationship Id="rId339" Type="http://schemas.openxmlformats.org/officeDocument/2006/relationships/image" Target="media/image323.png"/><Relationship Id="rId340" Type="http://schemas.openxmlformats.org/officeDocument/2006/relationships/image" Target="media/image324.png"/><Relationship Id="rId341" Type="http://schemas.openxmlformats.org/officeDocument/2006/relationships/image" Target="media/image325.png"/><Relationship Id="rId342" Type="http://schemas.openxmlformats.org/officeDocument/2006/relationships/image" Target="media/image326.png"/><Relationship Id="rId343" Type="http://schemas.openxmlformats.org/officeDocument/2006/relationships/image" Target="media/image327.png"/><Relationship Id="rId321" Type="http://schemas.openxmlformats.org/officeDocument/2006/relationships/hyperlink" Target="https://www.sec.gov/Archives/edgar/data/0001856031/000119312521175583/d447259ds4.htm#ii447259_10" TargetMode="External"/><Relationship Id="rId322" Type="http://schemas.openxmlformats.org/officeDocument/2006/relationships/hyperlink" Target="https://www.sec.gov/Archives/edgar/data/1856031/000119312521175583/d447259dex22.htm" TargetMode="External"/><Relationship Id="rId323" Type="http://schemas.openxmlformats.org/officeDocument/2006/relationships/hyperlink" Target="https://www.sec.gov/Archives/edgar/data/0001856031/000095017021004585/seat-ex2_3.htm" TargetMode="External"/><Relationship Id="rId324" Type="http://schemas.openxmlformats.org/officeDocument/2006/relationships/hyperlink" Target="https://www.sec.gov/Archives/edgar/data/0001856031/000119312521305506/d216055dex31.htm" TargetMode="External"/><Relationship Id="rId325" Type="http://schemas.openxmlformats.org/officeDocument/2006/relationships/hyperlink" Target="https://www.sec.gov/Archives/edgar/data/1856031/000095017022008705/seat-ex3_2.htm" TargetMode="External"/><Relationship Id="rId326" Type="http://schemas.openxmlformats.org/officeDocument/2006/relationships/hyperlink" Target="https://www.sec.gov/Archives/edgar/data/0001856031/000119312521305506/d216055dex32.htm" TargetMode="External"/><Relationship Id="rId329" Type="http://schemas.openxmlformats.org/officeDocument/2006/relationships/hyperlink" Target="https://www.sec.gov/Archives/edgar/data/0001856031/000119312521305506/d216055dex107.htm" TargetMode="External"/><Relationship Id="rId330" Type="http://schemas.openxmlformats.org/officeDocument/2006/relationships/hyperlink" Target="https://www.sec.gov/Archives/edgar/data/1856031/000095017022003749/seat-ex4_2.htm" TargetMode="External"/><Relationship Id="rId331" Type="http://schemas.openxmlformats.org/officeDocument/2006/relationships/hyperlink" Target="https://www.sec.gov/Archives/edgar/data/1856031/000095017022003749/seat-ex4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2023-11-07T05:36:07Z</dcterms:created>
  <dcterms:modified xsi:type="dcterms:W3CDTF">2023-11-07T05:36:07Z</dcterms:modified>
</cp:coreProperties>
</file>