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Langenbacher Stefano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VIVID SEATS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 E. WASHINGTON ST., STE.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Vivid Seats Inc.</w:t>
              </w:r>
            </w:hyperlink>
            <w:r>
              <w:rPr/>
              <w:t xml:space="preserve"> [ </w:t>
            </w:r>
            <w:r>
              <w:rPr>
                <w:rFonts w:ascii="Times;serif" w:hAnsi="Times;serif"/>
                <w:color w:val="0000FF"/>
                <w:sz w:val="24"/>
                <w:shd w:fill="FFFFFF" w:val="clear"/>
              </w:rPr>
              <w:t>SEAT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44,491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111,247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19,262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91,985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26,692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38,226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191,132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the RSUs vested on March 11, 2025. The remainder of the RSUs vest in equal quarterly installments such that they will be fully vested on March 11, 2027. The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One-third of the RSUs vested on March 11, 2026. The remainder of the RSUs vest in equal quarterly installments such that they will be fully vested on March 11, 2028. The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began vesting in equal quarterly installments on March 11, 2026 such that they will be fully vested on December 11, 2027. The RSUs do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Stefano Langenbacher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5428" TargetMode="External"/><Relationship Id="rId5" Type="http://schemas.openxmlformats.org/officeDocument/2006/relationships/hyperlink" Target="http://www.sec.gov/cgi-bin/browse-edgar?action=getcompany&amp;CIK=0001856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3947</Characters>
  <CharactersWithSpaces>4592</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