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9" w:lineRule="exact"/>
        <w:rPr>
          <w:sz w:val="24"/>
          <w:szCs w:val="24"/>
          <w:color w:val="auto"/>
        </w:rPr>
      </w:pPr>
    </w:p>
    <w:p>
      <w:pPr>
        <w:ind w:left="4140" w:right="3540" w:hanging="4132"/>
        <w:spacing w:after="0" w:line="412" w:lineRule="auto"/>
        <w:tabs>
          <w:tab w:leader="none" w:pos="34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09" w:lineRule="exact"/>
        <w:rPr>
          <w:sz w:val="24"/>
          <w:szCs w:val="24"/>
          <w:color w:val="auto"/>
        </w:rPr>
      </w:pPr>
    </w:p>
    <w:p>
      <w:pPr>
        <w:ind w:left="3780" w:right="3560" w:hanging="3772"/>
        <w:spacing w:after="0" w:line="412" w:lineRule="auto"/>
        <w:tabs>
          <w:tab w:leader="none" w:pos="34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 to __________</w:t>
      </w:r>
    </w:p>
    <w:p>
      <w:pPr>
        <w:ind w:left="444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Vivid Seats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Delaware</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368"/>
              <w:spacing w:after="0"/>
              <w:rPr>
                <w:sz w:val="20"/>
                <w:szCs w:val="20"/>
                <w:color w:val="auto"/>
              </w:rPr>
            </w:pPr>
            <w:r>
              <w:rPr>
                <w:rFonts w:ascii="Arial" w:cs="Arial" w:eastAsia="Arial" w:hAnsi="Arial"/>
                <w:sz w:val="14"/>
                <w:szCs w:val="14"/>
                <w:b w:val="1"/>
                <w:bCs w:val="1"/>
                <w:color w:val="auto"/>
              </w:rPr>
              <w:t>86-3355184</w:t>
            </w:r>
          </w:p>
        </w:tc>
      </w:tr>
      <w:tr>
        <w:trPr>
          <w:trHeight w:val="190"/>
        </w:trPr>
        <w:tc>
          <w:tcPr>
            <w:tcW w:w="6200" w:type="dxa"/>
            <w:vAlign w:val="bottom"/>
            <w:gridSpan w:val="4"/>
          </w:tcPr>
          <w:p>
            <w:pPr>
              <w:jc w:val="center"/>
              <w:ind w:right="580"/>
              <w:spacing w:after="0"/>
              <w:rPr>
                <w:sz w:val="20"/>
                <w:szCs w:val="20"/>
                <w:color w:val="auto"/>
              </w:rPr>
            </w:pPr>
            <w:r>
              <w:rPr>
                <w:rFonts w:ascii="Arial" w:cs="Arial" w:eastAsia="Arial" w:hAnsi="Arial"/>
                <w:sz w:val="14"/>
                <w:szCs w:val="14"/>
                <w:color w:val="auto"/>
              </w:rPr>
              <w:t>(State or other jurisdiction of incorporation or organization)</w:t>
            </w:r>
          </w:p>
        </w:tc>
        <w:tc>
          <w:tcPr>
            <w:tcW w:w="5040" w:type="dxa"/>
            <w:vAlign w:val="bottom"/>
          </w:tcPr>
          <w:p>
            <w:pPr>
              <w:jc w:val="center"/>
              <w:ind w:right="508"/>
              <w:spacing w:after="0"/>
              <w:rPr>
                <w:sz w:val="20"/>
                <w:szCs w:val="20"/>
                <w:color w:val="auto"/>
              </w:rPr>
            </w:pPr>
            <w:r>
              <w:rPr>
                <w:rFonts w:ascii="Arial" w:cs="Arial" w:eastAsia="Arial" w:hAnsi="Arial"/>
                <w:sz w:val="14"/>
                <w:szCs w:val="14"/>
                <w:color w:val="auto"/>
              </w:rPr>
              <w:t>(I.R.S. Employer Identification No.)</w:t>
            </w:r>
          </w:p>
        </w:tc>
      </w:tr>
      <w:tr>
        <w:trPr>
          <w:trHeight w:val="24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24 E. Washington Street, Suite 900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Chicago, Illinois</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r>
      <w:tr>
        <w:trPr>
          <w:trHeight w:val="190"/>
        </w:trPr>
        <w:tc>
          <w:tcPr>
            <w:tcW w:w="4280" w:type="dxa"/>
            <w:vAlign w:val="bottom"/>
          </w:tcPr>
          <w:p>
            <w:pPr>
              <w:jc w:val="center"/>
              <w:ind w:left="1268"/>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28"/>
              <w:spacing w:after="0"/>
              <w:rPr>
                <w:sz w:val="20"/>
                <w:szCs w:val="20"/>
                <w:color w:val="auto"/>
              </w:rPr>
            </w:pPr>
            <w:r>
              <w:rPr>
                <w:rFonts w:ascii="Arial" w:cs="Arial" w:eastAsia="Arial" w:hAnsi="Arial"/>
                <w:sz w:val="14"/>
                <w:szCs w:val="14"/>
                <w:color w:val="auto"/>
              </w:rPr>
              <w:t>(Zip Code)</w:t>
            </w:r>
          </w:p>
        </w:tc>
      </w:tr>
      <w:tr>
        <w:trPr>
          <w:trHeight w:val="242"/>
        </w:trPr>
        <w:tc>
          <w:tcPr>
            <w:tcW w:w="4280" w:type="dxa"/>
            <w:vAlign w:val="bottom"/>
          </w:tcPr>
          <w:p>
            <w:pPr>
              <w:spacing w:after="0"/>
              <w:rPr>
                <w:sz w:val="21"/>
                <w:szCs w:val="21"/>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(312) 291-9966</w:t>
            </w:r>
          </w:p>
        </w:tc>
        <w:tc>
          <w:tcPr>
            <w:tcW w:w="5040" w:type="dxa"/>
            <w:vAlign w:val="bottom"/>
          </w:tcPr>
          <w:p>
            <w:pPr>
              <w:spacing w:after="0"/>
              <w:rPr>
                <w:sz w:val="21"/>
                <w:szCs w:val="21"/>
                <w:color w:val="auto"/>
              </w:rPr>
            </w:pPr>
          </w:p>
        </w:tc>
      </w:tr>
      <w:tr>
        <w:trPr>
          <w:trHeight w:val="190"/>
        </w:trPr>
        <w:tc>
          <w:tcPr>
            <w:tcW w:w="11240" w:type="dxa"/>
            <w:vAlign w:val="bottom"/>
            <w:gridSpan w:val="5"/>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116"/>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51"/>
        </w:trPr>
        <w:tc>
          <w:tcPr>
            <w:tcW w:w="428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1"/>
                <w:szCs w:val="21"/>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50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42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Class A common stock, par value $0.0001 per share</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SEAT</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The Nasdaq Stock Market LLC</w:t>
            </w:r>
          </w:p>
        </w:tc>
      </w:tr>
      <w:tr>
        <w:trPr>
          <w:trHeight w:val="196"/>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rPr>
              <w:t>Warrants to purchase one share of Class A common stock</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SEATW</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98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As of April 30, 2025, the registrant had outstanding 129,847,569 shares of Class A common stock, $0.0001 par value per share, net of treasury shares, and 76,225,000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r>
      <w:tr>
        <w:trPr>
          <w:trHeight w:val="66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8"/>
        </w:trPr>
        <w:tc>
          <w:tcPr>
            <w:tcW w:w="8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91"/>
        </w:trPr>
        <w:tc>
          <w:tcPr>
            <w:tcW w:w="2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Forward-Looking Statements</w:t>
            </w:r>
          </w:p>
        </w:tc>
        <w:tc>
          <w:tcPr>
            <w:tcW w:w="20" w:type="dxa"/>
            <w:vAlign w:val="bottom"/>
            <w:tcBorders>
              <w:bottom w:val="single" w:sz="8" w:color="0000EE"/>
            </w:tcBorders>
          </w:tcPr>
          <w:p>
            <w:pPr>
              <w:spacing w:after="0"/>
              <w:rPr>
                <w:sz w:val="24"/>
                <w:szCs w:val="24"/>
                <w:color w:val="auto"/>
              </w:rPr>
            </w:pPr>
          </w:p>
        </w:tc>
        <w:tc>
          <w:tcPr>
            <w:tcW w:w="834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INFORMATION</w:t>
            </w:r>
          </w:p>
        </w:tc>
        <w:tc>
          <w:tcPr>
            <w:tcW w:w="20" w:type="dxa"/>
            <w:vAlign w:val="bottom"/>
            <w:tcBorders>
              <w:bottom w:val="single" w:sz="8" w:color="0000EE"/>
            </w:tcBorders>
          </w:tcPr>
          <w:p>
            <w:pPr>
              <w:spacing w:after="0"/>
              <w:rPr>
                <w:sz w:val="20"/>
                <w:szCs w:val="20"/>
                <w:color w:val="auto"/>
              </w:rPr>
            </w:pPr>
          </w:p>
        </w:tc>
        <w:tc>
          <w:tcPr>
            <w:tcW w:w="7260" w:type="dxa"/>
            <w:vAlign w:val="bottom"/>
            <w:gridSpan w:val="18"/>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0"/>
                <w:szCs w:val="20"/>
                <w:color w:val="auto"/>
              </w:rPr>
            </w:pPr>
          </w:p>
        </w:tc>
        <w:tc>
          <w:tcPr>
            <w:tcW w:w="684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0"/>
                <w:szCs w:val="20"/>
                <w:color w:val="auto"/>
              </w:rPr>
            </w:pPr>
          </w:p>
        </w:tc>
        <w:tc>
          <w:tcPr>
            <w:tcW w:w="6180" w:type="dxa"/>
            <w:vAlign w:val="bottom"/>
            <w:gridSpan w:val="1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0" w:type="dxa"/>
            <w:vAlign w:val="bottom"/>
            <w:tcBorders>
              <w:bottom w:val="single" w:sz="8" w:color="0000EE"/>
            </w:tcBorders>
          </w:tcPr>
          <w:p>
            <w:pPr>
              <w:spacing w:after="0"/>
              <w:rPr>
                <w:sz w:val="20"/>
                <w:szCs w:val="20"/>
                <w:color w:val="auto"/>
              </w:rPr>
            </w:pPr>
          </w:p>
        </w:tc>
        <w:tc>
          <w:tcPr>
            <w:tcW w:w="5400" w:type="dxa"/>
            <w:vAlign w:val="bottom"/>
            <w:gridSpan w:val="9"/>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20" w:type="dxa"/>
            <w:vAlign w:val="bottom"/>
            <w:tcBorders>
              <w:top w:val="single" w:sz="8" w:color="0000FF"/>
              <w:bottom w:val="single" w:sz="8" w:color="0000EE"/>
            </w:tcBorders>
          </w:tcPr>
          <w:p>
            <w:pPr>
              <w:spacing w:after="0"/>
              <w:rPr>
                <w:sz w:val="20"/>
                <w:szCs w:val="20"/>
                <w:color w:val="auto"/>
              </w:rPr>
            </w:pPr>
          </w:p>
        </w:tc>
        <w:tc>
          <w:tcPr>
            <w:tcW w:w="1920" w:type="dxa"/>
            <w:vAlign w:val="bottom"/>
            <w:tcBorders>
              <w:top w:val="single" w:sz="8" w:color="0000FF"/>
            </w:tcBorders>
            <w:gridSpan w:val="9"/>
          </w:tcPr>
          <w:p>
            <w:pPr>
              <w:spacing w:after="0"/>
              <w:rPr>
                <w:sz w:val="20"/>
                <w:szCs w:val="20"/>
                <w:color w:val="auto"/>
              </w:rPr>
            </w:pPr>
          </w:p>
        </w:tc>
        <w:tc>
          <w:tcPr>
            <w:tcW w:w="386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20"/>
                <w:szCs w:val="20"/>
                <w:color w:val="auto"/>
              </w:rPr>
            </w:pPr>
          </w:p>
        </w:tc>
        <w:tc>
          <w:tcPr>
            <w:tcW w:w="5340" w:type="dxa"/>
            <w:vAlign w:val="bottom"/>
            <w:gridSpan w:val="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20"/>
                <w:szCs w:val="20"/>
                <w:color w:val="auto"/>
              </w:rPr>
            </w:pPr>
          </w:p>
        </w:tc>
        <w:tc>
          <w:tcPr>
            <w:tcW w:w="5040" w:type="dxa"/>
            <w:vAlign w:val="bottom"/>
            <w:gridSpan w:val="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2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754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OTHER INFORMATION</w:t>
            </w:r>
          </w:p>
        </w:tc>
        <w:tc>
          <w:tcPr>
            <w:tcW w:w="7580" w:type="dxa"/>
            <w:vAlign w:val="bottom"/>
            <w:gridSpan w:val="21"/>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8040" w:type="dxa"/>
            <w:vAlign w:val="bottom"/>
            <w:gridSpan w:val="2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68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Defaults Upon Senior Securities</w:t>
            </w:r>
          </w:p>
        </w:tc>
        <w:tc>
          <w:tcPr>
            <w:tcW w:w="6980" w:type="dxa"/>
            <w:vAlign w:val="bottom"/>
            <w:gridSpan w:val="1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760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9"/>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8140" w:type="dxa"/>
            <w:vAlign w:val="bottom"/>
            <w:gridSpan w:val="24"/>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688"/>
        </w:trPr>
        <w:tc>
          <w:tcPr>
            <w:tcW w:w="8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(this “Report”) contains “forward-looking statements” within the meaning of Section 27A of the Securities Act of 1933, as amended, and Section 21E of the Securities Exchange Act of 1934, as amended (the “Exchange Act”), regarding future events and the future results of Vivid Seats Inc. and its subsidiaries, including Hoya Intermediate, LLC (“Hoya Intermediate”), Hoya Midco, LLC, and Vivid Seats LLC (collectively, “we,” “us,” and “our”). Words such as “anticipate,” “believe,” “can,” “continue,” “could,” “design,” “estimate,” “expect,” “forecast,” “future,” “goal,” “intend,” “likely,” “may,” “plan,” “project,” “propose,” “seek,” “should,” “target,” “will,” and “would,” as well as similar expressions which predict or indicate future events and trends or which do not relate to historical matters, are intended to identify such forward-looking statements.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use forward-looking statements when addressing topics such as our future operating results and financial performance, including our ability to generate sufficient cash flows and/or raise additional capital when necessary or desirable, our success in attracting, hiring, motivating, and retaining our senior management team, key technical employees, and other highly skilled personnel, any payment of dividends on our Class A common stock, and other topics relating to our business, operations, and financial performance, such as:</w:t>
      </w:r>
    </w:p>
    <w:p>
      <w:pPr>
        <w:spacing w:after="0" w:line="6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supply and demand of live concert, sporting, and theater events;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adverse economic conditions and other factors affecting discretionary consumer and corporate spending;</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and develop our relationships with ticket buyers, sellers, and partners;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compete in the ticketing industry;</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continue to maintain and improve our platform and to successfully develop new and improved solutions and enhancements;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extraordinary events, including disease epidemics;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identify suitable acquisition targets, to complete planned acquisitions, and to realize the expected benefits of completed acquisitions and other strategic investments;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comply with applicable laws and regulations;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unfavorable outcomes in legislation and legal proceedings; and</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the integrity of our information systems and infrastructure, and to identify, assess, and manage relevant cybersecurity risks.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based these forward-looking statements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our control. Therefore, actual results may differ materially from those contemplated by any forward-looking statements.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Important factors that could cause or contribute to such differences include, but are not limited to, those discussed in the “Risk Factors” and “Management’s Discussion and Analysis of Financial Condition and Results of Operations” sections of this Report and our Annual Report on Form 10-K for the fiscal year ended December 31, 2024, which was filed with the U.S. Securities and Exchange Commission (the “SEC”) on March 12, 2025 (our “2024 Form 10-K”), as well as in our press releases and other filings with the SEC.</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should not place undue reliance on forward-looking statements, which speak only as of the date of this Report (or, in the case of statements incorporated by reference herein, as of the date of the incorporated document). Except as required by applicable law,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56"/>
        </w:trPr>
        <w:tc>
          <w:tcPr>
            <w:tcW w:w="83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199,471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243,482</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receivable – net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56,862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48,315</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Inventory – net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34,582</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380" w:type="dxa"/>
            <w:vAlign w:val="bottom"/>
          </w:tcPr>
          <w:p>
            <w:pPr>
              <w:ind w:left="1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319,790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345,171</w:t>
            </w:r>
          </w:p>
        </w:tc>
        <w:tc>
          <w:tcPr>
            <w:tcW w:w="100" w:type="dxa"/>
            <w:vAlign w:val="bottom"/>
          </w:tcPr>
          <w:p>
            <w:pPr>
              <w:spacing w:after="0"/>
              <w:rPr>
                <w:sz w:val="13"/>
                <w:szCs w:val="13"/>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 net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13,815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12,567</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Right-of-use assets – net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11,748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 net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228,057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233,116</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Goodwill – net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945,301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943,119</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Deferred tax assets – net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74,318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77,967</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6,929</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5,796</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38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1,605,538</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Pr>
          <w:p>
            <w:pPr>
              <w:spacing w:after="0"/>
              <w:rPr>
                <w:sz w:val="13"/>
                <w:szCs w:val="13"/>
                <w:color w:val="auto"/>
              </w:rPr>
            </w:pPr>
          </w:p>
        </w:tc>
      </w:tr>
      <w:tr>
        <w:trPr>
          <w:trHeight w:val="20"/>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3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redeemable noncontrolling interests, and shareholders' equity</w:t>
            </w: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226,416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232,984</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162,801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165,047</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23,113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4"/>
                <w:szCs w:val="14"/>
                <w:color w:val="auto"/>
              </w:rPr>
            </w:pPr>
          </w:p>
        </w:tc>
      </w:tr>
      <w:tr>
        <w:trPr>
          <w:trHeight w:val="155"/>
        </w:trPr>
        <w:tc>
          <w:tcPr>
            <w:tcW w:w="838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416,280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425,785</w:t>
            </w: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Long-term debt – net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385,788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384,960</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Long-term lease liabilities</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TRA liability</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149,967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155,720</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28,945</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380" w:type="dxa"/>
            <w:vAlign w:val="bottom"/>
          </w:tcPr>
          <w:p>
            <w:pPr>
              <w:ind w:left="1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999,197</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1,022,061</w:t>
            </w:r>
          </w:p>
        </w:tc>
        <w:tc>
          <w:tcPr>
            <w:tcW w:w="100" w:type="dxa"/>
            <w:vAlign w:val="bottom"/>
          </w:tcPr>
          <w:p>
            <w:pPr>
              <w:spacing w:after="0"/>
              <w:rPr>
                <w:sz w:val="13"/>
                <w:szCs w:val="13"/>
                <w:color w:val="auto"/>
              </w:rPr>
            </w:pPr>
          </w:p>
        </w:tc>
      </w:tr>
      <w:tr>
        <w:trPr>
          <w:trHeight w:val="155"/>
        </w:trPr>
        <w:tc>
          <w:tcPr>
            <w:tcW w:w="83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Commitments and contingencies (Note 13)</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225,627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352,922</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3"/>
        </w:trPr>
        <w:tc>
          <w:tcPr>
            <w:tcW w:w="8380" w:type="dxa"/>
            <w:vAlign w:val="bottom"/>
          </w:tcPr>
          <w:p>
            <w:pPr>
              <w:ind w:left="60"/>
              <w:spacing w:after="0" w:line="153" w:lineRule="exact"/>
              <w:rPr>
                <w:sz w:val="20"/>
                <w:szCs w:val="20"/>
                <w:color w:val="auto"/>
              </w:rPr>
            </w:pPr>
            <w:r>
              <w:rPr>
                <w:rFonts w:ascii="Arial" w:cs="Arial" w:eastAsia="Arial" w:hAnsi="Arial"/>
                <w:sz w:val="14"/>
                <w:szCs w:val="14"/>
                <w:color w:val="auto"/>
              </w:rPr>
              <w:t>Class A common stock, $0.0001 par value; 500,000,000 shares authorized, 146,230,980 and 143,819,497 shares issued and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380" w:type="dxa"/>
            <w:vAlign w:val="bottom"/>
          </w:tcPr>
          <w:p>
            <w:pPr>
              <w:ind w:left="60"/>
              <w:spacing w:after="0"/>
              <w:rPr>
                <w:sz w:val="20"/>
                <w:szCs w:val="20"/>
                <w:color w:val="auto"/>
              </w:rPr>
            </w:pPr>
            <w:r>
              <w:rPr>
                <w:rFonts w:ascii="Arial" w:cs="Arial" w:eastAsia="Arial" w:hAnsi="Arial"/>
                <w:sz w:val="14"/>
                <w:szCs w:val="14"/>
                <w:color w:val="auto"/>
              </w:rPr>
              <w:t>outstanding at March 31, 2025 and December 31, 2024, respectively</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r>
      <w:tr>
        <w:trPr>
          <w:trHeight w:val="153"/>
        </w:trPr>
        <w:tc>
          <w:tcPr>
            <w:tcW w:w="838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Class B common stock, $0.0001 par value; 250,000,000 shares authorized, 76,225,000 shares issued and outstanding at</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March 31, 2025 and December 31, 2024</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1,399,423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1,267,710</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Treasury stock, at cost, 13,812,263 and 11,433,749 shares at March 31, 2025 and December 31, 2024, respectively</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(82,485)</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(75,568)</w:t>
            </w: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(936,113)</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(930,171)</w:t>
            </w: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(880)</w:t>
            </w:r>
          </w:p>
        </w:tc>
      </w:tr>
      <w:tr>
        <w:trPr>
          <w:trHeight w:val="155"/>
        </w:trPr>
        <w:tc>
          <w:tcPr>
            <w:tcW w:w="8380" w:type="dxa"/>
            <w:vAlign w:val="bottom"/>
            <w:tcBorders>
              <w:top w:val="single" w:sz="8" w:color="CFF0FC"/>
            </w:tcBorders>
          </w:tcPr>
          <w:p>
            <w:pPr>
              <w:ind w:left="120"/>
              <w:spacing w:after="0" w:line="155" w:lineRule="exact"/>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380,714</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261,113</w:t>
            </w:r>
          </w:p>
        </w:tc>
        <w:tc>
          <w:tcPr>
            <w:tcW w:w="100" w:type="dxa"/>
            <w:vAlign w:val="bottom"/>
            <w:tcBorders>
              <w:top w:val="single" w:sz="8" w:color="CFF0FC"/>
            </w:tcBorders>
          </w:tcPr>
          <w:p>
            <w:pPr>
              <w:spacing w:after="0"/>
              <w:rPr>
                <w:sz w:val="13"/>
                <w:szCs w:val="13"/>
                <w:color w:val="auto"/>
              </w:rPr>
            </w:pPr>
          </w:p>
        </w:tc>
      </w:tr>
      <w:tr>
        <w:trPr>
          <w:trHeight w:val="195"/>
        </w:trPr>
        <w:tc>
          <w:tcPr>
            <w:tcW w:w="83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redeemable noncontrolling interests, and shareholders' equity</w:t>
            </w: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1,605,538</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-3608070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-2776855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-1499235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8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164,023</w:t>
            </w:r>
          </w:p>
        </w:tc>
        <w:tc>
          <w:tcPr>
            <w:tcW w:w="1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190,852</w:t>
            </w:r>
          </w:p>
        </w:tc>
        <w:tc>
          <w:tcPr>
            <w:tcW w:w="100" w:type="dxa"/>
            <w:vAlign w:val="bottom"/>
            <w:shd w:val="clear" w:color="auto" w:fill="CFF0FC"/>
          </w:tcPr>
          <w:p>
            <w:pPr>
              <w:spacing w:after="0"/>
              <w:rPr>
                <w:sz w:val="13"/>
                <w:szCs w:val="13"/>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2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44,525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49,583</w:t>
            </w:r>
          </w:p>
        </w:tc>
        <w:tc>
          <w:tcPr>
            <w:tcW w:w="100" w:type="dxa"/>
            <w:vAlign w:val="bottom"/>
            <w:shd w:val="clear" w:color="auto" w:fill="CFF0FC"/>
          </w:tcPr>
          <w:p>
            <w:pPr>
              <w:spacing w:after="0"/>
              <w:rPr>
                <w:sz w:val="14"/>
                <w:szCs w:val="14"/>
                <w:color w:val="auto"/>
              </w:rPr>
            </w:pPr>
          </w:p>
        </w:tc>
      </w:tr>
      <w:tr>
        <w:trPr>
          <w:trHeight w:val="162"/>
        </w:trPr>
        <w:tc>
          <w:tcPr>
            <w:tcW w:w="8220" w:type="dxa"/>
            <w:vAlign w:val="bottom"/>
          </w:tcPr>
          <w:p>
            <w:pPr>
              <w:ind w:left="60"/>
              <w:spacing w:after="0"/>
              <w:rPr>
                <w:sz w:val="20"/>
                <w:szCs w:val="20"/>
                <w:color w:val="auto"/>
              </w:rPr>
            </w:pPr>
            <w:r>
              <w:rPr>
                <w:rFonts w:ascii="Arial" w:cs="Arial" w:eastAsia="Arial" w:hAnsi="Arial"/>
                <w:sz w:val="14"/>
                <w:szCs w:val="14"/>
                <w:color w:val="auto"/>
              </w:rPr>
              <w:t>Marketing and selling</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64,112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67,745</w:t>
            </w:r>
          </w:p>
        </w:tc>
        <w:tc>
          <w:tcPr>
            <w:tcW w:w="100" w:type="dxa"/>
            <w:vAlign w:val="bottom"/>
          </w:tcPr>
          <w:p>
            <w:pPr>
              <w:spacing w:after="0"/>
              <w:rPr>
                <w:sz w:val="14"/>
                <w:szCs w:val="14"/>
                <w:color w:val="auto"/>
              </w:rPr>
            </w:pPr>
          </w:p>
        </w:tc>
      </w:tr>
      <w:tr>
        <w:trPr>
          <w:trHeight w:val="162"/>
        </w:trPr>
        <w:tc>
          <w:tcPr>
            <w:tcW w:w="8220" w:type="dxa"/>
            <w:vAlign w:val="bottom"/>
            <w:shd w:val="clear" w:color="auto" w:fill="CFF0FC"/>
          </w:tcPr>
          <w:p>
            <w:pPr>
              <w:ind w:left="6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48,082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42,366</w:t>
            </w:r>
          </w:p>
        </w:tc>
        <w:tc>
          <w:tcPr>
            <w:tcW w:w="100" w:type="dxa"/>
            <w:vAlign w:val="bottom"/>
            <w:shd w:val="clear" w:color="auto" w:fill="CFF0FC"/>
          </w:tcPr>
          <w:p>
            <w:pPr>
              <w:spacing w:after="0"/>
              <w:rPr>
                <w:sz w:val="14"/>
                <w:szCs w:val="14"/>
                <w:color w:val="auto"/>
              </w:rPr>
            </w:pPr>
          </w:p>
        </w:tc>
      </w:tr>
      <w:tr>
        <w:trPr>
          <w:trHeight w:val="162"/>
        </w:trPr>
        <w:tc>
          <w:tcPr>
            <w:tcW w:w="8220" w:type="dxa"/>
            <w:vAlign w:val="bottom"/>
          </w:tcPr>
          <w:p>
            <w:pPr>
              <w:ind w:left="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10,483</w:t>
            </w:r>
          </w:p>
        </w:tc>
        <w:tc>
          <w:tcPr>
            <w:tcW w:w="100" w:type="dxa"/>
            <w:vAlign w:val="bottom"/>
          </w:tcPr>
          <w:p>
            <w:pPr>
              <w:spacing w:after="0"/>
              <w:rPr>
                <w:sz w:val="14"/>
                <w:szCs w:val="14"/>
                <w:color w:val="auto"/>
              </w:rPr>
            </w:pPr>
          </w:p>
        </w:tc>
      </w:tr>
      <w:tr>
        <w:trPr>
          <w:trHeight w:val="155"/>
        </w:trPr>
        <w:tc>
          <w:tcPr>
            <w:tcW w:w="82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costs and expenses</w:t>
            </w:r>
          </w:p>
        </w:tc>
        <w:tc>
          <w:tcPr>
            <w:tcW w:w="2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168,344</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170,177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822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240" w:type="dxa"/>
            <w:vAlign w:val="bottom"/>
          </w:tcPr>
          <w:p>
            <w:pPr>
              <w:spacing w:after="0"/>
              <w:rPr>
                <w:sz w:val="13"/>
                <w:szCs w:val="13"/>
                <w:color w:val="auto"/>
              </w:rPr>
            </w:pP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(4,321)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20,675</w:t>
            </w:r>
          </w:p>
        </w:tc>
        <w:tc>
          <w:tcPr>
            <w:tcW w:w="100" w:type="dxa"/>
            <w:vAlign w:val="bottom"/>
          </w:tcPr>
          <w:p>
            <w:pPr>
              <w:spacing w:after="0"/>
              <w:rPr>
                <w:sz w:val="13"/>
                <w:szCs w:val="13"/>
                <w:color w:val="auto"/>
              </w:rPr>
            </w:pPr>
          </w:p>
        </w:tc>
      </w:tr>
      <w:tr>
        <w:trPr>
          <w:trHeight w:val="162"/>
        </w:trPr>
        <w:tc>
          <w:tcPr>
            <w:tcW w:w="82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5,082</w:t>
            </w:r>
          </w:p>
        </w:tc>
        <w:tc>
          <w:tcPr>
            <w:tcW w:w="100" w:type="dxa"/>
            <w:vAlign w:val="bottom"/>
            <w:shd w:val="clear" w:color="auto" w:fill="CFF0FC"/>
          </w:tcPr>
          <w:p>
            <w:pPr>
              <w:spacing w:after="0"/>
              <w:rPr>
                <w:sz w:val="14"/>
                <w:szCs w:val="14"/>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4"/>
                <w:szCs w:val="14"/>
                <w:color w:val="auto"/>
              </w:rPr>
              <w:t>Other expense (income) – net</w:t>
            </w:r>
          </w:p>
        </w:tc>
        <w:tc>
          <w:tcPr>
            <w:tcW w:w="2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2,582</w:t>
            </w:r>
          </w:p>
        </w:tc>
        <w:tc>
          <w:tcPr>
            <w:tcW w:w="100" w:type="dxa"/>
            <w:vAlign w:val="bottom"/>
          </w:tcPr>
          <w:p>
            <w:pPr>
              <w:spacing w:after="0"/>
              <w:rPr>
                <w:sz w:val="14"/>
                <w:szCs w:val="14"/>
                <w:color w:val="auto"/>
              </w:rPr>
            </w:pPr>
          </w:p>
        </w:tc>
      </w:tr>
      <w:tr>
        <w:trPr>
          <w:trHeight w:val="162"/>
        </w:trPr>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2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22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3"/>
                <w:szCs w:val="13"/>
                <w:color w:val="auto"/>
              </w:rPr>
            </w:pP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(6,633)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13,011</w:t>
            </w:r>
          </w:p>
        </w:tc>
        <w:tc>
          <w:tcPr>
            <w:tcW w:w="100" w:type="dxa"/>
            <w:vAlign w:val="bottom"/>
          </w:tcPr>
          <w:p>
            <w:pPr>
              <w:spacing w:after="0"/>
              <w:rPr>
                <w:sz w:val="13"/>
                <w:szCs w:val="13"/>
                <w:color w:val="auto"/>
              </w:rPr>
            </w:pPr>
          </w:p>
        </w:tc>
      </w:tr>
      <w:tr>
        <w:trPr>
          <w:trHeight w:val="162"/>
        </w:trPr>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3,155</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2,269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220" w:type="dxa"/>
            <w:vAlign w:val="bottom"/>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40" w:type="dxa"/>
            <w:vAlign w:val="bottom"/>
          </w:tcPr>
          <w:p>
            <w:pPr>
              <w:spacing w:after="0"/>
              <w:rPr>
                <w:sz w:val="13"/>
                <w:szCs w:val="13"/>
                <w:color w:val="auto"/>
              </w:rPr>
            </w:pPr>
          </w:p>
        </w:tc>
        <w:tc>
          <w:tcPr>
            <w:tcW w:w="12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(9,788)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10,742</w:t>
            </w:r>
          </w:p>
        </w:tc>
        <w:tc>
          <w:tcPr>
            <w:tcW w:w="100" w:type="dxa"/>
            <w:vAlign w:val="bottom"/>
          </w:tcPr>
          <w:p>
            <w:pPr>
              <w:spacing w:after="0"/>
              <w:rPr>
                <w:sz w:val="13"/>
                <w:szCs w:val="13"/>
                <w:color w:val="auto"/>
              </w:rPr>
            </w:pPr>
          </w:p>
        </w:tc>
      </w:tr>
      <w:tr>
        <w:trPr>
          <w:trHeight w:val="162"/>
        </w:trPr>
        <w:tc>
          <w:tcPr>
            <w:tcW w:w="822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(3,846)</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4,665</w:t>
            </w:r>
          </w:p>
        </w:tc>
        <w:tc>
          <w:tcPr>
            <w:tcW w:w="100" w:type="dxa"/>
            <w:vAlign w:val="bottom"/>
            <w:shd w:val="clear" w:color="auto" w:fill="CFF0FC"/>
          </w:tcPr>
          <w:p>
            <w:pPr>
              <w:spacing w:after="0"/>
              <w:rPr>
                <w:sz w:val="14"/>
                <w:szCs w:val="14"/>
                <w:color w:val="auto"/>
              </w:rPr>
            </w:pPr>
          </w:p>
        </w:tc>
      </w:tr>
      <w:tr>
        <w:trPr>
          <w:trHeight w:val="156"/>
        </w:trPr>
        <w:tc>
          <w:tcPr>
            <w:tcW w:w="82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(5,942)</w:t>
            </w:r>
          </w:p>
        </w:tc>
        <w:tc>
          <w:tcPr>
            <w:tcW w:w="18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6,077</w:t>
            </w:r>
          </w:p>
        </w:tc>
        <w:tc>
          <w:tcPr>
            <w:tcW w:w="100" w:type="dxa"/>
            <w:vAlign w:val="bottom"/>
            <w:tcBorders>
              <w:top w:val="single" w:sz="8" w:color="CFF0FC"/>
            </w:tcBorders>
          </w:tcPr>
          <w:p>
            <w:pPr>
              <w:spacing w:after="0"/>
              <w:rPr>
                <w:sz w:val="13"/>
                <w:szCs w:val="13"/>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2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Net income (loss) per Class A common stock:</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220" w:type="dxa"/>
            <w:vAlign w:val="bottom"/>
          </w:tcPr>
          <w:p>
            <w:pPr>
              <w:ind w:left="6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(0.04)</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4"/>
                <w:szCs w:val="14"/>
                <w:color w:val="auto"/>
              </w:rPr>
            </w:pPr>
          </w:p>
        </w:tc>
      </w:tr>
      <w:tr>
        <w:trPr>
          <w:trHeight w:val="162"/>
        </w:trPr>
        <w:tc>
          <w:tcPr>
            <w:tcW w:w="8220" w:type="dxa"/>
            <w:vAlign w:val="bottom"/>
            <w:shd w:val="clear" w:color="auto" w:fill="CFF0FC"/>
          </w:tcPr>
          <w:p>
            <w:pPr>
              <w:ind w:left="6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(0.05)</w:t>
            </w:r>
          </w:p>
        </w:tc>
        <w:tc>
          <w:tcPr>
            <w:tcW w:w="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r>
      <w:tr>
        <w:trPr>
          <w:trHeight w:val="162"/>
        </w:trPr>
        <w:tc>
          <w:tcPr>
            <w:tcW w:w="8220" w:type="dxa"/>
            <w:vAlign w:val="bottom"/>
          </w:tcPr>
          <w:p>
            <w:pPr>
              <w:spacing w:after="0"/>
              <w:rPr>
                <w:sz w:val="20"/>
                <w:szCs w:val="20"/>
                <w:color w:val="auto"/>
              </w:rPr>
            </w:pPr>
            <w:r>
              <w:rPr>
                <w:rFonts w:ascii="Arial" w:cs="Arial" w:eastAsia="Arial" w:hAnsi="Arial"/>
                <w:sz w:val="14"/>
                <w:szCs w:val="14"/>
                <w:b w:val="1"/>
                <w:bCs w:val="1"/>
                <w:color w:val="auto"/>
              </w:rPr>
              <w:t>Weighted average Class A common stock outstanding:</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2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132,900,227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134,068,276</w:t>
            </w:r>
          </w:p>
        </w:tc>
        <w:tc>
          <w:tcPr>
            <w:tcW w:w="100" w:type="dxa"/>
            <w:vAlign w:val="bottom"/>
            <w:shd w:val="clear" w:color="auto" w:fill="CFF0FC"/>
          </w:tcPr>
          <w:p>
            <w:pPr>
              <w:spacing w:after="0"/>
              <w:rPr>
                <w:sz w:val="14"/>
                <w:szCs w:val="14"/>
                <w:color w:val="auto"/>
              </w:rPr>
            </w:pPr>
          </w:p>
        </w:tc>
      </w:tr>
      <w:tr>
        <w:trPr>
          <w:trHeight w:val="190"/>
        </w:trPr>
        <w:tc>
          <w:tcPr>
            <w:tcW w:w="8220" w:type="dxa"/>
            <w:vAlign w:val="bottom"/>
          </w:tcPr>
          <w:p>
            <w:pPr>
              <w:ind w:left="6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209,125,227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210,909,861</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-1620520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-1620520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-1200150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-1200150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-986155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-986155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-771525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-771525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9"/>
              </w:rPr>
              <w:t>Three Months Ended March</w:t>
            </w:r>
          </w:p>
        </w:tc>
      </w:tr>
      <w:tr>
        <w:trPr>
          <w:trHeight w:val="221"/>
        </w:trPr>
        <w:tc>
          <w:tcPr>
            <w:tcW w:w="8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8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8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(9,788)</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10,742</w:t>
            </w:r>
          </w:p>
        </w:tc>
        <w:tc>
          <w:tcPr>
            <w:tcW w:w="100" w:type="dxa"/>
            <w:vAlign w:val="bottom"/>
            <w:shd w:val="clear" w:color="auto" w:fill="CFF0FC"/>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(1,865)</w:t>
            </w:r>
          </w:p>
        </w:tc>
      </w:tr>
      <w:tr>
        <w:trPr>
          <w:trHeight w:val="203"/>
        </w:trPr>
        <w:tc>
          <w:tcPr>
            <w:tcW w:w="8480" w:type="dxa"/>
            <w:vAlign w:val="bottom"/>
          </w:tcPr>
          <w:p>
            <w:pPr>
              <w:ind w:left="80"/>
              <w:spacing w:after="0" w:line="202" w:lineRule="exact"/>
              <w:rPr>
                <w:sz w:val="20"/>
                <w:szCs w:val="20"/>
                <w:color w:val="auto"/>
              </w:rPr>
            </w:pPr>
            <w:r>
              <w:rPr>
                <w:rFonts w:ascii="Arial" w:cs="Arial" w:eastAsia="Arial" w:hAnsi="Arial"/>
                <w:sz w:val="18"/>
                <w:szCs w:val="18"/>
                <w:color w:val="auto"/>
              </w:rPr>
              <w:t>Unrealized gain (loss) on Note</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other comprehensive income (loss)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1,176</w:t>
            </w: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(1,773)</w:t>
            </w:r>
          </w:p>
        </w:tc>
      </w:tr>
      <w:tr>
        <w:trPr>
          <w:trHeight w:val="20"/>
        </w:trPr>
        <w:tc>
          <w:tcPr>
            <w:tcW w:w="8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480" w:type="dxa"/>
            <w:vAlign w:val="bottom"/>
          </w:tcPr>
          <w:p>
            <w:pPr>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(8,612)</w:t>
            </w:r>
          </w:p>
        </w:tc>
        <w:tc>
          <w:tcPr>
            <w:tcW w:w="2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8,969</w:t>
            </w:r>
          </w:p>
        </w:tc>
        <w:tc>
          <w:tcPr>
            <w:tcW w:w="100" w:type="dxa"/>
            <w:vAlign w:val="bottom"/>
          </w:tcPr>
          <w:p>
            <w:pPr>
              <w:spacing w:after="0"/>
              <w:rPr>
                <w:sz w:val="17"/>
                <w:szCs w:val="17"/>
                <w:color w:val="auto"/>
              </w:rPr>
            </w:pPr>
          </w:p>
        </w:tc>
      </w:tr>
      <w:tr>
        <w:trPr>
          <w:trHeight w:val="203"/>
        </w:trPr>
        <w:tc>
          <w:tcPr>
            <w:tcW w:w="8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attributable to redeemable noncontrolling interests</w:t>
            </w: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(3,846)</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4,665</w:t>
            </w:r>
          </w:p>
        </w:tc>
        <w:tc>
          <w:tcPr>
            <w:tcW w:w="100" w:type="dxa"/>
            <w:vAlign w:val="bottom"/>
            <w:shd w:val="clear" w:color="auto" w:fill="CFF0FC"/>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attributable to redeemable noncontrolling interests: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 attributable to redeemable noncontrolling interests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w:t>
            </w: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(676)</w:t>
            </w:r>
          </w:p>
        </w:tc>
      </w:tr>
      <w:tr>
        <w:trPr>
          <w:trHeight w:val="203"/>
        </w:trPr>
        <w:tc>
          <w:tcPr>
            <w:tcW w:w="8480" w:type="dxa"/>
            <w:vAlign w:val="bottom"/>
          </w:tcPr>
          <w:p>
            <w:pPr>
              <w:ind w:left="80"/>
              <w:spacing w:after="0" w:line="202" w:lineRule="exact"/>
              <w:rPr>
                <w:sz w:val="20"/>
                <w:szCs w:val="20"/>
                <w:color w:val="auto"/>
              </w:rPr>
            </w:pPr>
            <w:r>
              <w:rPr>
                <w:rFonts w:ascii="Arial" w:cs="Arial" w:eastAsia="Arial" w:hAnsi="Arial"/>
                <w:sz w:val="18"/>
                <w:szCs w:val="18"/>
                <w:color w:val="auto"/>
              </w:rPr>
              <w:t>Unrealized gain (loss) on Note attributable to redeemable noncontrolling interests</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other comprehensive income (loss) attributable to redeemable noncontrolling interests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429</w:t>
            </w: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(643)</w:t>
            </w:r>
          </w:p>
        </w:tc>
      </w:tr>
      <w:tr>
        <w:trPr>
          <w:trHeight w:val="20"/>
        </w:trPr>
        <w:tc>
          <w:tcPr>
            <w:tcW w:w="8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48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 (loss) attributable to Class A common stockholders</w:t>
            </w:r>
          </w:p>
        </w:tc>
        <w:tc>
          <w:tcPr>
            <w:tcW w:w="1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00"/>
              <w:spacing w:after="0" w:line="182" w:lineRule="exact"/>
              <w:rPr>
                <w:sz w:val="20"/>
                <w:szCs w:val="20"/>
                <w:color w:val="auto"/>
              </w:rPr>
            </w:pPr>
            <w:r>
              <w:rPr>
                <w:rFonts w:ascii="Arial" w:cs="Arial" w:eastAsia="Arial" w:hAnsi="Arial"/>
                <w:sz w:val="18"/>
                <w:szCs w:val="18"/>
                <w:b w:val="1"/>
                <w:bCs w:val="1"/>
                <w:color w:val="auto"/>
              </w:rPr>
              <w:t>(5,195)</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4,947</w:t>
            </w:r>
          </w:p>
        </w:tc>
        <w:tc>
          <w:tcPr>
            <w:tcW w:w="10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-950595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-162560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(in thousands, except share data)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6"/>
            <w:vMerge w:val="restart"/>
          </w:tcPr>
          <w:p>
            <w:pPr>
              <w:jc w:val="right"/>
              <w:ind w:right="60"/>
              <w:spacing w:after="0"/>
              <w:rPr>
                <w:sz w:val="20"/>
                <w:szCs w:val="20"/>
                <w:color w:val="auto"/>
              </w:rPr>
            </w:pPr>
            <w:r>
              <w:rPr>
                <w:rFonts w:ascii="Arial" w:cs="Arial" w:eastAsia="Arial" w:hAnsi="Arial"/>
                <w:sz w:val="13"/>
                <w:szCs w:val="13"/>
                <w:b w:val="1"/>
                <w:bCs w:val="1"/>
                <w:color w:val="auto"/>
                <w:w w:val="99"/>
              </w:rPr>
              <w:t>Class A 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5"/>
          </w:tcPr>
          <w:p>
            <w:pPr>
              <w:ind w:left="160"/>
              <w:spacing w:after="0"/>
              <w:rPr>
                <w:sz w:val="20"/>
                <w:szCs w:val="20"/>
                <w:color w:val="auto"/>
              </w:rPr>
            </w:pPr>
            <w:r>
              <w:rPr>
                <w:rFonts w:ascii="Arial" w:cs="Arial" w:eastAsia="Arial" w:hAnsi="Arial"/>
                <w:sz w:val="13"/>
                <w:szCs w:val="13"/>
                <w:b w:val="1"/>
                <w:bCs w:val="1"/>
                <w:color w:val="auto"/>
                <w:w w:val="98"/>
              </w:rPr>
              <w:t>Class B common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7"/>
            <w:vMerge w:val="restart"/>
          </w:tcPr>
          <w:p>
            <w:pPr>
              <w:jc w:val="right"/>
              <w:ind w:right="318"/>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Redeemable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other</w:t>
            </w: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3"/>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Amou</w:t>
            </w:r>
          </w:p>
        </w:tc>
        <w:tc>
          <w:tcPr>
            <w:tcW w:w="8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Accumulat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comprehensiv</w:t>
            </w:r>
          </w:p>
        </w:tc>
        <w:tc>
          <w:tcPr>
            <w:tcW w:w="6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sharehol</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noncontrolli</w:t>
            </w:r>
          </w:p>
        </w:tc>
        <w:tc>
          <w:tcPr>
            <w:tcW w:w="80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Shares</w:t>
            </w:r>
          </w:p>
        </w:tc>
        <w:tc>
          <w:tcPr>
            <w:tcW w:w="1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37"/>
              <w:spacing w:after="0" w:line="135"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5"/>
              </w:rPr>
              <w:t>e income</w:t>
            </w:r>
          </w:p>
        </w:tc>
        <w:tc>
          <w:tcPr>
            <w:tcW w:w="60" w:type="dxa"/>
            <w:vAlign w:val="bottom"/>
          </w:tcPr>
          <w:p>
            <w:pPr>
              <w:spacing w:after="0"/>
              <w:rPr>
                <w:sz w:val="11"/>
                <w:szCs w:val="11"/>
                <w:color w:val="auto"/>
              </w:rPr>
            </w:pPr>
          </w:p>
        </w:tc>
        <w:tc>
          <w:tcPr>
            <w:tcW w:w="6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ders'</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ng interests</w:t>
            </w:r>
          </w:p>
        </w:tc>
        <w:tc>
          <w:tcPr>
            <w:tcW w:w="2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gridSpan w:val="2"/>
          </w:tcPr>
          <w:p>
            <w:pPr>
              <w:jc w:val="center"/>
              <w:ind w:left="97"/>
              <w:spacing w:after="0"/>
              <w:rPr>
                <w:sz w:val="20"/>
                <w:szCs w:val="20"/>
                <w:color w:val="auto"/>
              </w:rPr>
            </w:pPr>
            <w:r>
              <w:rPr>
                <w:rFonts w:ascii="Arial" w:cs="Arial" w:eastAsia="Arial" w:hAnsi="Arial"/>
                <w:sz w:val="13"/>
                <w:szCs w:val="13"/>
                <w:b w:val="1"/>
                <w:bCs w:val="1"/>
                <w:color w:val="auto"/>
                <w:w w:val="97"/>
              </w:rPr>
              <w:t>nt</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3"/>
                <w:szCs w:val="13"/>
                <w:b w:val="1"/>
                <w:bCs w:val="1"/>
                <w:color w:val="auto"/>
              </w:rPr>
              <w:t>ed deficit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0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Balances at January 1,</w:t>
            </w:r>
          </w:p>
        </w:tc>
        <w:tc>
          <w:tcPr>
            <w:tcW w:w="1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481,742</w:t>
            </w:r>
          </w:p>
        </w:tc>
        <w:tc>
          <w:tcPr>
            <w:tcW w:w="240" w:type="dxa"/>
            <w:vAlign w:val="bottom"/>
            <w:tcBorders>
              <w:right w:val="single" w:sz="8" w:color="CFF0FC"/>
            </w:tcBorders>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141,167,31</w:t>
            </w:r>
          </w:p>
        </w:tc>
        <w:tc>
          <w:tcPr>
            <w:tcW w:w="160" w:type="dxa"/>
            <w:vAlign w:val="bottom"/>
            <w:shd w:val="clear" w:color="auto" w:fill="CFF0FC"/>
          </w:tcPr>
          <w:p>
            <w:pPr>
              <w:spacing w:after="0"/>
              <w:rPr>
                <w:sz w:val="9"/>
                <w:szCs w:val="9"/>
                <w:color w:val="auto"/>
              </w:rPr>
            </w:pPr>
          </w:p>
        </w:tc>
        <w:tc>
          <w:tcPr>
            <w:tcW w:w="160" w:type="dxa"/>
            <w:vAlign w:val="bottom"/>
            <w:gridSpan w:val="2"/>
            <w:vMerge w:val="restart"/>
            <w:shd w:val="clear" w:color="auto" w:fill="CFF0FC"/>
          </w:tcPr>
          <w:p>
            <w:pPr>
              <w:ind w:left="80"/>
              <w:spacing w:after="0"/>
              <w:rPr>
                <w:sz w:val="20"/>
                <w:szCs w:val="20"/>
                <w:color w:val="auto"/>
              </w:rPr>
            </w:pPr>
            <w:r>
              <w:rPr>
                <w:rFonts w:ascii="Arial" w:cs="Arial" w:eastAsia="Arial" w:hAnsi="Arial"/>
                <w:sz w:val="13"/>
                <w:szCs w:val="13"/>
                <w:b w:val="1"/>
                <w:bCs w:val="1"/>
                <w:color w:val="auto"/>
                <w:w w:val="82"/>
              </w:rPr>
              <w:t>$</w:t>
            </w:r>
          </w:p>
        </w:tc>
        <w:tc>
          <w:tcPr>
            <w:tcW w:w="3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1000" w:type="dxa"/>
            <w:vAlign w:val="bottom"/>
            <w:tcBorders>
              <w:right w:val="single" w:sz="8" w:color="CFF0FC"/>
            </w:tcBorders>
            <w:gridSpan w:val="4"/>
            <w:shd w:val="clear" w:color="auto" w:fill="CFF0FC"/>
          </w:tcPr>
          <w:p>
            <w:pPr>
              <w:jc w:val="right"/>
              <w:ind w:right="17"/>
              <w:spacing w:after="0" w:line="111" w:lineRule="exact"/>
              <w:rPr>
                <w:sz w:val="20"/>
                <w:szCs w:val="20"/>
                <w:color w:val="auto"/>
              </w:rPr>
            </w:pPr>
            <w:r>
              <w:rPr>
                <w:rFonts w:ascii="Arial" w:cs="Arial" w:eastAsia="Arial" w:hAnsi="Arial"/>
                <w:sz w:val="12"/>
                <w:szCs w:val="12"/>
                <w:b w:val="1"/>
                <w:bCs w:val="1"/>
                <w:color w:val="auto"/>
              </w:rPr>
              <w:t>76,225,0</w:t>
            </w:r>
          </w:p>
        </w:tc>
        <w:tc>
          <w:tcPr>
            <w:tcW w:w="180" w:type="dxa"/>
            <w:vAlign w:val="bottom"/>
            <w:tcBorders>
              <w:right w:val="single" w:sz="8" w:color="CFF0FC"/>
            </w:tcBorders>
            <w:shd w:val="clear" w:color="auto" w:fill="CFF0FC"/>
          </w:tcPr>
          <w:p>
            <w:pPr>
              <w:spacing w:after="0"/>
              <w:rPr>
                <w:sz w:val="9"/>
                <w:szCs w:val="9"/>
                <w:color w:val="auto"/>
              </w:rPr>
            </w:pPr>
          </w:p>
        </w:tc>
        <w:tc>
          <w:tcPr>
            <w:tcW w:w="260" w:type="dxa"/>
            <w:vAlign w:val="bottom"/>
            <w:vMerge w:val="restart"/>
            <w:shd w:val="clear" w:color="auto" w:fill="CFF0FC"/>
          </w:tcPr>
          <w:p>
            <w:pPr>
              <w:jc w:val="center"/>
              <w:ind w:right="117"/>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FF0FC"/>
          </w:tcPr>
          <w:p>
            <w:pPr>
              <w:spacing w:after="0"/>
              <w:rPr>
                <w:sz w:val="9"/>
                <w:szCs w:val="9"/>
                <w:color w:val="auto"/>
              </w:rPr>
            </w:pPr>
          </w:p>
        </w:tc>
        <w:tc>
          <w:tcPr>
            <w:tcW w:w="2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60" w:type="dxa"/>
            <w:vAlign w:val="bottom"/>
            <w:gridSpan w:val="2"/>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w:t>
            </w:r>
          </w:p>
        </w:tc>
        <w:tc>
          <w:tcPr>
            <w:tcW w:w="620" w:type="dxa"/>
            <w:vAlign w:val="bottom"/>
            <w:tcBorders>
              <w:right w:val="single" w:sz="8" w:color="CFF0FC"/>
            </w:tcBorders>
            <w:gridSpan w:val="2"/>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1,096,43</w:t>
            </w:r>
          </w:p>
        </w:tc>
        <w:tc>
          <w:tcPr>
            <w:tcW w:w="820" w:type="dxa"/>
            <w:vAlign w:val="bottom"/>
            <w:gridSpan w:val="3"/>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(7,291,49</w:t>
            </w:r>
          </w:p>
        </w:tc>
        <w:tc>
          <w:tcPr>
            <w:tcW w:w="80" w:type="dxa"/>
            <w:vAlign w:val="bottom"/>
            <w:shd w:val="clear" w:color="auto" w:fill="CFF0FC"/>
          </w:tcPr>
          <w:p>
            <w:pPr>
              <w:spacing w:after="0"/>
              <w:rPr>
                <w:sz w:val="9"/>
                <w:szCs w:val="9"/>
                <w:color w:val="auto"/>
              </w:rPr>
            </w:pPr>
          </w:p>
        </w:tc>
        <w:tc>
          <w:tcPr>
            <w:tcW w:w="780" w:type="dxa"/>
            <w:vAlign w:val="bottom"/>
            <w:gridSpan w:val="4"/>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(52,586)</w:t>
            </w:r>
          </w:p>
        </w:tc>
        <w:tc>
          <w:tcPr>
            <w:tcW w:w="14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(939,596)</w:t>
            </w:r>
          </w:p>
        </w:tc>
        <w:tc>
          <w:tcPr>
            <w:tcW w:w="2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747</w:t>
            </w: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105,01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2024</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w:t>
            </w:r>
          </w:p>
        </w:tc>
        <w:tc>
          <w:tcPr>
            <w:tcW w:w="160" w:type="dxa"/>
            <w:vAlign w:val="bottom"/>
            <w:shd w:val="clear" w:color="auto" w:fill="CFF0FC"/>
          </w:tcPr>
          <w:p>
            <w:pPr>
              <w:spacing w:after="0"/>
              <w:rPr>
                <w:sz w:val="13"/>
                <w:szCs w:val="13"/>
                <w:color w:val="auto"/>
              </w:rPr>
            </w:pPr>
          </w:p>
        </w:tc>
        <w:tc>
          <w:tcPr>
            <w:tcW w:w="160" w:type="dxa"/>
            <w:vAlign w:val="bottom"/>
            <w:gridSpan w:val="2"/>
            <w:vMerge w:val="continue"/>
            <w:shd w:val="clear" w:color="auto" w:fill="CFF0FC"/>
          </w:tcPr>
          <w:p>
            <w:pPr>
              <w:spacing w:after="0"/>
              <w:rPr>
                <w:sz w:val="13"/>
                <w:szCs w:val="13"/>
                <w:color w:val="auto"/>
              </w:rPr>
            </w:pPr>
          </w:p>
        </w:tc>
        <w:tc>
          <w:tcPr>
            <w:tcW w:w="380" w:type="dxa"/>
            <w:vAlign w:val="bottom"/>
            <w:gridSpan w:val="2"/>
            <w:vMerge w:val="continue"/>
            <w:shd w:val="clear" w:color="auto" w:fill="CFF0FC"/>
          </w:tcPr>
          <w:p>
            <w:pPr>
              <w:spacing w:after="0"/>
              <w:rPr>
                <w:sz w:val="13"/>
                <w:szCs w:val="13"/>
                <w:color w:val="auto"/>
              </w:rPr>
            </w:pPr>
          </w:p>
        </w:tc>
        <w:tc>
          <w:tcPr>
            <w:tcW w:w="1000" w:type="dxa"/>
            <w:vAlign w:val="bottom"/>
            <w:tcBorders>
              <w:right w:val="single" w:sz="8" w:color="CFF0FC"/>
            </w:tcBorders>
            <w:gridSpan w:val="4"/>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00</w:t>
            </w:r>
          </w:p>
        </w:tc>
        <w:tc>
          <w:tcPr>
            <w:tcW w:w="180" w:type="dxa"/>
            <w:vAlign w:val="bottom"/>
            <w:tcBorders>
              <w:right w:val="single" w:sz="8" w:color="CFF0FC"/>
            </w:tcBorders>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right w:val="single" w:sz="8" w:color="CFF0FC"/>
            </w:tcBorders>
            <w:vMerge w:val="continue"/>
            <w:shd w:val="clear" w:color="auto" w:fill="CFF0FC"/>
          </w:tcPr>
          <w:p>
            <w:pPr>
              <w:spacing w:after="0"/>
              <w:rPr>
                <w:sz w:val="13"/>
                <w:szCs w:val="13"/>
                <w:color w:val="auto"/>
              </w:rPr>
            </w:pPr>
          </w:p>
        </w:tc>
        <w:tc>
          <w:tcPr>
            <w:tcW w:w="260" w:type="dxa"/>
            <w:vAlign w:val="bottom"/>
            <w:gridSpan w:val="2"/>
            <w:vMerge w:val="continue"/>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7)</w:t>
            </w:r>
          </w:p>
        </w:tc>
        <w:tc>
          <w:tcPr>
            <w:tcW w:w="780" w:type="dxa"/>
            <w:vAlign w:val="bottom"/>
            <w:gridSpan w:val="4"/>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640" w:type="dxa"/>
            <w:vAlign w:val="bottom"/>
            <w:gridSpan w:val="3"/>
            <w:vMerge w:val="continue"/>
            <w:shd w:val="clear" w:color="auto" w:fill="CFF0FC"/>
          </w:tcPr>
          <w:p>
            <w:pPr>
              <w:spacing w:after="0"/>
              <w:rPr>
                <w:sz w:val="13"/>
                <w:szCs w:val="13"/>
                <w:color w:val="auto"/>
              </w:rPr>
            </w:pPr>
          </w:p>
        </w:tc>
        <w:tc>
          <w:tcPr>
            <w:tcW w:w="240" w:type="dxa"/>
            <w:vAlign w:val="bottom"/>
            <w:gridSpan w:val="3"/>
            <w:vMerge w:val="continue"/>
            <w:shd w:val="clear" w:color="auto" w:fill="CFF0FC"/>
          </w:tcPr>
          <w:p>
            <w:pPr>
              <w:spacing w:after="0"/>
              <w:rPr>
                <w:sz w:val="13"/>
                <w:szCs w:val="13"/>
                <w:color w:val="auto"/>
              </w:rPr>
            </w:pPr>
          </w:p>
        </w:tc>
        <w:tc>
          <w:tcPr>
            <w:tcW w:w="780" w:type="dxa"/>
            <w:vAlign w:val="bottom"/>
            <w:tcBorders>
              <w:right w:val="single" w:sz="8" w:color="CFF0FC"/>
            </w:tcBorders>
            <w:vMerge w:val="continue"/>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vMerge w:val="continue"/>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4,665</w:t>
            </w:r>
          </w:p>
        </w:tc>
        <w:tc>
          <w:tcPr>
            <w:tcW w:w="24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640" w:type="dxa"/>
            <w:vAlign w:val="bottom"/>
            <w:gridSpan w:val="3"/>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6,077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6,077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Issuances of Class A</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961,573</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18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3"/>
                <w:szCs w:val="13"/>
                <w:color w:val="auto"/>
              </w:rPr>
              <w:t>Net settlement of equity</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20"/>
                <w:szCs w:val="20"/>
                <w:color w:val="auto"/>
              </w:rPr>
            </w:pPr>
            <w:r>
              <w:rPr>
                <w:rFonts w:ascii="Arial" w:cs="Arial" w:eastAsia="Arial" w:hAnsi="Arial"/>
                <w:sz w:val="13"/>
                <w:szCs w:val="13"/>
                <w:color w:val="auto"/>
              </w:rPr>
              <w:t>incentive awards</w:t>
            </w:r>
          </w:p>
        </w:tc>
        <w:tc>
          <w:tcPr>
            <w:tcW w:w="1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(79,905)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3"/>
                <w:szCs w:val="13"/>
                <w:color w:val="auto"/>
              </w:rPr>
            </w:pPr>
          </w:p>
        </w:tc>
        <w:tc>
          <w:tcPr>
            <w:tcW w:w="640" w:type="dxa"/>
            <w:vAlign w:val="bottom"/>
            <w:gridSpan w:val="3"/>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Deemed contributions from</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former parent</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240" w:type="dxa"/>
            <w:vAlign w:val="bottom"/>
            <w:tcBorders>
              <w:right w:val="single" w:sz="8" w:color="CFF0FC"/>
            </w:tcBorders>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18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8,439</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640" w:type="dxa"/>
            <w:vAlign w:val="bottom"/>
            <w:gridSpan w:val="3"/>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8,439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Repurchases of Class A</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18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(715,000)</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(4,120)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(4,120)</w:t>
            </w: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3"/>
                <w:szCs w:val="13"/>
                <w:color w:val="auto"/>
              </w:rPr>
              <w:t>Tax distributions to</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(3,654)</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3"/>
                <w:szCs w:val="13"/>
                <w:color w:val="auto"/>
              </w:rPr>
            </w:pPr>
          </w:p>
        </w:tc>
        <w:tc>
          <w:tcPr>
            <w:tcW w:w="640" w:type="dxa"/>
            <w:vAlign w:val="bottom"/>
            <w:gridSpan w:val="3"/>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FF0FC"/>
          </w:tcPr>
          <w:p>
            <w:pPr>
              <w:spacing w:after="0"/>
              <w:rPr>
                <w:sz w:val="11"/>
                <w:szCs w:val="11"/>
                <w:color w:val="auto"/>
              </w:rPr>
            </w:pPr>
          </w:p>
        </w:tc>
        <w:tc>
          <w:tcPr>
            <w:tcW w:w="8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(643)</w:t>
            </w:r>
          </w:p>
        </w:tc>
        <w:tc>
          <w:tcPr>
            <w:tcW w:w="96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3"/>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(1,130)</w:t>
            </w:r>
          </w:p>
        </w:tc>
        <w:tc>
          <w:tcPr>
            <w:tcW w:w="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(1,130)</w:t>
            </w: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3"/>
                <w:szCs w:val="13"/>
                <w:color w:val="auto"/>
              </w:rPr>
              <w:t>Subsequent</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remeasurement of</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(25,597)</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25,597</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640" w:type="dxa"/>
            <w:vAlign w:val="bottom"/>
            <w:gridSpan w:val="3"/>
            <w:vMerge w:val="restart"/>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restart"/>
          </w:tcPr>
          <w:p>
            <w:pPr>
              <w:jc w:val="right"/>
              <w:ind w:right="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25,597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w:t>
            </w:r>
          </w:p>
        </w:tc>
        <w:tc>
          <w:tcPr>
            <w:tcW w:w="1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456,588</w:t>
            </w:r>
          </w:p>
        </w:tc>
        <w:tc>
          <w:tcPr>
            <w:tcW w:w="240" w:type="dxa"/>
            <w:vAlign w:val="bottom"/>
            <w:tcBorders>
              <w:right w:val="single" w:sz="8" w:color="CFF0FC"/>
            </w:tcBorders>
            <w:shd w:val="clear" w:color="auto" w:fill="CFF0FC"/>
          </w:tcPr>
          <w:p>
            <w:pPr>
              <w:spacing w:after="0"/>
              <w:rPr>
                <w:sz w:val="12"/>
                <w:szCs w:val="12"/>
                <w:color w:val="auto"/>
              </w:rPr>
            </w:pPr>
          </w:p>
        </w:tc>
        <w:tc>
          <w:tcPr>
            <w:tcW w:w="8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142,048,97</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gridSpan w:val="2"/>
            <w:shd w:val="clear" w:color="auto" w:fill="CFF0FC"/>
          </w:tcPr>
          <w:p>
            <w:pPr>
              <w:spacing w:after="0"/>
              <w:rPr>
                <w:sz w:val="12"/>
                <w:szCs w:val="12"/>
                <w:color w:val="auto"/>
              </w:rPr>
            </w:pPr>
          </w:p>
        </w:tc>
        <w:tc>
          <w:tcPr>
            <w:tcW w:w="760" w:type="dxa"/>
            <w:vAlign w:val="bottom"/>
            <w:tcBorders>
              <w:top w:val="single" w:sz="8" w:color="auto"/>
              <w:right w:val="single" w:sz="8" w:color="CFF0FC"/>
            </w:tcBorders>
            <w:gridSpan w:val="2"/>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rPr>
              <w:t>76,225,0</w:t>
            </w:r>
          </w:p>
        </w:tc>
        <w:tc>
          <w:tcPr>
            <w:tcW w:w="180" w:type="dxa"/>
            <w:vAlign w:val="bottom"/>
            <w:tcBorders>
              <w:right w:val="single" w:sz="8" w:color="CFF0FC"/>
            </w:tcBorders>
            <w:shd w:val="clear" w:color="auto" w:fill="CFF0FC"/>
          </w:tcPr>
          <w:p>
            <w:pPr>
              <w:spacing w:after="0"/>
              <w:rPr>
                <w:sz w:val="12"/>
                <w:szCs w:val="12"/>
                <w:color w:val="auto"/>
              </w:rPr>
            </w:pPr>
          </w:p>
        </w:tc>
        <w:tc>
          <w:tcPr>
            <w:tcW w:w="260" w:type="dxa"/>
            <w:vAlign w:val="bottom"/>
            <w:tcBorders>
              <w:top w:val="single" w:sz="8" w:color="auto"/>
            </w:tcBorders>
            <w:vMerge w:val="restart"/>
            <w:shd w:val="clear" w:color="auto" w:fill="CFF0FC"/>
          </w:tcPr>
          <w:p>
            <w:pPr>
              <w:jc w:val="center"/>
              <w:ind w:right="117"/>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right w:val="single" w:sz="8" w:color="CFF0FC"/>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1,130,13</w:t>
            </w:r>
          </w:p>
        </w:tc>
        <w:tc>
          <w:tcPr>
            <w:tcW w:w="160" w:type="dxa"/>
            <w:vAlign w:val="bottom"/>
            <w:shd w:val="clear" w:color="auto" w:fill="CFF0FC"/>
          </w:tcPr>
          <w:p>
            <w:pPr>
              <w:spacing w:after="0"/>
              <w:rPr>
                <w:sz w:val="12"/>
                <w:szCs w:val="12"/>
                <w:color w:val="auto"/>
              </w:rPr>
            </w:pPr>
          </w:p>
        </w:tc>
        <w:tc>
          <w:tcPr>
            <w:tcW w:w="6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(8,006,49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94"/>
              </w:rPr>
              <w:t>$ (56,706</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(933,519</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(383)</w:t>
            </w: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139,55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FF0FC"/>
          </w:tcPr>
          <w:p>
            <w:pPr>
              <w:spacing w:after="0" w:line="115" w:lineRule="exact"/>
              <w:rPr>
                <w:sz w:val="20"/>
                <w:szCs w:val="20"/>
                <w:color w:val="auto"/>
              </w:rPr>
            </w:pPr>
            <w:r>
              <w:rPr>
                <w:rFonts w:ascii="Arial" w:cs="Arial" w:eastAsia="Arial" w:hAnsi="Arial"/>
                <w:sz w:val="13"/>
                <w:szCs w:val="13"/>
                <w:b w:val="1"/>
                <w:bCs w:val="1"/>
                <w:color w:val="auto"/>
              </w:rPr>
              <w:t>2024</w:t>
            </w:r>
          </w:p>
        </w:tc>
        <w:tc>
          <w:tcPr>
            <w:tcW w:w="180" w:type="dxa"/>
            <w:vAlign w:val="bottom"/>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9</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7"/>
              <w:spacing w:after="0" w:line="102" w:lineRule="exact"/>
              <w:rPr>
                <w:sz w:val="20"/>
                <w:szCs w:val="20"/>
                <w:color w:val="auto"/>
              </w:rPr>
            </w:pPr>
            <w:r>
              <w:rPr>
                <w:rFonts w:ascii="Arial" w:cs="Arial" w:eastAsia="Arial" w:hAnsi="Arial"/>
                <w:sz w:val="10"/>
                <w:szCs w:val="10"/>
                <w:b w:val="1"/>
                <w:bCs w:val="1"/>
                <w:color w:val="auto"/>
              </w:rPr>
              <w:t>00</w:t>
            </w:r>
          </w:p>
        </w:tc>
        <w:tc>
          <w:tcPr>
            <w:tcW w:w="180" w:type="dxa"/>
            <w:vAlign w:val="bottom"/>
            <w:tcBorders>
              <w:right w:val="single" w:sz="8" w:color="CFF0FC"/>
            </w:tcBorders>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tcBorders>
              <w:right w:val="single" w:sz="8" w:color="CFF0FC"/>
            </w:tcBorders>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7</w:t>
            </w:r>
          </w:p>
        </w:tc>
        <w:tc>
          <w:tcPr>
            <w:tcW w:w="16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20"/>
              <w:spacing w:after="0" w:line="102" w:lineRule="exact"/>
              <w:rPr>
                <w:sz w:val="20"/>
                <w:szCs w:val="20"/>
                <w:color w:val="auto"/>
              </w:rPr>
            </w:pPr>
            <w:r>
              <w:rPr>
                <w:rFonts w:ascii="Arial" w:cs="Arial" w:eastAsia="Arial" w:hAnsi="Arial"/>
                <w:sz w:val="10"/>
                <w:szCs w:val="10"/>
                <w:b w:val="1"/>
                <w:bCs w:val="1"/>
                <w:color w:val="auto"/>
              </w:rPr>
              <w:t>7)</w:t>
            </w:r>
          </w:p>
        </w:tc>
        <w:tc>
          <w:tcPr>
            <w:tcW w:w="140" w:type="dxa"/>
            <w:vAlign w:val="bottom"/>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c>
          <w:tcPr>
            <w:tcW w:w="1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780" w:type="dxa"/>
            <w:vAlign w:val="bottom"/>
            <w:tcBorders>
              <w:right w:val="single" w:sz="8" w:color="CFF0FC"/>
            </w:tcBorders>
            <w:vMerge w:val="continue"/>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6"/>
            <w:vMerge w:val="restart"/>
          </w:tcPr>
          <w:p>
            <w:pPr>
              <w:jc w:val="right"/>
              <w:ind w:right="140"/>
              <w:spacing w:after="0"/>
              <w:rPr>
                <w:sz w:val="20"/>
                <w:szCs w:val="20"/>
                <w:color w:val="auto"/>
              </w:rPr>
            </w:pPr>
            <w:r>
              <w:rPr>
                <w:rFonts w:ascii="Arial" w:cs="Arial" w:eastAsia="Arial" w:hAnsi="Arial"/>
                <w:sz w:val="13"/>
                <w:szCs w:val="13"/>
                <w:b w:val="1"/>
                <w:bCs w:val="1"/>
                <w:color w:val="auto"/>
                <w:w w:val="93"/>
              </w:rPr>
              <w:t>Class A common stock</w:t>
            </w:r>
          </w:p>
        </w:tc>
        <w:tc>
          <w:tcPr>
            <w:tcW w:w="120" w:type="dxa"/>
            <w:vAlign w:val="bottom"/>
          </w:tcPr>
          <w:p>
            <w:pPr>
              <w:spacing w:after="0"/>
              <w:rPr>
                <w:sz w:val="24"/>
                <w:szCs w:val="24"/>
                <w:color w:val="auto"/>
              </w:rPr>
            </w:pPr>
          </w:p>
        </w:tc>
        <w:tc>
          <w:tcPr>
            <w:tcW w:w="1340" w:type="dxa"/>
            <w:vAlign w:val="bottom"/>
            <w:gridSpan w:val="6"/>
          </w:tcPr>
          <w:p>
            <w:pPr>
              <w:ind w:left="120"/>
              <w:spacing w:after="0"/>
              <w:rPr>
                <w:sz w:val="20"/>
                <w:szCs w:val="20"/>
                <w:color w:val="auto"/>
              </w:rPr>
            </w:pPr>
            <w:r>
              <w:rPr>
                <w:rFonts w:ascii="Arial" w:cs="Arial" w:eastAsia="Arial" w:hAnsi="Arial"/>
                <w:sz w:val="13"/>
                <w:szCs w:val="13"/>
                <w:b w:val="1"/>
                <w:bCs w:val="1"/>
                <w:color w:val="auto"/>
              </w:rPr>
              <w:t>Class B common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7"/>
            <w:vMerge w:val="restart"/>
          </w:tcPr>
          <w:p>
            <w:pPr>
              <w:ind w:left="12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vMerge w:val="restart"/>
          </w:tcPr>
          <w:p>
            <w:pPr>
              <w:jc w:val="center"/>
              <w:ind w:right="320"/>
              <w:spacing w:after="0"/>
              <w:rPr>
                <w:sz w:val="20"/>
                <w:szCs w:val="20"/>
                <w:color w:val="auto"/>
              </w:rPr>
            </w:pPr>
            <w:r>
              <w:rPr>
                <w:rFonts w:ascii="Arial" w:cs="Arial" w:eastAsia="Arial" w:hAnsi="Arial"/>
                <w:sz w:val="13"/>
                <w:szCs w:val="13"/>
                <w:b w:val="1"/>
                <w:bCs w:val="1"/>
                <w:color w:val="auto"/>
                <w:w w:val="95"/>
              </w:rPr>
              <w:t>Accumulated</w:t>
            </w:r>
          </w:p>
        </w:tc>
        <w:tc>
          <w:tcPr>
            <w:tcW w:w="6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1"/>
        </w:trPr>
        <w:tc>
          <w:tcPr>
            <w:tcW w:w="170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Redeemable</w:t>
            </w:r>
          </w:p>
        </w:tc>
        <w:tc>
          <w:tcPr>
            <w:tcW w:w="8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Additional</w:t>
            </w: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rPr>
              <w:t>Amou</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7"/>
              </w:rPr>
              <w:t>Amou</w:t>
            </w:r>
          </w:p>
        </w:tc>
        <w:tc>
          <w:tcPr>
            <w:tcW w:w="20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Accumulat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8"/>
              </w:rPr>
              <w:t>other</w:t>
            </w:r>
          </w:p>
        </w:tc>
        <w:tc>
          <w:tcPr>
            <w:tcW w:w="6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sharehol</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w:t>
            </w:r>
          </w:p>
        </w:tc>
        <w:tc>
          <w:tcPr>
            <w:tcW w:w="800" w:type="dxa"/>
            <w:vAlign w:val="bottom"/>
            <w:vMerge w:val="restart"/>
          </w:tcPr>
          <w:p>
            <w:pPr>
              <w:jc w:val="right"/>
              <w:ind w:right="178"/>
              <w:spacing w:after="0"/>
              <w:rPr>
                <w:sz w:val="20"/>
                <w:szCs w:val="20"/>
                <w:color w:val="auto"/>
              </w:rPr>
            </w:pPr>
            <w:r>
              <w:rPr>
                <w:rFonts w:ascii="Arial" w:cs="Arial" w:eastAsia="Arial" w:hAnsi="Arial"/>
                <w:sz w:val="13"/>
                <w:szCs w:val="13"/>
                <w:b w:val="1"/>
                <w:bCs w:val="1"/>
                <w:color w:val="auto"/>
              </w:rPr>
              <w:t>Shares</w:t>
            </w:r>
          </w:p>
        </w:tc>
        <w:tc>
          <w:tcPr>
            <w:tcW w:w="160" w:type="dxa"/>
            <w:vAlign w:val="bottom"/>
            <w:vMerge w:val="restart"/>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220" w:type="dxa"/>
            <w:vAlign w:val="bottom"/>
            <w:vMerge w:val="restart"/>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jc w:val="right"/>
              <w:ind w:right="297"/>
              <w:spacing w:after="0" w:line="135" w:lineRule="exact"/>
              <w:rPr>
                <w:sz w:val="20"/>
                <w:szCs w:val="20"/>
                <w:color w:val="auto"/>
              </w:rPr>
            </w:pPr>
            <w:r>
              <w:rPr>
                <w:rFonts w:ascii="Arial" w:cs="Arial" w:eastAsia="Arial" w:hAnsi="Arial"/>
                <w:sz w:val="13"/>
                <w:szCs w:val="13"/>
                <w:b w:val="1"/>
                <w:bCs w:val="1"/>
                <w:color w:val="auto"/>
              </w:rPr>
              <w:t>paid-in</w:t>
            </w:r>
          </w:p>
        </w:tc>
        <w:tc>
          <w:tcPr>
            <w:tcW w:w="680" w:type="dxa"/>
            <w:vAlign w:val="bottom"/>
            <w:gridSpan w:val="2"/>
            <w:vMerge w:val="restart"/>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220" w:type="dxa"/>
            <w:vAlign w:val="bottom"/>
            <w:gridSpan w:val="2"/>
            <w:vMerge w:val="restart"/>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gridSpan w:val="2"/>
            <w:vMerge w:val="restart"/>
          </w:tcPr>
          <w:p>
            <w:pPr>
              <w:spacing w:after="0"/>
              <w:rPr>
                <w:sz w:val="11"/>
                <w:szCs w:val="11"/>
                <w:color w:val="auto"/>
              </w:rPr>
            </w:pPr>
          </w:p>
        </w:tc>
        <w:tc>
          <w:tcPr>
            <w:tcW w:w="88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comprehensiv</w:t>
            </w:r>
          </w:p>
        </w:tc>
        <w:tc>
          <w:tcPr>
            <w:tcW w:w="6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ders'</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ng interests</w:t>
            </w:r>
          </w:p>
        </w:tc>
        <w:tc>
          <w:tcPr>
            <w:tcW w:w="2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1"/>
              </w:rPr>
              <w:t>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1"/>
              </w:rPr>
              <w:t>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ed deficit</w:t>
            </w: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97"/>
              </w:rPr>
              <w:t>e loss</w:t>
            </w:r>
          </w:p>
        </w:tc>
        <w:tc>
          <w:tcPr>
            <w:tcW w:w="220" w:type="dxa"/>
            <w:vAlign w:val="bottom"/>
          </w:tcPr>
          <w:p>
            <w:pPr>
              <w:spacing w:after="0"/>
              <w:rPr>
                <w:sz w:val="13"/>
                <w:szCs w:val="13"/>
                <w:color w:val="auto"/>
              </w:rPr>
            </w:pPr>
          </w:p>
        </w:tc>
        <w:tc>
          <w:tcPr>
            <w:tcW w:w="56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0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Balances at January 1,</w:t>
            </w:r>
          </w:p>
        </w:tc>
        <w:tc>
          <w:tcPr>
            <w:tcW w:w="1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352,922</w:t>
            </w:r>
          </w:p>
        </w:tc>
        <w:tc>
          <w:tcPr>
            <w:tcW w:w="240" w:type="dxa"/>
            <w:vAlign w:val="bottom"/>
            <w:tcBorders>
              <w:right w:val="single" w:sz="8" w:color="CFF0FC"/>
            </w:tcBorders>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143,819,49</w:t>
            </w:r>
          </w:p>
        </w:tc>
        <w:tc>
          <w:tcPr>
            <w:tcW w:w="16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100" w:type="dxa"/>
            <w:vAlign w:val="bottom"/>
            <w:shd w:val="clear" w:color="auto" w:fill="CFF0FC"/>
          </w:tcPr>
          <w:p>
            <w:pPr>
              <w:spacing w:after="0"/>
              <w:rPr>
                <w:sz w:val="9"/>
                <w:szCs w:val="9"/>
                <w:color w:val="auto"/>
              </w:rPr>
            </w:pPr>
          </w:p>
        </w:tc>
        <w:tc>
          <w:tcPr>
            <w:tcW w:w="780" w:type="dxa"/>
            <w:vAlign w:val="bottom"/>
            <w:gridSpan w:val="3"/>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76,225,0</w:t>
            </w:r>
          </w:p>
        </w:tc>
        <w:tc>
          <w:tcPr>
            <w:tcW w:w="220" w:type="dxa"/>
            <w:vAlign w:val="bottom"/>
            <w:tcBorders>
              <w:right w:val="single" w:sz="8" w:color="CFF0FC"/>
            </w:tcBorders>
            <w:shd w:val="clear" w:color="auto" w:fill="CFF0FC"/>
          </w:tcPr>
          <w:p>
            <w:pPr>
              <w:spacing w:after="0"/>
              <w:rPr>
                <w:sz w:val="9"/>
                <w:szCs w:val="9"/>
                <w:color w:val="auto"/>
              </w:rPr>
            </w:pPr>
          </w:p>
        </w:tc>
        <w:tc>
          <w:tcPr>
            <w:tcW w:w="180" w:type="dxa"/>
            <w:vAlign w:val="bottom"/>
            <w:tcBorders>
              <w:right w:val="single" w:sz="8" w:color="CFF0FC"/>
            </w:tcBorders>
            <w:vMerge w:val="restart"/>
            <w:shd w:val="clear" w:color="auto" w:fill="CFF0FC"/>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660" w:type="dxa"/>
            <w:vAlign w:val="bottom"/>
            <w:gridSpan w:val="3"/>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1,267,71</w:t>
            </w:r>
          </w:p>
        </w:tc>
        <w:tc>
          <w:tcPr>
            <w:tcW w:w="220" w:type="dxa"/>
            <w:vAlign w:val="bottom"/>
            <w:tcBorders>
              <w:right w:val="single" w:sz="8" w:color="CFF0FC"/>
            </w:tcBorders>
            <w:shd w:val="clear" w:color="auto" w:fill="CFF0FC"/>
          </w:tcPr>
          <w:p>
            <w:pPr>
              <w:spacing w:after="0"/>
              <w:rPr>
                <w:sz w:val="9"/>
                <w:szCs w:val="9"/>
                <w:color w:val="auto"/>
              </w:rPr>
            </w:pPr>
          </w:p>
        </w:tc>
        <w:tc>
          <w:tcPr>
            <w:tcW w:w="68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(11,433,7</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gridSpan w:val="3"/>
            <w:vMerge w:val="restart"/>
            <w:shd w:val="clear" w:color="auto" w:fill="CFF0FC"/>
          </w:tcPr>
          <w:p>
            <w:pPr>
              <w:jc w:val="right"/>
              <w:ind w:right="58"/>
              <w:spacing w:after="0"/>
              <w:rPr>
                <w:sz w:val="20"/>
                <w:szCs w:val="20"/>
                <w:color w:val="auto"/>
              </w:rPr>
            </w:pPr>
            <w:r>
              <w:rPr>
                <w:rFonts w:ascii="Arial" w:cs="Arial" w:eastAsia="Arial" w:hAnsi="Arial"/>
                <w:sz w:val="13"/>
                <w:szCs w:val="13"/>
                <w:b w:val="1"/>
                <w:bCs w:val="1"/>
                <w:color w:val="auto"/>
                <w:w w:val="97"/>
              </w:rPr>
              <w:t>$ (75,568)</w:t>
            </w:r>
          </w:p>
        </w:tc>
        <w:tc>
          <w:tcPr>
            <w:tcW w:w="8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3"/>
            <w:vMerge w:val="restart"/>
            <w:shd w:val="clear" w:color="auto" w:fill="CFF0FC"/>
          </w:tcPr>
          <w:p>
            <w:pPr>
              <w:jc w:val="right"/>
              <w:ind w:right="38"/>
              <w:spacing w:after="0"/>
              <w:rPr>
                <w:sz w:val="20"/>
                <w:szCs w:val="20"/>
                <w:color w:val="auto"/>
              </w:rPr>
            </w:pPr>
            <w:r>
              <w:rPr>
                <w:rFonts w:ascii="Arial" w:cs="Arial" w:eastAsia="Arial" w:hAnsi="Arial"/>
                <w:sz w:val="13"/>
                <w:szCs w:val="13"/>
                <w:b w:val="1"/>
                <w:bCs w:val="1"/>
                <w:color w:val="auto"/>
              </w:rPr>
              <w:t>(930,171)</w:t>
            </w:r>
          </w:p>
        </w:tc>
        <w:tc>
          <w:tcPr>
            <w:tcW w:w="80" w:type="dxa"/>
            <w:vAlign w:val="bottom"/>
            <w:shd w:val="clear" w:color="auto" w:fill="CFF0FC"/>
          </w:tcPr>
          <w:p>
            <w:pPr>
              <w:spacing w:after="0"/>
              <w:rPr>
                <w:sz w:val="9"/>
                <w:szCs w:val="9"/>
                <w:color w:val="auto"/>
              </w:rPr>
            </w:pPr>
          </w:p>
        </w:tc>
        <w:tc>
          <w:tcPr>
            <w:tcW w:w="1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9"/>
                <w:szCs w:val="9"/>
                <w:color w:val="auto"/>
              </w:rPr>
            </w:pPr>
          </w:p>
        </w:tc>
        <w:tc>
          <w:tcPr>
            <w:tcW w:w="7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(880)</w:t>
            </w:r>
          </w:p>
        </w:tc>
        <w:tc>
          <w:tcPr>
            <w:tcW w:w="220" w:type="dxa"/>
            <w:vAlign w:val="bottom"/>
            <w:tcBorders>
              <w:right w:val="single" w:sz="8" w:color="CFF0FC"/>
            </w:tcBorders>
            <w:shd w:val="clear" w:color="auto" w:fill="CFF0FC"/>
          </w:tcPr>
          <w:p>
            <w:pPr>
              <w:spacing w:after="0"/>
              <w:rPr>
                <w:sz w:val="9"/>
                <w:szCs w:val="9"/>
                <w:color w:val="auto"/>
              </w:rPr>
            </w:pPr>
          </w:p>
        </w:tc>
        <w:tc>
          <w:tcPr>
            <w:tcW w:w="56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6"/>
              </w:rPr>
              <w:t>$ 261,113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2025</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w:t>
            </w:r>
          </w:p>
        </w:tc>
        <w:tc>
          <w:tcPr>
            <w:tcW w:w="16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b w:val="1"/>
                <w:bCs w:val="1"/>
                <w:color w:val="auto"/>
              </w:rPr>
              <w:t>00</w:t>
            </w:r>
          </w:p>
        </w:tc>
        <w:tc>
          <w:tcPr>
            <w:tcW w:w="22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2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49)</w:t>
            </w:r>
          </w:p>
        </w:tc>
        <w:tc>
          <w:tcPr>
            <w:tcW w:w="80" w:type="dxa"/>
            <w:vAlign w:val="bottom"/>
            <w:shd w:val="clear" w:color="auto" w:fill="CFF0FC"/>
          </w:tcPr>
          <w:p>
            <w:pPr>
              <w:spacing w:after="0"/>
              <w:rPr>
                <w:sz w:val="13"/>
                <w:szCs w:val="13"/>
                <w:color w:val="auto"/>
              </w:rPr>
            </w:pPr>
          </w:p>
        </w:tc>
        <w:tc>
          <w:tcPr>
            <w:tcW w:w="70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66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CFF0FC"/>
            </w:tcBorders>
            <w:vMerge w:val="continue"/>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56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(3,846)</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gridSpan w:val="3"/>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(5,942)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(5,942)</w:t>
            </w: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Issuances of Class A</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2,729,928</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10,935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gridSpan w:val="3"/>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10,935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Repurchases of Class A</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7" w:lineRule="exact"/>
              <w:rPr>
                <w:sz w:val="20"/>
                <w:szCs w:val="20"/>
                <w:color w:val="auto"/>
              </w:rPr>
            </w:pPr>
            <w:r>
              <w:rPr>
                <w:rFonts w:ascii="Arial" w:cs="Arial" w:eastAsia="Arial" w:hAnsi="Arial"/>
                <w:sz w:val="13"/>
                <w:szCs w:val="13"/>
                <w:color w:val="auto"/>
              </w:rPr>
              <w:t>(2,378,51</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58"/>
              <w:spacing w:after="0"/>
              <w:rPr>
                <w:sz w:val="20"/>
                <w:szCs w:val="20"/>
                <w:color w:val="auto"/>
              </w:rPr>
            </w:pPr>
            <w:r>
              <w:rPr>
                <w:rFonts w:ascii="Arial" w:cs="Arial" w:eastAsia="Arial" w:hAnsi="Arial"/>
                <w:sz w:val="13"/>
                <w:szCs w:val="13"/>
                <w:color w:val="auto"/>
              </w:rPr>
              <w:t>(6,917)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(6,917)</w:t>
            </w: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3"/>
                <w:szCs w:val="13"/>
                <w:color w:val="auto"/>
              </w:rPr>
              <w:t>Tax distributions to</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(1,689)</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3"/>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Other comprehensive</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income</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240" w:type="dxa"/>
            <w:vAlign w:val="bottom"/>
            <w:tcBorders>
              <w:right w:val="single" w:sz="8" w:color="CFF0FC"/>
            </w:tcBorders>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747</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3"/>
                <w:szCs w:val="13"/>
                <w:color w:val="auto"/>
              </w:rPr>
              <w:t>Net settlement of equity</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20"/>
                <w:szCs w:val="20"/>
                <w:color w:val="auto"/>
              </w:rPr>
            </w:pPr>
            <w:r>
              <w:rPr>
                <w:rFonts w:ascii="Arial" w:cs="Arial" w:eastAsia="Arial" w:hAnsi="Arial"/>
                <w:sz w:val="13"/>
                <w:szCs w:val="13"/>
                <w:color w:val="auto"/>
              </w:rPr>
              <w:t>incentive awards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(318,445)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97"/>
              <w:spacing w:after="0"/>
              <w:rPr>
                <w:sz w:val="20"/>
                <w:szCs w:val="20"/>
                <w:color w:val="auto"/>
              </w:rPr>
            </w:pPr>
            <w:r>
              <w:rPr>
                <w:rFonts w:ascii="Arial" w:cs="Arial" w:eastAsia="Arial" w:hAnsi="Arial"/>
                <w:sz w:val="13"/>
                <w:szCs w:val="13"/>
                <w:color w:val="auto"/>
              </w:rPr>
              <w:t>(1,411)</w:t>
            </w:r>
          </w:p>
        </w:tc>
        <w:tc>
          <w:tcPr>
            <w:tcW w:w="16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3"/>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17"/>
        </w:trPr>
        <w:tc>
          <w:tcPr>
            <w:tcW w:w="17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Subsequent</w:t>
            </w: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remeasurement of</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shd w:val="clear" w:color="auto" w:fill="CFF0FC"/>
          </w:tcPr>
          <w:p>
            <w:pPr>
              <w:spacing w:after="0"/>
              <w:rPr>
                <w:sz w:val="11"/>
                <w:szCs w:val="11"/>
                <w:color w:val="auto"/>
              </w:rPr>
            </w:pPr>
          </w:p>
        </w:tc>
        <w:tc>
          <w:tcPr>
            <w:tcW w:w="8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(122,189)</w:t>
            </w:r>
          </w:p>
        </w:tc>
        <w:tc>
          <w:tcPr>
            <w:tcW w:w="9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1"/>
                <w:szCs w:val="11"/>
                <w:color w:val="auto"/>
              </w:rPr>
            </w:pPr>
          </w:p>
        </w:tc>
        <w:tc>
          <w:tcPr>
            <w:tcW w:w="66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122,189</w:t>
            </w:r>
          </w:p>
        </w:tc>
        <w:tc>
          <w:tcPr>
            <w:tcW w:w="2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40" w:type="dxa"/>
            <w:vAlign w:val="bottom"/>
            <w:gridSpan w:val="3"/>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3"/>
            <w:vMerge w:val="restart"/>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tcBorders>
              <w:right w:val="single" w:sz="8" w:color="CFF0FC"/>
            </w:tcBorders>
            <w:gridSpan w:val="2"/>
            <w:vMerge w:val="restart"/>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122,189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0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2"/>
            <w:vMerge w:val="continue"/>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vMerge w:val="continue"/>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60" w:type="dxa"/>
            <w:vAlign w:val="bottom"/>
            <w:gridSpan w:val="3"/>
            <w:vMerge w:val="continue"/>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gridSpan w:val="3"/>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gridSpan w:val="3"/>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3"/>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tcBorders>
              <w:right w:val="single" w:sz="8" w:color="CFF0FC"/>
            </w:tcBorders>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700" w:type="dxa"/>
            <w:vAlign w:val="bottom"/>
            <w:tcBorders>
              <w:top w:val="single" w:sz="8" w:color="CFF0FC"/>
            </w:tcBorders>
          </w:tcPr>
          <w:p>
            <w:pPr>
              <w:spacing w:after="0" w:line="123" w:lineRule="exact"/>
              <w:rPr>
                <w:sz w:val="20"/>
                <w:szCs w:val="20"/>
                <w:color w:val="auto"/>
              </w:rPr>
            </w:pPr>
            <w:r>
              <w:rPr>
                <w:rFonts w:ascii="Arial" w:cs="Arial" w:eastAsia="Arial" w:hAnsi="Arial"/>
                <w:sz w:val="13"/>
                <w:szCs w:val="13"/>
                <w:b w:val="1"/>
                <w:bCs w:val="1"/>
                <w:color w:val="auto"/>
              </w:rPr>
              <w:t>Balances at March 31,</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146,230,98</w:t>
            </w: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3"/>
                <w:szCs w:val="13"/>
                <w:b w:val="1"/>
                <w:bCs w:val="1"/>
                <w:color w:val="auto"/>
              </w:rPr>
              <w:t>76,225,0</w:t>
            </w: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gridSpan w:val="3"/>
          </w:tcPr>
          <w:p>
            <w:pPr>
              <w:jc w:val="right"/>
              <w:spacing w:after="0" w:line="123" w:lineRule="exact"/>
              <w:rPr>
                <w:sz w:val="20"/>
                <w:szCs w:val="20"/>
                <w:color w:val="auto"/>
              </w:rPr>
            </w:pPr>
            <w:r>
              <w:rPr>
                <w:rFonts w:ascii="Arial" w:cs="Arial" w:eastAsia="Arial" w:hAnsi="Arial"/>
                <w:sz w:val="13"/>
                <w:szCs w:val="13"/>
                <w:b w:val="1"/>
                <w:bCs w:val="1"/>
                <w:color w:val="auto"/>
              </w:rPr>
              <w:t>1,399,42</w:t>
            </w:r>
          </w:p>
        </w:tc>
        <w:tc>
          <w:tcPr>
            <w:tcW w:w="2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3"/>
                <w:szCs w:val="13"/>
                <w:b w:val="1"/>
                <w:bCs w:val="1"/>
                <w:color w:val="auto"/>
              </w:rPr>
              <w:t>(13,812,2</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34"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225,627</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0</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w w:val="82"/>
              </w:rPr>
              <w:t>$</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3"/>
                <w:szCs w:val="13"/>
                <w:b w:val="1"/>
                <w:bCs w:val="1"/>
                <w:color w:val="auto"/>
              </w:rPr>
              <w:t>00</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37"/>
              <w:spacing w:after="0" w:line="121" w:lineRule="exact"/>
              <w:rPr>
                <w:sz w:val="20"/>
                <w:szCs w:val="20"/>
                <w:color w:val="auto"/>
              </w:rPr>
            </w:pPr>
            <w:r>
              <w:rPr>
                <w:rFonts w:ascii="Arial" w:cs="Arial" w:eastAsia="Arial" w:hAnsi="Arial"/>
                <w:sz w:val="13"/>
                <w:szCs w:val="13"/>
                <w:b w:val="1"/>
                <w:bCs w:val="1"/>
                <w:color w:val="auto"/>
                <w:w w:val="82"/>
              </w:rPr>
              <w:t>$</w:t>
            </w:r>
          </w:p>
        </w:tc>
        <w:tc>
          <w:tcPr>
            <w:tcW w:w="2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3"/>
                <w:szCs w:val="13"/>
                <w:b w:val="1"/>
                <w:bCs w:val="1"/>
                <w:color w:val="auto"/>
              </w:rPr>
              <w:t>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3"/>
                <w:szCs w:val="13"/>
                <w:b w:val="1"/>
                <w:bCs w:val="1"/>
                <w:color w:val="auto"/>
                <w:w w:val="98"/>
              </w:rPr>
              <w:t>$ (82,485</w:t>
            </w:r>
          </w:p>
        </w:tc>
        <w:tc>
          <w:tcPr>
            <w:tcW w:w="140" w:type="dxa"/>
            <w:vAlign w:val="bottom"/>
          </w:tcPr>
          <w:p>
            <w:pPr>
              <w:jc w:val="right"/>
              <w:ind w:right="5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3"/>
                <w:szCs w:val="13"/>
                <w:b w:val="1"/>
                <w:bCs w:val="1"/>
                <w:color w:val="auto"/>
              </w:rPr>
              <w:t>(936,113</w:t>
            </w:r>
          </w:p>
        </w:tc>
        <w:tc>
          <w:tcPr>
            <w:tcW w:w="120" w:type="dxa"/>
            <w:vAlign w:val="bottom"/>
          </w:tcPr>
          <w:p>
            <w:pPr>
              <w:jc w:val="right"/>
              <w:ind w:right="3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w w:val="82"/>
              </w:rPr>
              <w:t>$</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(133)</w:t>
            </w:r>
          </w:p>
        </w:tc>
        <w:tc>
          <w:tcPr>
            <w:tcW w:w="22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3"/>
                <w:szCs w:val="13"/>
                <w:b w:val="1"/>
                <w:bCs w:val="1"/>
                <w:color w:val="auto"/>
                <w:w w:val="86"/>
              </w:rPr>
              <w:t>$ 380,714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-2648585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-2630805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-2648585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-2630805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-2648585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-2630805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-2648585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-2630805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-2648585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-2630805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-2648585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-2630805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-2648585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-2630805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-2648585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-2630805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-2648585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-2630805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-2648585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-2630805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-2648585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-205105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-205105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-205105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-205105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-205105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-205105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-205105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-205105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-205105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-205105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-205105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196"/>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(9,788)</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10,742</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11,625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10,483</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Amortization of leases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8,488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Change in fair value of warrants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(3,115)</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Loss on asset disposals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Change in fair value of derivative asset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Deferred income tax expense (benefit)</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(1,464)</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Non-cash interest expense (income) – net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Unrealized foreign currency loss (gain)</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(2,041)</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 net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(8,367)</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(11,448)</w:t>
            </w: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Inventory – net</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(8,049)</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(8,491)</w:t>
            </w: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(1,964)</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(2,778)</w:t>
            </w: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(6,943)</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50,493</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(6,748)</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(20,379)</w:t>
            </w: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(691)</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(1,691)</w:t>
            </w:r>
          </w:p>
        </w:tc>
      </w:tr>
      <w:tr>
        <w:trPr>
          <w:trHeight w:val="203"/>
        </w:trPr>
        <w:tc>
          <w:tcPr>
            <w:tcW w:w="8020" w:type="dxa"/>
            <w:vAlign w:val="bottom"/>
          </w:tcPr>
          <w:p>
            <w:pPr>
              <w:ind w:left="80"/>
              <w:spacing w:after="0" w:line="202" w:lineRule="exact"/>
              <w:rPr>
                <w:sz w:val="20"/>
                <w:szCs w:val="20"/>
                <w:color w:val="auto"/>
              </w:rPr>
            </w:pPr>
            <w:r>
              <w:rPr>
                <w:rFonts w:ascii="Arial" w:cs="Arial" w:eastAsia="Arial" w:hAnsi="Arial"/>
                <w:sz w:val="18"/>
                <w:szCs w:val="18"/>
                <w:color w:val="auto"/>
              </w:rPr>
              <w:t>Long-term lease liabilities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(560)</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0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Other assets and liabilities – net</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(306)</w:t>
            </w:r>
          </w:p>
        </w:tc>
      </w:tr>
      <w:tr>
        <w:trPr>
          <w:trHeight w:val="20"/>
        </w:trPr>
        <w:tc>
          <w:tcPr>
            <w:tcW w:w="80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b w:val="1"/>
                <w:bCs w:val="1"/>
                <w:color w:val="auto"/>
              </w:rPr>
              <w:t>(25,288)</w:t>
            </w: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39,165</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(1,836)</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Purchases of personal seat licenses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(563)</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(564)</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Investments in developed technology</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(4,526)</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(4,631)</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Purchases of seat images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Payments of Acquired Domain Name Obligation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(500)</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(7,571)</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(5,287)</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Payments of 2022 First Lien Loan</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(688)</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Payments of Shoko Chukin Bank Loan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(281)</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Repurchases of Class A common stock</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(5,992)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(3,105)</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Payments of taxes related to net settlement of equity incentive awards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(1,411)</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(462)</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Payments of liabilities under TRA</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(4,005)</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Payments of 2024 First Lien Loan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(76,986)</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2025 First Lien Loan</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76,986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Payments of deferred financing costs and other debt-related expenses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(162)</w:t>
            </w:r>
          </w:p>
        </w:tc>
        <w:tc>
          <w:tcPr>
            <w:tcW w:w="26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(11,570)</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(4,613)</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(820)</w:t>
            </w:r>
          </w:p>
        </w:tc>
      </w:tr>
      <w:tr>
        <w:trPr>
          <w:trHeight w:val="20"/>
        </w:trPr>
        <w:tc>
          <w:tcPr>
            <w:tcW w:w="8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(43,955)</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28,445</w:t>
            </w:r>
          </w:p>
        </w:tc>
        <w:tc>
          <w:tcPr>
            <w:tcW w:w="100" w:type="dxa"/>
            <w:vAlign w:val="bottom"/>
            <w:shd w:val="clear" w:color="auto" w:fill="CFF0FC"/>
          </w:tcPr>
          <w:p>
            <w:pPr>
              <w:spacing w:after="0"/>
              <w:rPr>
                <w:sz w:val="17"/>
                <w:szCs w:val="17"/>
                <w:color w:val="auto"/>
              </w:rPr>
            </w:pPr>
          </w:p>
        </w:tc>
      </w:tr>
      <w:tr>
        <w:trPr>
          <w:trHeight w:val="196"/>
        </w:trPr>
        <w:tc>
          <w:tcPr>
            <w:tcW w:w="80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Cash, cash equivalents, and restricted cash – beginning of period</w:t>
            </w:r>
          </w:p>
        </w:tc>
        <w:tc>
          <w:tcPr>
            <w:tcW w:w="3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244,648</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132,434</w:t>
            </w:r>
          </w:p>
        </w:tc>
        <w:tc>
          <w:tcPr>
            <w:tcW w:w="100" w:type="dxa"/>
            <w:vAlign w:val="bottom"/>
            <w:tcBorders>
              <w:top w:val="single" w:sz="8" w:color="CFF0FC"/>
            </w:tcBorders>
          </w:tcPr>
          <w:p>
            <w:pPr>
              <w:spacing w:after="0"/>
              <w:rPr>
                <w:sz w:val="17"/>
                <w:szCs w:val="17"/>
                <w:color w:val="auto"/>
              </w:rPr>
            </w:pPr>
          </w:p>
        </w:tc>
      </w:tr>
      <w:tr>
        <w:trPr>
          <w:trHeight w:val="236"/>
        </w:trPr>
        <w:tc>
          <w:tcPr>
            <w:tcW w:w="80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 end of period</w:t>
            </w:r>
          </w:p>
        </w:tc>
        <w:tc>
          <w:tcPr>
            <w:tcW w:w="620" w:type="dxa"/>
            <w:vAlign w:val="bottom"/>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200,693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160,879</w:t>
            </w:r>
          </w:p>
        </w:tc>
        <w:tc>
          <w:tcPr>
            <w:tcW w:w="100" w:type="dxa"/>
            <w:vAlign w:val="bottom"/>
            <w:shd w:val="clear" w:color="auto" w:fill="CFF0FC"/>
          </w:tcPr>
          <w:p>
            <w:pPr>
              <w:spacing w:after="0"/>
              <w:rPr>
                <w:sz w:val="20"/>
                <w:szCs w:val="20"/>
                <w:color w:val="auto"/>
              </w:rPr>
            </w:pPr>
          </w:p>
        </w:tc>
      </w:tr>
      <w:tr>
        <w:trPr>
          <w:trHeight w:val="183"/>
        </w:trPr>
        <w:tc>
          <w:tcPr>
            <w:tcW w:w="8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23"/>
        </w:trPr>
        <w:tc>
          <w:tcPr>
            <w:tcW w:w="80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paid for interest</w:t>
            </w:r>
          </w:p>
        </w:tc>
        <w:tc>
          <w:tcPr>
            <w:tcW w:w="620" w:type="dxa"/>
            <w:vAlign w:val="bottom"/>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7,749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6,074</w:t>
            </w:r>
          </w:p>
        </w:tc>
        <w:tc>
          <w:tcPr>
            <w:tcW w:w="100" w:type="dxa"/>
            <w:vAlign w:val="bottom"/>
            <w:shd w:val="clear" w:color="auto" w:fill="CFF0FC"/>
          </w:tcPr>
          <w:p>
            <w:pPr>
              <w:spacing w:after="0"/>
              <w:rPr>
                <w:sz w:val="19"/>
                <w:szCs w:val="19"/>
                <w:color w:val="auto"/>
              </w:rPr>
            </w:pPr>
          </w:p>
        </w:tc>
      </w:tr>
      <w:tr>
        <w:trPr>
          <w:trHeight w:val="20"/>
        </w:trPr>
        <w:tc>
          <w:tcPr>
            <w:tcW w:w="80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8020" w:type="dxa"/>
            <w:vAlign w:val="bottom"/>
          </w:tcPr>
          <w:p>
            <w:pPr>
              <w:spacing w:after="0" w:line="182" w:lineRule="exact"/>
              <w:rPr>
                <w:sz w:val="20"/>
                <w:szCs w:val="20"/>
                <w:color w:val="auto"/>
              </w:rPr>
            </w:pPr>
            <w:r>
              <w:rPr>
                <w:rFonts w:ascii="Arial" w:cs="Arial" w:eastAsia="Arial" w:hAnsi="Arial"/>
                <w:sz w:val="18"/>
                <w:szCs w:val="18"/>
                <w:color w:val="auto"/>
              </w:rPr>
              <w:t>Cash paid for income taxes</w:t>
            </w:r>
          </w:p>
        </w:tc>
        <w:tc>
          <w:tcPr>
            <w:tcW w:w="6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1,286</w:t>
            </w:r>
          </w:p>
        </w:tc>
        <w:tc>
          <w:tcPr>
            <w:tcW w:w="240" w:type="dxa"/>
            <w:vAlign w:val="bottom"/>
          </w:tcPr>
          <w:p>
            <w:pPr>
              <w:spacing w:after="0"/>
              <w:rPr>
                <w:sz w:val="15"/>
                <w:szCs w:val="15"/>
                <w:color w:val="auto"/>
              </w:rPr>
            </w:pP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623</w:t>
            </w:r>
          </w:p>
        </w:tc>
        <w:tc>
          <w:tcPr>
            <w:tcW w:w="100" w:type="dxa"/>
            <w:vAlign w:val="bottom"/>
          </w:tcPr>
          <w:p>
            <w:pPr>
              <w:spacing w:after="0"/>
              <w:rPr>
                <w:sz w:val="15"/>
                <w:szCs w:val="15"/>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paid for operating lease liabilities</w:t>
            </w:r>
          </w:p>
        </w:tc>
        <w:tc>
          <w:tcPr>
            <w:tcW w:w="620" w:type="dxa"/>
            <w:vAlign w:val="bottom"/>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9"/>
                <w:szCs w:val="19"/>
                <w:color w:val="auto"/>
              </w:rPr>
            </w:pPr>
          </w:p>
        </w:tc>
      </w:tr>
      <w:tr>
        <w:trPr>
          <w:trHeight w:val="470"/>
        </w:trPr>
        <w:tc>
          <w:tcPr>
            <w:tcW w:w="8020" w:type="dxa"/>
            <w:vAlign w:val="bottom"/>
            <w:tcBorders>
              <w:top w:val="single" w:sz="8" w:color="CFF0FC"/>
            </w:tcBorders>
          </w:tcPr>
          <w:p>
            <w:pPr>
              <w:ind w:left="5580"/>
              <w:spacing w:after="0"/>
              <w:rPr>
                <w:sz w:val="20"/>
                <w:szCs w:val="20"/>
                <w:color w:val="auto"/>
              </w:rPr>
            </w:pPr>
            <w:r>
              <w:rPr>
                <w:rFonts w:ascii="Arial" w:cs="Arial" w:eastAsia="Arial" w:hAnsi="Arial"/>
                <w:sz w:val="18"/>
                <w:szCs w:val="18"/>
                <w:color w:val="auto"/>
              </w:rPr>
              <w:t>6</w:t>
            </w:r>
          </w:p>
        </w:tc>
        <w:tc>
          <w:tcPr>
            <w:tcW w:w="3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89"/>
        </w:trPr>
        <w:tc>
          <w:tcPr>
            <w:tcW w:w="8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-4131310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-1525270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-1250950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-1233805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-967740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-950595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-659130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-641985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8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Repurchases of Class A common stock recorded in Accrued expenses and other current liabilities</w:t>
            </w:r>
          </w:p>
        </w:tc>
        <w:tc>
          <w:tcPr>
            <w:tcW w:w="760" w:type="dxa"/>
            <w:vAlign w:val="bottom"/>
            <w:gridSpan w:val="2"/>
            <w:shd w:val="clear" w:color="auto" w:fill="CFF0FC"/>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925</w:t>
            </w:r>
          </w:p>
        </w:tc>
        <w:tc>
          <w:tcPr>
            <w:tcW w:w="680" w:type="dxa"/>
            <w:vAlign w:val="bottom"/>
            <w:gridSpan w:val="2"/>
            <w:shd w:val="clear" w:color="auto" w:fill="CFF0FC"/>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tcPr>
          <w:p>
            <w:pPr>
              <w:spacing w:after="0" w:line="182" w:lineRule="exact"/>
              <w:rPr>
                <w:sz w:val="20"/>
                <w:szCs w:val="20"/>
                <w:color w:val="auto"/>
              </w:rPr>
            </w:pPr>
            <w:r>
              <w:rPr>
                <w:rFonts w:ascii="Arial" w:cs="Arial" w:eastAsia="Arial" w:hAnsi="Arial"/>
                <w:sz w:val="18"/>
                <w:szCs w:val="18"/>
                <w:color w:val="auto"/>
              </w:rPr>
              <w:t>Equity-based compensation expense related to capitalized development costs</w:t>
            </w:r>
          </w:p>
        </w:tc>
        <w:tc>
          <w:tcPr>
            <w:tcW w:w="76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184</w:t>
            </w:r>
          </w:p>
        </w:tc>
        <w:tc>
          <w:tcPr>
            <w:tcW w:w="68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8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Tax distributions to redeemable noncontrolling interests recorded in Accrued expenses and other</w:t>
            </w:r>
          </w:p>
        </w:tc>
        <w:tc>
          <w:tcPr>
            <w:tcW w:w="760" w:type="dxa"/>
            <w:vAlign w:val="bottom"/>
            <w:gridSpan w:val="2"/>
            <w:vMerge w:val="restart"/>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6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8080" w:type="dxa"/>
            <w:vAlign w:val="bottom"/>
            <w:shd w:val="clear" w:color="auto" w:fill="CFF0FC"/>
          </w:tcPr>
          <w:p>
            <w:pPr>
              <w:spacing w:after="0" w:line="161" w:lineRule="exact"/>
              <w:rPr>
                <w:sz w:val="20"/>
                <w:szCs w:val="20"/>
                <w:color w:val="auto"/>
              </w:rPr>
            </w:pPr>
            <w:r>
              <w:rPr>
                <w:rFonts w:ascii="Arial" w:cs="Arial" w:eastAsia="Arial" w:hAnsi="Arial"/>
                <w:sz w:val="18"/>
                <w:szCs w:val="18"/>
                <w:color w:val="auto"/>
              </w:rPr>
              <w:t>current liabilities</w:t>
            </w:r>
          </w:p>
        </w:tc>
        <w:tc>
          <w:tcPr>
            <w:tcW w:w="76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68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-436245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-419735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Vivid Seats Inc. (“VSI”) and its subsidiaries, including Hoya Intermediate, LLC (“Hoya Intermediate”), Hoya Midco, LLC, and Vivid Seats LLC (collectively, “we,” “us,” and “our”), provide an online ticket marketplace that enables ticket buyers to easily discover and purchase tickets to live events and attractions and book hotel rooms and packages. In our Marketplace segment, we primarily act as an intermediary between ticket buyers, sellers, and partners within our online ticket marketplace, while enabling ticket sellers and partners to seamlessly manage their operations. In our Resale segment, we primarily acquire tickets to resell on secondary ticket marketplaces, including our own.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prepared these unaudited condensed consolidated financial statements in accordance with accounting principles generally accepted in the United States of America (“U.S. GAAP”) for interim financial information and Securities and Exchange Commission (“SEC”) rules that permit reduced disclosure for interim periods. Accordingly, they do not include all of the information and notes required by U.S. GAAP for comprehensive annual financial statements. In our opinion, these condensed consolidated financial statements include all adjustments that are necessary for a fair presentation of our financial position, results of operations, and cash flows for the periods presented and are of a normal, recurring nature. The results reflected in these condensed consolidated financial statements are not necessarily indicative of the results that may be expected for any other interim period or for the full year. These condensed consolidated financial statements should be read together with the audited annual consolidated financial statements and accompanying notes included in our Annual Report on Form 10-K for the fiscal year ended December 31, 2024, which was filed with the SEC on March 12, 2025. These condensed consolidated financial statements include all of our accounts, including those of our consolidated subsidiaries. All intercompany transactions and balances have been eliminated in consolidation.</w:t>
      </w:r>
    </w:p>
    <w:p>
      <w:pPr>
        <w:spacing w:after="0" w:line="7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Adopted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Segment Reporting </w:t>
      </w:r>
      <w:r>
        <w:rPr>
          <w:rFonts w:ascii="Times New Roman" w:cs="Times New Roman" w:eastAsia="Times New Roman" w:hAnsi="Times New Roman"/>
          <w:sz w:val="18"/>
          <w:szCs w:val="18"/>
          <w:b w:val="1"/>
          <w:bCs w:val="1"/>
          <w:i w:val="1"/>
          <w:iCs w:val="1"/>
          <w:color w:val="auto"/>
        </w:rPr>
        <w:t>-</w:t>
      </w:r>
      <w:r>
        <w:rPr>
          <w:rFonts w:ascii="Arial" w:cs="Arial" w:eastAsia="Arial" w:hAnsi="Arial"/>
          <w:sz w:val="18"/>
          <w:szCs w:val="18"/>
          <w:b w:val="1"/>
          <w:bCs w:val="1"/>
          <w:i w:val="1"/>
          <w:iCs w:val="1"/>
          <w:color w:val="auto"/>
        </w:rPr>
        <w:t xml:space="preserve"> Improvements to Reportable Segment Disclosures</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November 2023, the Financial Accounting Standards Board (the “FASB”) issued Accounting Standard Update (“ASU”) 2023-07,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(Topic 280): Improvements to Reportable Segment Disclosures</w:t>
      </w:r>
      <w:r>
        <w:rPr>
          <w:rFonts w:ascii="Arial" w:cs="Arial" w:eastAsia="Arial" w:hAnsi="Arial"/>
          <w:sz w:val="18"/>
          <w:szCs w:val="18"/>
          <w:color w:val="auto"/>
        </w:rPr>
        <w:t>, which updates reportable segment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through enhanced disclosures about significant segment expenses. The amendments are to be applied retrospectively to all prior reporting periods presented in an entity’s financial statements. We adopted these requirements during the year ended December 31, 2024 with no material impact on our consolidated financial statements, other than the impact thereof on our segment reporting footnote. See Note 4, </w:t>
      </w:r>
      <w:r>
        <w:rPr>
          <w:rFonts w:ascii="Arial" w:cs="Arial" w:eastAsia="Arial" w:hAnsi="Arial"/>
          <w:sz w:val="18"/>
          <w:szCs w:val="18"/>
          <w:i w:val="1"/>
          <w:iCs w:val="1"/>
          <w:color w:val="auto"/>
        </w:rPr>
        <w:t>Segment Reporting</w:t>
      </w:r>
      <w:r>
        <w:rPr>
          <w:rFonts w:ascii="Arial" w:cs="Arial" w:eastAsia="Arial" w:hAnsi="Arial"/>
          <w:sz w:val="18"/>
          <w:szCs w:val="18"/>
          <w:color w:val="auto"/>
        </w:rPr>
        <w:t>,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Not Yet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December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2023-09</w:t>
      </w:r>
      <w:r>
        <w:rPr>
          <w:rFonts w:ascii="Arial" w:cs="Arial" w:eastAsia="Arial" w:hAnsi="Arial"/>
          <w:sz w:val="18"/>
          <w:szCs w:val="18"/>
          <w:i w:val="1"/>
          <w:iCs w:val="1"/>
          <w:color w:val="auto"/>
        </w:rPr>
        <w:t>, Income Taxes (Topic 740): Improvements to Income Tax Disclosures,</w:t>
      </w:r>
      <w:r>
        <w:rPr>
          <w:rFonts w:ascii="Arial" w:cs="Arial" w:eastAsia="Arial" w:hAnsi="Arial"/>
          <w:sz w:val="18"/>
          <w:szCs w:val="18"/>
          <w:color w:val="auto"/>
        </w:rPr>
        <w:t xml:space="preserve"> which requires that an entity, on an annual basis, disclose additional income tax information, primarily related to the rate reconciliation and income taxes paid. The amendments are intended to enhance the transparency and decision usefulness of income tax disclosures. The amendments will be effective for annual reporting periods beginning after December 15, 2024. We are currently evaluating the impact of adopting the amendments, which are expected to result in enhanced disclosures, on our future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Reporting—Comprehensive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amendments improve the disclosures about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entity’s expenses by requiring more detailed information about the types of expenses (including purchases of inventory, employee compensation, depreciation, and amortization) included within income statement expense captions. The amendments will be effective for annual reporting periods beginning after December 15, 2026 and interim reporting periods beginning after December 15, 2027. Early adoption is permitted for both interim and annual financial statements that have not yet been issued or made available for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issuance. The amendments are to be applied prospectively with the option for retrospective application. We are currently evaluating the impact of adopting the amendments on our future consolidated financial statements.</w:t>
      </w:r>
    </w:p>
    <w:p>
      <w:pPr>
        <w:spacing w:after="0" w:line="4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recognize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discussed in Note 4, </w:t>
      </w:r>
      <w:r>
        <w:rPr>
          <w:rFonts w:ascii="Arial" w:cs="Arial" w:eastAsia="Arial" w:hAnsi="Arial"/>
          <w:sz w:val="18"/>
          <w:szCs w:val="18"/>
          <w:i w:val="1"/>
          <w:iCs w:val="1"/>
          <w:color w:val="auto"/>
        </w:rPr>
        <w:t>Segment Reporting</w:t>
      </w:r>
      <w:r>
        <w:rPr>
          <w:rFonts w:ascii="Arial" w:cs="Arial" w:eastAsia="Arial" w:hAnsi="Arial"/>
          <w:sz w:val="18"/>
          <w:szCs w:val="18"/>
          <w:color w:val="auto"/>
        </w:rPr>
        <w:t>, we have two operating and reportable segments: Marketplace and Resale.</w:t>
      </w:r>
    </w:p>
    <w:p>
      <w:pPr>
        <w:spacing w:after="0" w:line="8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Marketplace revenues by business model for the three months ended March 31, 2025 and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Owned Properties revenues</w:t>
            </w:r>
          </w:p>
        </w:tc>
        <w:tc>
          <w:tcPr>
            <w:tcW w:w="338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109,232</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126,571</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Private Label Offering revenues</w:t>
            </w:r>
          </w:p>
        </w:tc>
        <w:tc>
          <w:tcPr>
            <w:tcW w:w="20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24,508</w:t>
            </w:r>
          </w:p>
        </w:tc>
        <w:tc>
          <w:tcPr>
            <w:tcW w:w="3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33,441</w:t>
            </w:r>
          </w:p>
        </w:tc>
        <w:tc>
          <w:tcPr>
            <w:tcW w:w="100" w:type="dxa"/>
            <w:vAlign w:val="bottom"/>
          </w:tcPr>
          <w:p>
            <w:pPr>
              <w:spacing w:after="0"/>
              <w:rPr>
                <w:sz w:val="17"/>
                <w:szCs w:val="17"/>
                <w:color w:val="auto"/>
              </w:rPr>
            </w:pPr>
          </w:p>
        </w:tc>
      </w:tr>
      <w:tr>
        <w:trPr>
          <w:trHeight w:val="21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Marketplace revenues</w:t>
            </w:r>
          </w:p>
        </w:tc>
        <w:tc>
          <w:tcPr>
            <w:tcW w:w="338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133,740</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160,012</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Marketplace revenues by event category for the three months ended March 31, 2025 and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Concert revenues</w:t>
            </w:r>
          </w:p>
        </w:tc>
        <w:tc>
          <w:tcPr>
            <w:tcW w:w="372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58,154</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68,029</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Sport revenues</w:t>
            </w:r>
          </w:p>
        </w:tc>
        <w:tc>
          <w:tcPr>
            <w:tcW w:w="2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38,598</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47,348</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Theater revenues</w:t>
            </w:r>
          </w:p>
        </w:tc>
        <w:tc>
          <w:tcPr>
            <w:tcW w:w="24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31,533</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37,907</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Other revenues</w:t>
            </w:r>
          </w:p>
        </w:tc>
        <w:tc>
          <w:tcPr>
            <w:tcW w:w="24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5,455</w:t>
            </w:r>
          </w:p>
        </w:tc>
        <w:tc>
          <w:tcPr>
            <w:tcW w:w="3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6,728</w:t>
            </w:r>
          </w:p>
        </w:tc>
        <w:tc>
          <w:tcPr>
            <w:tcW w:w="100" w:type="dxa"/>
            <w:vAlign w:val="bottom"/>
          </w:tcPr>
          <w:p>
            <w:pPr>
              <w:spacing w:after="0"/>
              <w:rPr>
                <w:sz w:val="17"/>
                <w:szCs w:val="17"/>
                <w:color w:val="auto"/>
              </w:rPr>
            </w:pPr>
          </w:p>
        </w:tc>
      </w:tr>
      <w:tr>
        <w:trPr>
          <w:trHeight w:val="21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Marketplace revenues</w:t>
            </w:r>
          </w:p>
        </w:tc>
        <w:tc>
          <w:tcPr>
            <w:tcW w:w="372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133,740</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160,012</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Resale segment, we primarily acquire tickets to resell on secondary ticket marketplaces, including our own. Resale revenues were $30.3 million and $30.8 million during the three months ended March 31, 2025 and 2024, respectively.</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March 31, 2025, Deferred revenue in the Condensed Consolidated Balance Sheets was $23.1 million, which primarily relates to our rewards loyalty program that allows enrolled ticket buyers on Vivid Seats-branded properties to earn reward credits to spend on future orders and experience even more of their favorite events. Stamps earned under the program expire in two to three years, if not converted to credits, and credits expire in two to four years, if not redeemed. We expect to recognize all outstanding deferred revenue within the next seven years.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December 31, 2024, $23.8 million was recorded as Deferred revenue in the Condensed Consolidated Balance Sheets, of which $5.2 million was recognized as revenue during the three months ended March 31, 2025. At December 31, 2023, $34.7 million was recorded as Deferred revenue in the Condensed Consolidated Balance Sheets, of which $8.5 million was recognized as revenue during the three months ended March 31, 2024.</w:t>
      </w:r>
    </w:p>
    <w:p>
      <w:pPr>
        <w:spacing w:after="0" w:line="66"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and is regularly reviewed by the Chief Operating Decision Maker (“CODM”) in making decisions regarding resource allocation and performance assessment. Our CODM is our Chief Executive Officer.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determined that we have two operating and reportable segments: Marketplace and Resale. In our Marketplace segment, we primarily act as an intermediary between ticket buyers, sellers, and partners within our online ticket marketplace, through which we earn revenue processing ticket sales for live events and attractions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facilitating the booking of hotel rooms and packages. In our Resale segment, we primarily acquire tickets to resell on secondary ticket marketplaces, including our own.</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both segments, our CODM uses contribution margin (defined as revenues less cost of revenues and marketing and selling expenses) as a means to allocate resources, evaluate performance, and make strategic decisions during the annual budgeting and forecasting process.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 of revenues largely consist of payment processing fees for our Marketplace segment and ticket costs for our Resale segment. Marketing and selling expenses, which exclusively relate to our Marketplace segment, almost entirely consist of advertising costs. Most advertising costs are aimed towards acquiring new customers online through paid search engine marketing, fees paid to our advertising affiliates and distributors, and other various digital marketing activities. However, to a lesser extent, advertising costs are also aimed towards acquiring new customers offline through traditional media channels, advertising agency costs, and partnership expenses with teams and other media partners.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report our assets, capital expenditures, general and administrative expenses, or depreciation and amortization expenses by segment because our CODM does not use this information to evaluate the performance of our operating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segment information for the three months ended March 31,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 March 31, 2025</w:t>
            </w:r>
          </w:p>
        </w:tc>
      </w:tr>
      <w:tr>
        <w:trPr>
          <w:trHeight w:val="156"/>
        </w:trPr>
        <w:tc>
          <w:tcPr>
            <w:tcW w:w="7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Marketplace</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Resale</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55"/>
        </w:trPr>
        <w:tc>
          <w:tcPr>
            <w:tcW w:w="7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133,740</w:t>
            </w:r>
          </w:p>
        </w:tc>
        <w:tc>
          <w:tcPr>
            <w:tcW w:w="4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30,283</w:t>
            </w:r>
          </w:p>
        </w:tc>
        <w:tc>
          <w:tcPr>
            <w:tcW w:w="5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164,023</w:t>
            </w:r>
          </w:p>
        </w:tc>
        <w:tc>
          <w:tcPr>
            <w:tcW w:w="120" w:type="dxa"/>
            <w:vAlign w:val="bottom"/>
            <w:shd w:val="clear" w:color="auto" w:fill="CFF0FC"/>
          </w:tcPr>
          <w:p>
            <w:pPr>
              <w:spacing w:after="0"/>
              <w:rPr>
                <w:sz w:val="13"/>
                <w:szCs w:val="13"/>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20,999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23,526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44,525</w:t>
            </w:r>
          </w:p>
        </w:tc>
        <w:tc>
          <w:tcPr>
            <w:tcW w:w="120" w:type="dxa"/>
            <w:vAlign w:val="bottom"/>
          </w:tcPr>
          <w:p>
            <w:pPr>
              <w:spacing w:after="0"/>
              <w:rPr>
                <w:sz w:val="14"/>
                <w:szCs w:val="14"/>
                <w:color w:val="auto"/>
              </w:rPr>
            </w:pPr>
          </w:p>
        </w:tc>
      </w:tr>
      <w:tr>
        <w:trPr>
          <w:trHeight w:val="162"/>
        </w:trPr>
        <w:tc>
          <w:tcPr>
            <w:tcW w:w="744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44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59,199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59,199</w:t>
            </w:r>
          </w:p>
        </w:tc>
        <w:tc>
          <w:tcPr>
            <w:tcW w:w="120" w:type="dxa"/>
            <w:vAlign w:val="bottom"/>
          </w:tcPr>
          <w:p>
            <w:pPr>
              <w:spacing w:after="0"/>
              <w:rPr>
                <w:sz w:val="14"/>
                <w:szCs w:val="14"/>
                <w:color w:val="auto"/>
              </w:rPr>
            </w:pPr>
          </w:p>
        </w:tc>
      </w:tr>
      <w:tr>
        <w:trPr>
          <w:trHeight w:val="162"/>
        </w:trPr>
        <w:tc>
          <w:tcPr>
            <w:tcW w:w="7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1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4,913</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4,913</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44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64,112</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64,112</w:t>
            </w:r>
          </w:p>
        </w:tc>
        <w:tc>
          <w:tcPr>
            <w:tcW w:w="120" w:type="dxa"/>
            <w:vAlign w:val="bottom"/>
          </w:tcPr>
          <w:p>
            <w:pPr>
              <w:spacing w:after="0"/>
              <w:rPr>
                <w:sz w:val="13"/>
                <w:szCs w:val="13"/>
                <w:color w:val="auto"/>
              </w:rPr>
            </w:pPr>
          </w:p>
        </w:tc>
      </w:tr>
      <w:tr>
        <w:trPr>
          <w:trHeight w:val="156"/>
        </w:trPr>
        <w:tc>
          <w:tcPr>
            <w:tcW w:w="7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Contribution margin</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48,629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6,757</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55,386</w:t>
            </w:r>
          </w:p>
        </w:tc>
        <w:tc>
          <w:tcPr>
            <w:tcW w:w="120" w:type="dxa"/>
            <w:vAlign w:val="bottom"/>
            <w:shd w:val="clear" w:color="auto" w:fill="CFF0FC"/>
          </w:tcPr>
          <w:p>
            <w:pPr>
              <w:spacing w:after="0"/>
              <w:rPr>
                <w:sz w:val="13"/>
                <w:szCs w:val="13"/>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48,082</w:t>
            </w:r>
          </w:p>
        </w:tc>
        <w:tc>
          <w:tcPr>
            <w:tcW w:w="120" w:type="dxa"/>
            <w:vAlign w:val="bottom"/>
          </w:tcPr>
          <w:p>
            <w:pPr>
              <w:spacing w:after="0"/>
              <w:rPr>
                <w:sz w:val="14"/>
                <w:szCs w:val="14"/>
                <w:color w:val="auto"/>
              </w:rPr>
            </w:pPr>
          </w:p>
        </w:tc>
      </w:tr>
      <w:tr>
        <w:trPr>
          <w:trHeight w:val="162"/>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11,625</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440" w:type="dxa"/>
            <w:vAlign w:val="bottom"/>
          </w:tcPr>
          <w:p>
            <w:pPr>
              <w:spacing w:after="0" w:line="155" w:lineRule="exact"/>
              <w:rPr>
                <w:sz w:val="20"/>
                <w:szCs w:val="20"/>
                <w:color w:val="auto"/>
              </w:rPr>
            </w:pPr>
            <w:r>
              <w:rPr>
                <w:rFonts w:ascii="Arial" w:cs="Arial" w:eastAsia="Arial" w:hAnsi="Arial"/>
                <w:sz w:val="14"/>
                <w:szCs w:val="14"/>
                <w:b w:val="1"/>
                <w:bCs w:val="1"/>
                <w:color w:val="auto"/>
              </w:rPr>
              <w:t>Loss from operations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(4,321)</w:t>
            </w:r>
          </w:p>
        </w:tc>
      </w:tr>
      <w:tr>
        <w:trPr>
          <w:trHeight w:val="162"/>
        </w:trPr>
        <w:tc>
          <w:tcPr>
            <w:tcW w:w="74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5,665</w:t>
            </w:r>
          </w:p>
        </w:tc>
        <w:tc>
          <w:tcPr>
            <w:tcW w:w="120" w:type="dxa"/>
            <w:vAlign w:val="bottom"/>
            <w:shd w:val="clear" w:color="auto" w:fill="CFF0FC"/>
          </w:tcPr>
          <w:p>
            <w:pPr>
              <w:spacing w:after="0"/>
              <w:rPr>
                <w:sz w:val="14"/>
                <w:szCs w:val="14"/>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Other income – net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(4,154)</w:t>
            </w:r>
          </w:p>
        </w:tc>
      </w:tr>
      <w:tr>
        <w:trPr>
          <w:trHeight w:val="162"/>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440" w:type="dxa"/>
            <w:vAlign w:val="bottom"/>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(6,633)</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 March 31, 2024</w:t>
            </w:r>
          </w:p>
        </w:tc>
      </w:tr>
      <w:tr>
        <w:trPr>
          <w:trHeight w:val="155"/>
        </w:trPr>
        <w:tc>
          <w:tcPr>
            <w:tcW w:w="7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Marketplace</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Resale</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56"/>
        </w:trPr>
        <w:tc>
          <w:tcPr>
            <w:tcW w:w="7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160,012</w:t>
            </w:r>
          </w:p>
        </w:tc>
        <w:tc>
          <w:tcPr>
            <w:tcW w:w="4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30,840</w:t>
            </w:r>
          </w:p>
        </w:tc>
        <w:tc>
          <w:tcPr>
            <w:tcW w:w="5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190,852</w:t>
            </w:r>
          </w:p>
        </w:tc>
        <w:tc>
          <w:tcPr>
            <w:tcW w:w="120" w:type="dxa"/>
            <w:vAlign w:val="bottom"/>
            <w:shd w:val="clear" w:color="auto" w:fill="CFF0FC"/>
          </w:tcPr>
          <w:p>
            <w:pPr>
              <w:spacing w:after="0"/>
              <w:rPr>
                <w:sz w:val="13"/>
                <w:szCs w:val="13"/>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26,141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23,442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49,583</w:t>
            </w:r>
          </w:p>
        </w:tc>
        <w:tc>
          <w:tcPr>
            <w:tcW w:w="120" w:type="dxa"/>
            <w:vAlign w:val="bottom"/>
          </w:tcPr>
          <w:p>
            <w:pPr>
              <w:spacing w:after="0"/>
              <w:rPr>
                <w:sz w:val="14"/>
                <w:szCs w:val="14"/>
                <w:color w:val="auto"/>
              </w:rPr>
            </w:pPr>
          </w:p>
        </w:tc>
      </w:tr>
      <w:tr>
        <w:trPr>
          <w:trHeight w:val="162"/>
        </w:trPr>
        <w:tc>
          <w:tcPr>
            <w:tcW w:w="744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44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61,904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61,904</w:t>
            </w:r>
          </w:p>
        </w:tc>
        <w:tc>
          <w:tcPr>
            <w:tcW w:w="120" w:type="dxa"/>
            <w:vAlign w:val="bottom"/>
          </w:tcPr>
          <w:p>
            <w:pPr>
              <w:spacing w:after="0"/>
              <w:rPr>
                <w:sz w:val="14"/>
                <w:szCs w:val="14"/>
                <w:color w:val="auto"/>
              </w:rPr>
            </w:pPr>
          </w:p>
        </w:tc>
      </w:tr>
      <w:tr>
        <w:trPr>
          <w:trHeight w:val="162"/>
        </w:trPr>
        <w:tc>
          <w:tcPr>
            <w:tcW w:w="7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1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5,841</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5,841</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44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67,745</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67,745</w:t>
            </w:r>
          </w:p>
        </w:tc>
        <w:tc>
          <w:tcPr>
            <w:tcW w:w="120" w:type="dxa"/>
            <w:vAlign w:val="bottom"/>
          </w:tcPr>
          <w:p>
            <w:pPr>
              <w:spacing w:after="0"/>
              <w:rPr>
                <w:sz w:val="13"/>
                <w:szCs w:val="13"/>
                <w:color w:val="auto"/>
              </w:rPr>
            </w:pPr>
          </w:p>
        </w:tc>
      </w:tr>
      <w:tr>
        <w:trPr>
          <w:trHeight w:val="155"/>
        </w:trPr>
        <w:tc>
          <w:tcPr>
            <w:tcW w:w="7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Contribution margin</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66,126</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7,398</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73,524</w:t>
            </w:r>
          </w:p>
        </w:tc>
        <w:tc>
          <w:tcPr>
            <w:tcW w:w="120" w:type="dxa"/>
            <w:vAlign w:val="bottom"/>
            <w:shd w:val="clear" w:color="auto" w:fill="CFF0FC"/>
          </w:tcPr>
          <w:p>
            <w:pPr>
              <w:spacing w:after="0"/>
              <w:rPr>
                <w:sz w:val="13"/>
                <w:szCs w:val="13"/>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42,366</w:t>
            </w:r>
          </w:p>
        </w:tc>
        <w:tc>
          <w:tcPr>
            <w:tcW w:w="120" w:type="dxa"/>
            <w:vAlign w:val="bottom"/>
          </w:tcPr>
          <w:p>
            <w:pPr>
              <w:spacing w:after="0"/>
              <w:rPr>
                <w:sz w:val="14"/>
                <w:szCs w:val="14"/>
                <w:color w:val="auto"/>
              </w:rPr>
            </w:pPr>
          </w:p>
        </w:tc>
      </w:tr>
      <w:tr>
        <w:trPr>
          <w:trHeight w:val="162"/>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10,483</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7440" w:type="dxa"/>
            <w:vAlign w:val="bottom"/>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20,675</w:t>
            </w:r>
          </w:p>
        </w:tc>
        <w:tc>
          <w:tcPr>
            <w:tcW w:w="120" w:type="dxa"/>
            <w:vAlign w:val="bottom"/>
          </w:tcPr>
          <w:p>
            <w:pPr>
              <w:spacing w:after="0"/>
              <w:rPr>
                <w:sz w:val="13"/>
                <w:szCs w:val="13"/>
                <w:color w:val="auto"/>
              </w:rPr>
            </w:pPr>
          </w:p>
        </w:tc>
      </w:tr>
      <w:tr>
        <w:trPr>
          <w:trHeight w:val="162"/>
        </w:trPr>
        <w:tc>
          <w:tcPr>
            <w:tcW w:w="74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5,082</w:t>
            </w:r>
          </w:p>
        </w:tc>
        <w:tc>
          <w:tcPr>
            <w:tcW w:w="120" w:type="dxa"/>
            <w:vAlign w:val="bottom"/>
            <w:shd w:val="clear" w:color="auto" w:fill="CFF0FC"/>
          </w:tcPr>
          <w:p>
            <w:pPr>
              <w:spacing w:after="0"/>
              <w:rPr>
                <w:sz w:val="14"/>
                <w:szCs w:val="14"/>
                <w:color w:val="auto"/>
              </w:rPr>
            </w:pPr>
          </w:p>
        </w:tc>
      </w:tr>
      <w:tr>
        <w:trPr>
          <w:trHeight w:val="162"/>
        </w:trPr>
        <w:tc>
          <w:tcPr>
            <w:tcW w:w="7440" w:type="dxa"/>
            <w:vAlign w:val="bottom"/>
          </w:tcPr>
          <w:p>
            <w:pPr>
              <w:spacing w:after="0"/>
              <w:rPr>
                <w:sz w:val="20"/>
                <w:szCs w:val="20"/>
                <w:color w:val="auto"/>
              </w:rPr>
            </w:pPr>
            <w:r>
              <w:rPr>
                <w:rFonts w:ascii="Arial" w:cs="Arial" w:eastAsia="Arial" w:hAnsi="Arial"/>
                <w:sz w:val="14"/>
                <w:szCs w:val="14"/>
                <w:color w:val="auto"/>
              </w:rPr>
              <w:t>Other expense – net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2,582</w:t>
            </w:r>
          </w:p>
        </w:tc>
        <w:tc>
          <w:tcPr>
            <w:tcW w:w="120" w:type="dxa"/>
            <w:vAlign w:val="bottom"/>
          </w:tcPr>
          <w:p>
            <w:pPr>
              <w:spacing w:after="0"/>
              <w:rPr>
                <w:sz w:val="14"/>
                <w:szCs w:val="14"/>
                <w:color w:val="auto"/>
              </w:rPr>
            </w:pPr>
          </w:p>
        </w:tc>
      </w:tr>
      <w:tr>
        <w:trPr>
          <w:trHeight w:val="195"/>
        </w:trPr>
        <w:tc>
          <w:tcPr>
            <w:tcW w:w="74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before income taxes</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13,011</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-2733675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-2733675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-2733675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-882015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-882015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sales occur and assets reside in the United States.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accounts receivable at March 31, 2025 and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Uncollateralized payment processor obligations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34,643</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28,740</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Due from ticket sellers for cancellation charges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6,835</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from distribution partners for cancellation charges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13,659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13,308</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Event insurance and other commissions receivable</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6,154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4,980</w:t>
            </w:r>
          </w:p>
        </w:tc>
        <w:tc>
          <w:tcPr>
            <w:tcW w:w="100" w:type="dxa"/>
            <w:vAlign w:val="bottom"/>
          </w:tcPr>
          <w:p>
            <w:pPr>
              <w:spacing w:after="0"/>
              <w:rPr>
                <w:sz w:val="17"/>
                <w:szCs w:val="17"/>
                <w:color w:val="auto"/>
              </w:rPr>
            </w:pPr>
          </w:p>
        </w:tc>
      </w:tr>
      <w:tr>
        <w:trPr>
          <w:trHeight w:val="203"/>
        </w:trPr>
        <w:tc>
          <w:tcPr>
            <w:tcW w:w="7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trade receivables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6,670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00" w:type="dxa"/>
            <w:vAlign w:val="bottom"/>
          </w:tcPr>
          <w:p>
            <w:pPr>
              <w:spacing w:after="0" w:line="196" w:lineRule="exact"/>
              <w:rPr>
                <w:sz w:val="20"/>
                <w:szCs w:val="20"/>
                <w:color w:val="auto"/>
              </w:rPr>
            </w:pPr>
            <w:r>
              <w:rPr>
                <w:rFonts w:ascii="Arial" w:cs="Arial" w:eastAsia="Arial" w:hAnsi="Arial"/>
                <w:sz w:val="18"/>
                <w:szCs w:val="18"/>
                <w:b w:val="1"/>
                <w:bCs w:val="1"/>
                <w:color w:val="auto"/>
              </w:rPr>
              <w:t>Accounts receivable</w:t>
            </w: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69,199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60,300</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allowance for credit losses</w:t>
            </w:r>
          </w:p>
        </w:tc>
        <w:tc>
          <w:tcPr>
            <w:tcW w:w="2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(12,337)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(11,985)</w:t>
            </w:r>
          </w:p>
        </w:tc>
      </w:tr>
      <w:tr>
        <w:trPr>
          <w:trHeight w:val="196"/>
        </w:trPr>
        <w:tc>
          <w:tcPr>
            <w:tcW w:w="73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Accounts receivable – net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56,862</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48,315</w:t>
            </w:r>
          </w:p>
        </w:tc>
        <w:tc>
          <w:tcPr>
            <w:tcW w:w="100" w:type="dxa"/>
            <w:vAlign w:val="bottom"/>
            <w:tcBorders>
              <w:top w:val="single" w:sz="8" w:color="CFF0FC"/>
            </w:tcBorders>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-427990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-161925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Accounts receivable is recorded net of allowance for credit losses. As of March 31, 2025 and December 31, 2024, we had recorded a cumulative allowance for credit losses of $12.3 million and $12.0 million, respectively, to reflect potential challenges in collecting funds from distribution partners and ticket sellers, particularly for amounts due upon usage of store credit previously issued to buyers. The allowance for credit losses increased during the three months ended March 31, 2025 to reflect larger amounts due from distribution partners that are unlikely to be collected based on actual store credit usage.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write-offs during the three months ended March 31, 2025 and 2024.</w:t>
      </w:r>
    </w:p>
    <w:p>
      <w:pPr>
        <w:spacing w:after="0" w:line="10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major components of prepaid expenses and other current assets at March 31,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Recovery of future customer compensation</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21,355</w:t>
            </w:r>
          </w:p>
        </w:tc>
        <w:tc>
          <w:tcPr>
            <w:tcW w:w="5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20,335</w:t>
            </w:r>
          </w:p>
        </w:tc>
        <w:tc>
          <w:tcPr>
            <w:tcW w:w="10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8,165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7,388</w:t>
            </w:r>
          </w:p>
        </w:tc>
        <w:tc>
          <w:tcPr>
            <w:tcW w:w="100" w:type="dxa"/>
            <w:vAlign w:val="bottom"/>
          </w:tcPr>
          <w:p>
            <w:pPr>
              <w:spacing w:after="0"/>
              <w:rPr>
                <w:sz w:val="17"/>
                <w:szCs w:val="17"/>
                <w:color w:val="auto"/>
              </w:rPr>
            </w:pPr>
          </w:p>
        </w:tc>
      </w:tr>
      <w:tr>
        <w:trPr>
          <w:trHeight w:val="203"/>
        </w:trPr>
        <w:tc>
          <w:tcPr>
            <w:tcW w:w="7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5,062</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20" w:type="dxa"/>
            <w:vAlign w:val="bottom"/>
          </w:tcPr>
          <w:p>
            <w:pPr>
              <w:spacing w:after="0" w:line="182" w:lineRule="exact"/>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34,582</w:t>
            </w:r>
          </w:p>
        </w:tc>
        <w:tc>
          <w:tcPr>
            <w:tcW w:w="56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32,607</w:t>
            </w:r>
          </w:p>
        </w:tc>
        <w:tc>
          <w:tcPr>
            <w:tcW w:w="10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increased by $1.0 million at March 31, 2025 compared to December 31, 2024, primarily due to an increase in estimated future event cancellations. A related provision for expected compensation to customers is recorded in Accrued expenses and other current liabilities in the Condensed Consolidated Balance Sheets.</w:t>
      </w:r>
    </w:p>
    <w:p>
      <w:pPr>
        <w:spacing w:after="0" w:line="6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Net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 summarizes the change in the carrying amount of goodwill during the three months ended March 31, 2025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Goodwill – Net</w:t>
            </w:r>
          </w:p>
        </w:tc>
        <w:tc>
          <w:tcPr>
            <w:tcW w:w="100" w:type="dxa"/>
            <w:vAlign w:val="bottom"/>
          </w:tcPr>
          <w:p>
            <w:pPr>
              <w:spacing w:after="0"/>
              <w:rPr>
                <w:sz w:val="19"/>
                <w:szCs w:val="19"/>
                <w:color w:val="auto"/>
              </w:rPr>
            </w:pPr>
          </w:p>
        </w:tc>
      </w:tr>
      <w:tr>
        <w:trPr>
          <w:trHeight w:val="196"/>
        </w:trPr>
        <w:tc>
          <w:tcPr>
            <w:tcW w:w="43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December 31, 2024</w:t>
            </w:r>
          </w:p>
        </w:tc>
        <w:tc>
          <w:tcPr>
            <w:tcW w:w="4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943,119</w:t>
            </w:r>
          </w:p>
        </w:tc>
        <w:tc>
          <w:tcPr>
            <w:tcW w:w="100" w:type="dxa"/>
            <w:vAlign w:val="bottom"/>
            <w:shd w:val="clear" w:color="auto" w:fill="CFF0FC"/>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4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2,182</w:t>
            </w:r>
          </w:p>
        </w:tc>
        <w:tc>
          <w:tcPr>
            <w:tcW w:w="100" w:type="dxa"/>
            <w:vAlign w:val="bottom"/>
          </w:tcPr>
          <w:p>
            <w:pPr>
              <w:spacing w:after="0"/>
              <w:rPr>
                <w:sz w:val="17"/>
                <w:szCs w:val="17"/>
                <w:color w:val="auto"/>
              </w:rPr>
            </w:pPr>
          </w:p>
        </w:tc>
      </w:tr>
      <w:tr>
        <w:trPr>
          <w:trHeight w:val="236"/>
        </w:trPr>
        <w:tc>
          <w:tcPr>
            <w:tcW w:w="43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March 31, 2025</w:t>
            </w:r>
          </w:p>
        </w:tc>
        <w:tc>
          <w:tcPr>
            <w:tcW w:w="4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945,301</w:t>
            </w:r>
          </w:p>
        </w:tc>
        <w:tc>
          <w:tcPr>
            <w:tcW w:w="100" w:type="dxa"/>
            <w:vAlign w:val="bottom"/>
            <w:shd w:val="clear" w:color="auto" w:fill="CFF0FC"/>
          </w:tcPr>
          <w:p>
            <w:pPr>
              <w:spacing w:after="0"/>
              <w:rPr>
                <w:sz w:val="20"/>
                <w:szCs w:val="20"/>
                <w:color w:val="auto"/>
              </w:rPr>
            </w:pPr>
          </w:p>
        </w:tc>
      </w:tr>
      <w:tr>
        <w:trPr>
          <w:trHeight w:val="862"/>
        </w:trPr>
        <w:tc>
          <w:tcPr>
            <w:tcW w:w="4340" w:type="dxa"/>
            <w:vAlign w:val="bottom"/>
            <w:tcBorders>
              <w:top w:val="single" w:sz="8" w:color="CFF0FC"/>
            </w:tcBorders>
          </w:tcPr>
          <w:p>
            <w:pPr>
              <w:spacing w:after="0"/>
              <w:rPr>
                <w:sz w:val="24"/>
                <w:szCs w:val="24"/>
                <w:color w:val="auto"/>
              </w:rPr>
            </w:pPr>
          </w:p>
        </w:tc>
        <w:tc>
          <w:tcPr>
            <w:tcW w:w="4480" w:type="dxa"/>
            <w:vAlign w:val="bottom"/>
            <w:tcBorders>
              <w:top w:val="single" w:sz="8" w:color="CFF0FC"/>
            </w:tcBorders>
          </w:tcPr>
          <w:p>
            <w:pPr>
              <w:jc w:val="right"/>
              <w:ind w:right="3010"/>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3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Goodwill, which entirely relates to our Marketplace segment, is recorded net of foreign currency translation adjustments and impairment. As of March 31, 2025 and December 31, 2024, we had recorded cumulative impairment charges of $377.1 million related to our goodwill.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classes of intangible assets at March 31, 2025 and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18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29,240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29,240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46,293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Capitalized development costs – work in progress</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6,839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Seat images</w:t>
            </w:r>
          </w:p>
        </w:tc>
        <w:tc>
          <w:tcPr>
            <w:tcW w:w="3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(1,891)</w:t>
            </w:r>
          </w:p>
        </w:tc>
      </w:tr>
      <w:tr>
        <w:trPr>
          <w:trHeight w:val="196"/>
        </w:trPr>
        <w:tc>
          <w:tcPr>
            <w:tcW w:w="724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gross book value</w:t>
            </w:r>
          </w:p>
        </w:tc>
        <w:tc>
          <w:tcPr>
            <w:tcW w:w="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196,542</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189,919</w:t>
            </w:r>
          </w:p>
        </w:tc>
        <w:tc>
          <w:tcPr>
            <w:tcW w:w="100" w:type="dxa"/>
            <w:vAlign w:val="bottom"/>
            <w:tcBorders>
              <w:top w:val="single" w:sz="8" w:color="CFF0FC"/>
            </w:tcBorders>
          </w:tcPr>
          <w:p>
            <w:pPr>
              <w:spacing w:after="0"/>
              <w:rPr>
                <w:sz w:val="17"/>
                <w:szCs w:val="17"/>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Less: accumulated amortization</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320" w:type="dxa"/>
            <w:vAlign w:val="bottom"/>
          </w:tcPr>
          <w:p>
            <w:pPr>
              <w:spacing w:after="0"/>
              <w:rPr>
                <w:sz w:val="17"/>
                <w:szCs w:val="17"/>
                <w:color w:val="auto"/>
              </w:rPr>
            </w:pPr>
          </w:p>
        </w:tc>
        <w:tc>
          <w:tcPr>
            <w:tcW w:w="1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(16,048)</w:t>
            </w: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(16,687)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(14,053)</w:t>
            </w: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320" w:type="dxa"/>
            <w:vAlign w:val="bottom"/>
          </w:tcPr>
          <w:p>
            <w:pPr>
              <w:spacing w:after="0"/>
              <w:rPr>
                <w:sz w:val="17"/>
                <w:szCs w:val="17"/>
                <w:color w:val="auto"/>
              </w:rPr>
            </w:pPr>
          </w:p>
        </w:tc>
        <w:tc>
          <w:tcPr>
            <w:tcW w:w="1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(11,896)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(10,025)</w:t>
            </w: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3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(30,686)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(27,325)</w:t>
            </w: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320" w:type="dxa"/>
            <w:vAlign w:val="bottom"/>
          </w:tcPr>
          <w:p>
            <w:pPr>
              <w:spacing w:after="0"/>
              <w:rPr>
                <w:sz w:val="17"/>
                <w:szCs w:val="17"/>
                <w:color w:val="auto"/>
              </w:rPr>
            </w:pPr>
          </w:p>
        </w:tc>
        <w:tc>
          <w:tcPr>
            <w:tcW w:w="1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w:t>
            </w: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Seat images</w:t>
            </w:r>
          </w:p>
        </w:tc>
        <w:tc>
          <w:tcPr>
            <w:tcW w:w="3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w:t>
            </w: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17"/>
                <w:szCs w:val="17"/>
                <w:color w:val="auto"/>
              </w:rPr>
            </w:pPr>
          </w:p>
        </w:tc>
        <w:tc>
          <w:tcPr>
            <w:tcW w:w="1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4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accumulated amortization</w:t>
            </w:r>
          </w:p>
        </w:tc>
        <w:tc>
          <w:tcPr>
            <w:tcW w:w="3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rPr>
              <w:t>(78,995)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(67,208)</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Trademarks</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17"/>
                <w:szCs w:val="17"/>
                <w:color w:val="auto"/>
              </w:rPr>
            </w:pPr>
          </w:p>
        </w:tc>
        <w:tc>
          <w:tcPr>
            <w:tcW w:w="1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w:t>
            </w:r>
          </w:p>
        </w:tc>
      </w:tr>
      <w:tr>
        <w:trPr>
          <w:trHeight w:val="20"/>
        </w:trPr>
        <w:tc>
          <w:tcPr>
            <w:tcW w:w="7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24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Intangible assets – net</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228,057</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233,116</w:t>
            </w:r>
          </w:p>
        </w:tc>
        <w:tc>
          <w:tcPr>
            <w:tcW w:w="100" w:type="dxa"/>
            <w:vAlign w:val="bottom"/>
            <w:shd w:val="clear" w:color="auto" w:fill="CFF0FC"/>
          </w:tcPr>
          <w:p>
            <w:pPr>
              <w:spacing w:after="0"/>
              <w:rPr>
                <w:sz w:val="18"/>
                <w:szCs w:val="18"/>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-1851025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Definite-lived intangible assets are recorded net of foreign currency translation adjustments and accumulated amortization. Indefinite-lived intangible assets, which entirely relate to our trademarks, are recorded net of foreign currency translation adjustments and impairment. At March 31, 2025 and December 31, 2024, we had recorded cumulative impairment charges of $78.7 million related to our indefinite-lived intangible assets.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2024, we acquired a domain name that we had previously licensed (the “Acquired Domain Name”). In exchange for the Acquired Domain Name, we are required to disburse monthly interest-free cash payments totaling $31.4 million through June 2040 (the “Acquired Domain Name Obligation”).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Acquired Domain Name as a definite-lived intangible asset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acquisition cost of the Acquired Domain Name was $17.3 million, which will be amortized over a total period of 15.6 years (the “Acquired Domain Name Term”). As of March 31, 2025 and December 31, 2024, the Acquired Domain Name had a carrying value of $17.1 million and $17.3 million, respectively, which is recorded in Intangible assets – net in the Condensed Consolidated Balance Sheets.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account for the Acquired Domain Name Obligation as a liability for which interest will accrue over the Acquired Domain Name Term at an effective interest rate of 8.6% per annum. As of March 31, 2025 and December 31, 2024, the Acquired Domain Name Obligation had a carrying value of $17.0 million and $17.2 million, respectively, $0.6 million of which is recorded in Accrued expenses and other current liabilities in the Condensed Consolidated Balance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Sheets. The remaining $16.4 million and $16.6 million, respectively, is recorded in Other liabilities in the Condensed Consolidated Balance Sheets. During the three months ended March 31, 2025, we incurred $0.4 million of interest for the Acquired Domain Name Obligation, which is recorded in Interest expense – net in the Condensed Consolidated Statements of Operations.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three months ended March 31, 2025, the carrying amount of our intangible assets decreased primarily as a result of increased accumulated amortization on our definite-lived intangible assets and lower spending on capitalized development activities during the period. Amortization expense on our definite-lived intangible assets during the three months ended March 31, 2025 and 2024 was $11.0 million and $10.0 million, respectively, which is recorded in Depreciation and amortization expenses in the Condensed Consolidated Statements of Operations. During the three months ended March 31, 2024, we incurred a loss of $0.1 million on asset disposals related to our definite-lived intangible assets, which is recorded in General and administrative expenses in the Condensed Consolidated Statements of Operations. We did not incur a loss on asset disposals related to our definite-lived intangible assets during the three months ended March 31, 2025.</w:t>
      </w:r>
    </w:p>
    <w:p>
      <w:pPr>
        <w:spacing w:after="0" w:line="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nvestments and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2023, we invested $6.0 million in a privately held company in the form of a convertible promissory note (the “Note”) and a warrant to purchase up to 1,874,933 shares of the company’s stock (the “Warrant”). Interest on the Note accrues at 8.0% per annum and outstanding principal and accrued interest is due and payable at the earlier of July 3, 2030 or a change in control of the company. The Warrant is exercisable until the date that is three years after the Note is repaid, subject to certain accelerating events.</w:t>
      </w:r>
    </w:p>
    <w:p>
      <w:pPr>
        <w:spacing w:after="0" w:line="6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account for the Note in accordance with ASC Topic 320,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Securities.</w:t>
      </w:r>
      <w:r>
        <w:rPr>
          <w:rFonts w:ascii="Arial" w:cs="Arial" w:eastAsia="Arial" w:hAnsi="Arial"/>
          <w:sz w:val="18"/>
          <w:szCs w:val="18"/>
          <w:color w:val="auto"/>
        </w:rPr>
        <w:t xml:space="preserve"> The Note is classified as an available-for-sale security and is recorded at fair value with the change in unrealized gains and losses reported as a separate component on the Condensed Consolidated Statements of Comprehensive Income (Loss) until realized. The Note’s unrealized loss during the three months ended March 31, 2025 and 2024 was less than $0.1 million and $0.1 million, respectively. The Note’s amortized cost was $3.5 million and $3.0 million at March 31, 2025 and December 31, 2024, respectively. We did not recognize any credit losses related to the Note during the three months ended March 31, 2025 and 2024.</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Warrant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pursuant to which we record the derivative instrument in the Condensed Consolidated Balance Sheets at fair value with changes in fair value recognized in Other expense (income) – net in the Condensed Consolidated Statements of Operations on a recurring basis. The classification of the derivative instrument, including whether it should be recorded as an asset or a liability, is evaluated at the end of each reporting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measure certain investment-related assets and liabilities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which defines fair value as the price that would be received to sell an asset or paid to transfer a liability in an orderly transaction between market participants at the measurement date, establishes a framework for measuring fair value in U.S. GAAP, and expands disclosures about fair value measurements. To increase consistency and comparability in fair value measurements, ASC 820 establishes a fair value hierarchy that prioritizes the inputs to valuation techniques used to measure fair value into three levels as follows: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that reflect quoted prices (unadjusted)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that include other inputs that are directly or indirectly observable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derived from valuation techniques in which one or more significant inputs or significant value drivers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unobservable. These fair value measurements require significant judgment.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present investments recorded at fair value on a recurring basis by hierarchy level at March 31, 2025 and December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326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March 31, 2025</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3,738</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3,738</w:t>
            </w:r>
          </w:p>
        </w:tc>
        <w:tc>
          <w:tcPr>
            <w:tcW w:w="12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2,975</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6,713</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6,713</w:t>
            </w:r>
          </w:p>
        </w:tc>
        <w:tc>
          <w:tcPr>
            <w:tcW w:w="12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32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26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2024</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12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660" w:type="dxa"/>
            <w:vAlign w:val="bottom"/>
            <w:gridSpan w:val="2"/>
          </w:tcPr>
          <w:p>
            <w:pPr>
              <w:jc w:val="right"/>
              <w:ind w:right="115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12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-1113790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-1113790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-1113790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-162560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-162560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-162560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fair value of the Note is determined using the income approach, which consists entirely of Level 3 inputs. The estimated fair value of the Warrant is determined using the Black-Scholes option pricing model, which requires us to make assumptions and judgments about the variables used in the calculation related to the expected term, the expected volatility, the risk-free rate of interest, and the expected dividend yield. Because of the inherent uncertainty of these valuations, the estimated fair values of the Note and the Warrant may differ significantly from the fair values that would have been used had a ready market for the investments existed, the effects of which could be material.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the significant unobservable inputs applied to the fair value measurements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Note and the Warrant at March 31, 2025 and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Pr>
          <w:p>
            <w:pPr>
              <w:ind w:left="840"/>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7"/>
                <w:szCs w:val="17"/>
                <w:color w:val="auto"/>
              </w:rPr>
            </w:pPr>
          </w:p>
        </w:tc>
        <w:tc>
          <w:tcPr>
            <w:tcW w:w="2520" w:type="dxa"/>
            <w:vAlign w:val="bottom"/>
          </w:tcPr>
          <w:p>
            <w:pPr>
              <w:ind w:left="6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300" w:type="dxa"/>
            <w:vAlign w:val="bottom"/>
          </w:tcPr>
          <w:p>
            <w:pPr>
              <w:spacing w:after="0"/>
              <w:rPr>
                <w:sz w:val="19"/>
                <w:szCs w:val="19"/>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260" w:type="dxa"/>
            <w:vAlign w:val="bottom"/>
          </w:tcPr>
          <w:p>
            <w:pPr>
              <w:spacing w:after="0"/>
              <w:rPr>
                <w:sz w:val="19"/>
                <w:szCs w:val="19"/>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4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16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Note</w:t>
            </w:r>
          </w:p>
        </w:tc>
        <w:tc>
          <w:tcPr>
            <w:tcW w:w="300" w:type="dxa"/>
            <w:vAlign w:val="bottom"/>
            <w:shd w:val="clear" w:color="auto" w:fill="CFF0FC"/>
          </w:tcPr>
          <w:p>
            <w:pPr>
              <w:spacing w:after="0"/>
              <w:rPr>
                <w:sz w:val="17"/>
                <w:szCs w:val="17"/>
                <w:color w:val="auto"/>
              </w:rPr>
            </w:pPr>
          </w:p>
        </w:tc>
        <w:tc>
          <w:tcPr>
            <w:tcW w:w="36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280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w w:val="95"/>
              </w:rPr>
              <w:t>5.3</w:t>
            </w:r>
          </w:p>
        </w:tc>
        <w:tc>
          <w:tcPr>
            <w:tcW w:w="2860" w:type="dxa"/>
            <w:vAlign w:val="bottom"/>
            <w:gridSpan w:val="2"/>
            <w:shd w:val="clear" w:color="auto" w:fill="CFF0FC"/>
          </w:tcPr>
          <w:p>
            <w:pPr>
              <w:jc w:val="center"/>
              <w:ind w:left="230"/>
              <w:spacing w:after="0" w:line="196" w:lineRule="exact"/>
              <w:rPr>
                <w:sz w:val="20"/>
                <w:szCs w:val="20"/>
                <w:color w:val="auto"/>
              </w:rPr>
            </w:pPr>
            <w:r>
              <w:rPr>
                <w:rFonts w:ascii="Arial" w:cs="Arial" w:eastAsia="Arial" w:hAnsi="Arial"/>
                <w:sz w:val="18"/>
                <w:szCs w:val="18"/>
                <w:color w:val="auto"/>
              </w:rPr>
              <w:t>5.5</w:t>
            </w:r>
          </w:p>
        </w:tc>
      </w:tr>
      <w:tr>
        <w:trPr>
          <w:trHeight w:val="203"/>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tcPr>
          <w:p>
            <w:pPr>
              <w:jc w:val="center"/>
              <w:spacing w:after="0" w:line="202" w:lineRule="exact"/>
              <w:rPr>
                <w:sz w:val="20"/>
                <w:szCs w:val="20"/>
                <w:color w:val="auto"/>
              </w:rPr>
            </w:pPr>
            <w:r>
              <w:rPr>
                <w:rFonts w:ascii="Arial" w:cs="Arial" w:eastAsia="Arial" w:hAnsi="Arial"/>
                <w:sz w:val="18"/>
                <w:szCs w:val="18"/>
                <w:color w:val="auto"/>
                <w:w w:val="99"/>
              </w:rPr>
              <w:t>Implied yield</w:t>
            </w:r>
          </w:p>
        </w:tc>
        <w:tc>
          <w:tcPr>
            <w:tcW w:w="28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21.2%</w:t>
            </w:r>
          </w:p>
        </w:tc>
        <w:tc>
          <w:tcPr>
            <w:tcW w:w="286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7"/>
              </w:rPr>
              <w:t>21.0%</w:t>
            </w:r>
          </w:p>
        </w:tc>
      </w:tr>
      <w:tr>
        <w:trPr>
          <w:trHeight w:val="203"/>
        </w:trPr>
        <w:tc>
          <w:tcPr>
            <w:tcW w:w="1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Warrant</w:t>
            </w:r>
          </w:p>
        </w:tc>
        <w:tc>
          <w:tcPr>
            <w:tcW w:w="300" w:type="dxa"/>
            <w:vAlign w:val="bottom"/>
            <w:shd w:val="clear" w:color="auto" w:fill="CFF0FC"/>
          </w:tcPr>
          <w:p>
            <w:pPr>
              <w:spacing w:after="0"/>
              <w:rPr>
                <w:sz w:val="17"/>
                <w:szCs w:val="17"/>
                <w:color w:val="auto"/>
              </w:rPr>
            </w:pPr>
          </w:p>
        </w:tc>
        <w:tc>
          <w:tcPr>
            <w:tcW w:w="36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Expected term (years)</w:t>
            </w:r>
          </w:p>
        </w:tc>
        <w:tc>
          <w:tcPr>
            <w:tcW w:w="280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5"/>
              </w:rPr>
              <w:t>5.3</w:t>
            </w:r>
          </w:p>
        </w:tc>
        <w:tc>
          <w:tcPr>
            <w:tcW w:w="2860" w:type="dxa"/>
            <w:vAlign w:val="bottom"/>
            <w:gridSpan w:val="2"/>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rPr>
              <w:t>5.5</w:t>
            </w:r>
          </w:p>
        </w:tc>
      </w:tr>
      <w:tr>
        <w:trPr>
          <w:trHeight w:val="203"/>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280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55.3%</w:t>
            </w:r>
          </w:p>
        </w:tc>
        <w:tc>
          <w:tcPr>
            <w:tcW w:w="2860" w:type="dxa"/>
            <w:vAlign w:val="bottom"/>
            <w:gridSpan w:val="2"/>
          </w:tcPr>
          <w:p>
            <w:pPr>
              <w:jc w:val="center"/>
              <w:ind w:left="230"/>
              <w:spacing w:after="0" w:line="202" w:lineRule="exact"/>
              <w:rPr>
                <w:sz w:val="20"/>
                <w:szCs w:val="20"/>
                <w:color w:val="auto"/>
              </w:rPr>
            </w:pPr>
            <w:r>
              <w:rPr>
                <w:rFonts w:ascii="Arial" w:cs="Arial" w:eastAsia="Arial" w:hAnsi="Arial"/>
                <w:sz w:val="18"/>
                <w:szCs w:val="18"/>
                <w:color w:val="auto"/>
                <w:w w:val="97"/>
              </w:rPr>
              <w:t>59.0%</w:t>
            </w:r>
          </w:p>
        </w:tc>
      </w:tr>
      <w:tr>
        <w:trPr>
          <w:trHeight w:val="203"/>
        </w:trPr>
        <w:tc>
          <w:tcPr>
            <w:tcW w:w="1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80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7"/>
              </w:rPr>
              <w:t>4.1%</w:t>
            </w:r>
          </w:p>
        </w:tc>
        <w:tc>
          <w:tcPr>
            <w:tcW w:w="2860" w:type="dxa"/>
            <w:vAlign w:val="bottom"/>
            <w:gridSpan w:val="2"/>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rPr>
              <w:t>4.4%</w:t>
            </w:r>
          </w:p>
        </w:tc>
      </w:tr>
      <w:tr>
        <w:trPr>
          <w:trHeight w:val="239"/>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28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0.0%</w:t>
            </w:r>
          </w:p>
        </w:tc>
        <w:tc>
          <w:tcPr>
            <w:tcW w:w="2860" w:type="dxa"/>
            <w:vAlign w:val="bottom"/>
            <w:gridSpan w:val="2"/>
          </w:tcPr>
          <w:p>
            <w:pPr>
              <w:jc w:val="center"/>
              <w:ind w:left="23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changes in the carrying amounts of the Note and the Warrant (both of which are measured at fair value using Level 3 significant unobservable inputs) during the three months ended March 31,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Note</w:t>
            </w:r>
          </w:p>
        </w:tc>
        <w:tc>
          <w:tcPr>
            <w:tcW w:w="6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Warrant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January 1, 2025</w:t>
            </w:r>
          </w:p>
        </w:tc>
        <w:tc>
          <w:tcPr>
            <w:tcW w:w="3500" w:type="dxa"/>
            <w:vAlign w:val="bottom"/>
            <w:gridSpan w:val="2"/>
            <w:shd w:val="clear" w:color="auto" w:fill="CFF0FC"/>
          </w:tcPr>
          <w:p>
            <w:pPr>
              <w:jc w:val="right"/>
              <w:ind w:right="119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3,604</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3,325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Accretion of discount</w:t>
            </w:r>
          </w:p>
        </w:tc>
        <w:tc>
          <w:tcPr>
            <w:tcW w:w="2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paid-in-kind</w:t>
            </w:r>
          </w:p>
        </w:tc>
        <w:tc>
          <w:tcPr>
            <w:tcW w:w="2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Unrealized losses:</w:t>
            </w:r>
          </w:p>
        </w:tc>
        <w:tc>
          <w:tcPr>
            <w:tcW w:w="2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Recognized in net loss</w:t>
            </w:r>
          </w:p>
        </w:tc>
        <w:tc>
          <w:tcPr>
            <w:tcW w:w="2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4540" w:type="dxa"/>
            <w:vAlign w:val="bottom"/>
          </w:tcPr>
          <w:p>
            <w:pPr>
              <w:ind w:left="60"/>
              <w:spacing w:after="0" w:line="202" w:lineRule="exact"/>
              <w:rPr>
                <w:sz w:val="20"/>
                <w:szCs w:val="20"/>
                <w:color w:val="auto"/>
              </w:rPr>
            </w:pPr>
            <w:r>
              <w:rPr>
                <w:rFonts w:ascii="Arial" w:cs="Arial" w:eastAsia="Arial" w:hAnsi="Arial"/>
                <w:sz w:val="18"/>
                <w:szCs w:val="18"/>
                <w:color w:val="auto"/>
              </w:rPr>
              <w:t>Recognized in other comprehensive income</w:t>
            </w:r>
          </w:p>
        </w:tc>
        <w:tc>
          <w:tcPr>
            <w:tcW w:w="2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w:t>
            </w: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unrealized losses</w:t>
            </w:r>
          </w:p>
        </w:tc>
        <w:tc>
          <w:tcPr>
            <w:tcW w:w="2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(39)</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96"/>
        </w:trPr>
        <w:tc>
          <w:tcPr>
            <w:tcW w:w="45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Balance at March 31, 2025</w:t>
            </w:r>
          </w:p>
        </w:tc>
        <w:tc>
          <w:tcPr>
            <w:tcW w:w="2100" w:type="dxa"/>
            <w:vAlign w:val="bottom"/>
            <w:tcBorders>
              <w:top w:val="single" w:sz="8" w:color="CFF0FC"/>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90"/>
              <w:spacing w:after="0" w:line="182"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3,738</w:t>
            </w: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2,975</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100" w:type="dxa"/>
            <w:vAlign w:val="bottom"/>
            <w:vMerge w:val="restart"/>
          </w:tcPr>
          <w:p>
            <w:pPr>
              <w:jc w:val="right"/>
              <w:ind w:right="83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5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-1207770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the major components of accrued expenses and other current liabilities at March 31,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marketing expense</w:t>
            </w:r>
          </w:p>
        </w:tc>
        <w:tc>
          <w:tcPr>
            <w:tcW w:w="20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30,639</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30,573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customer credits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53,916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55,785</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future customer compensation</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27,412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26,614</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payroll</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4,396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10,128</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operating expenses</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19,885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16,193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26,553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25,754</w:t>
            </w: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Accrued expenses and other current liabilities</w:t>
            </w:r>
          </w:p>
        </w:tc>
        <w:tc>
          <w:tcPr>
            <w:tcW w:w="20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162,801</w:t>
            </w:r>
          </w:p>
        </w:tc>
        <w:tc>
          <w:tcPr>
            <w:tcW w:w="4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165,047</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Accrued customer credits represent credits issued and outstanding for event cancellations or other service issues related to recorded sales transactions. The accrued amount is reduced by the amount of credits estimated to go unused, or breakage, provided that the credits are not subject to escheatment. We estimate breakage based on historical usage trends and available data on comparable programs, and we recognize breakage in proportion to the pattern of redemption for customer credits. Our breakage estimates could be impacted by future activity differing from our estimates, the effects of which could be material.</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$1.5 million of accrued customer credits were redeemed and we recognized revenue from breakage of $1.6 million and $2.1 million, respectively. Breakage amounts are recorded net of reductions in associated accounts receivable balances.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Accrued future customer compensation represents an estimate of the amount of customer compensation due from event cancellation charges in the future. These provisions, which are based on historic experience, revenue volumes for future events, and our estimate of the likelihood of future event cancellations, are recognized as a component of Revenues in the Condensed Consolidated Statements of Operations. The expected recoveries of these obligations are recorded in Prepaid expenses and other current assets in the Condensed Consolidated Balance Sheets. This estimated accrual could be impacted by future activity that differs from our estimates, the effects of which could be material.</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we recognized a net decrease in revenue of less than $0.1 million and $0.1 million, respectively, from reversals of previously recorded revenue and changes to accrued future customer compensation related to event cancellations where the performance obligations were satisfied in prior periods.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accrued future customer compensation increased by $0.8 million and decreased by $1.6 million, respectively, primarily due to an increase in the estimate of future event cancellations as of March 31, 2025 and a decrease in the estimate of future event cancellations as of March 31, 2024.</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long-term debt, net of unamortized debt issuance costs and current maturities,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December 31,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2024 First Lien Loan</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80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2025 First Lien Loan</w:t>
            </w:r>
          </w:p>
        </w:tc>
        <w:tc>
          <w:tcPr>
            <w:tcW w:w="2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393,025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debt</w:t>
            </w:r>
          </w:p>
        </w:tc>
        <w:tc>
          <w:tcPr>
            <w:tcW w:w="2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280" w:type="dxa"/>
            <w:vAlign w:val="bottom"/>
          </w:tcPr>
          <w:p>
            <w:pPr>
              <w:spacing w:after="0"/>
              <w:rPr>
                <w:sz w:val="17"/>
                <w:szCs w:val="17"/>
                <w:color w:val="auto"/>
              </w:rPr>
            </w:pPr>
          </w:p>
        </w:tc>
        <w:tc>
          <w:tcPr>
            <w:tcW w:w="1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(3,287)</w:t>
            </w:r>
          </w:p>
        </w:tc>
        <w:tc>
          <w:tcPr>
            <w:tcW w:w="200" w:type="dxa"/>
            <w:vAlign w:val="bottom"/>
          </w:tcPr>
          <w:p>
            <w:pPr>
              <w:spacing w:after="0"/>
              <w:rPr>
                <w:sz w:val="17"/>
                <w:szCs w:val="17"/>
                <w:color w:val="auto"/>
              </w:rPr>
            </w:pP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(4,115)</w:t>
            </w: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2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389,738</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388,910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80" w:type="dxa"/>
            <w:vAlign w:val="bottom"/>
          </w:tcPr>
          <w:p>
            <w:pPr>
              <w:spacing w:after="0"/>
              <w:rPr>
                <w:sz w:val="17"/>
                <w:szCs w:val="17"/>
                <w:color w:val="auto"/>
              </w:rPr>
            </w:pPr>
          </w:p>
        </w:tc>
        <w:tc>
          <w:tcPr>
            <w:tcW w:w="1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(3,950)</w:t>
            </w:r>
          </w:p>
        </w:tc>
        <w:tc>
          <w:tcPr>
            <w:tcW w:w="200" w:type="dxa"/>
            <w:vAlign w:val="bottom"/>
          </w:tcPr>
          <w:p>
            <w:pPr>
              <w:spacing w:after="0"/>
              <w:rPr>
                <w:sz w:val="17"/>
                <w:szCs w:val="17"/>
                <w:color w:val="auto"/>
              </w:rPr>
            </w:pP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(3,950)</w:t>
            </w:r>
          </w:p>
        </w:tc>
      </w:tr>
      <w:tr>
        <w:trPr>
          <w:trHeight w:val="236"/>
        </w:trPr>
        <w:tc>
          <w:tcPr>
            <w:tcW w:w="7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Long-term debt – net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385,788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384,960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2017, we entered into a $575.0 million first lien debt facility comprising a $50.0 million revolving credit facility and a $525.0 million term loan (the “2017 First Lien Loan”), and a second lien credit facility comprising a $185.0 million second lien term loan (the “2017 Second Lien Loan”).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 July 2018, we amended the 2017 First Lien Loan to upsize the committed amount by $115.0 million.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October 2019, we repaid the 2017 Second Lien Loan in its entirety. The revolving credit facility component of the first lien debt facility was retired in May 2020.</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2021, we made an early principal payment related to the 2017 First Lien Loan of $148.2 million in connection with, and using the proceeds from, the October 2021 transaction pursuant to which Horizon Acquisition Corporation (“Horizon”) merged with and into VSI (the “Merger Transaction”) and a related private investment in public equity.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First Lien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2022, we repaid $190.7 million of the 2017 First Lien Loan and refinanced the remaining balance with a new $275.0 million term loan (the “2022 First Lien Loan”), which had an original maturity date of February 3, 2029, and added a $100.0 million revolving credit facility (the “Revolving Facility”) with a maturity date of February 3, 2027.</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First Lien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2024, we refinanced the remaining $269.5 million balance of the 2022 First Lien Loan with a new $395.0 million term loan (the “2024 First Lien Loan”), which had an original maturity date of February 3, 2029. The Revolving Facility was not impacted by the refinancing of the 2022 First Lien Loan with the 2024 First Lien Loan.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First Lien Loan carried an interest rate equal to the secured overnight financing rate (“SOFR”) (subject to a 0.5% floor) plus a margin of 3.00%. The effective interest rate on the 2024 First Lien Loan was 7.9% per annum at December 31, 2024. Other than with respect to the interest rate, the 2024 First Lien Loan had the same material terms (including with respect to maturity, prepayment, security, covenants, and events of default) as the 2025 First Lien Term Loan (as defined in the “2025 First Lien Loan” section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First Lien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2025, we refinanced the remaining $393.0 million balance of the 2024 First Lien Loan with a new $393.0 million term loan (the “2025 First Lien Loan”), which has a maturity date of February 3, 2029. The Revolving Facility was not impacted by the refinancing of the 2024 First Lien Loan with the 2025 First Lien Loan.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terms of the 2025 First Lien Loan specify a SOFR-based floating interest rate and contain a springing financial covenant that requires compliance with a first lien net leverage ratio when borrowings under the Revolving Facility exceed certain levels. All obligations under the 2025 First Lien Loan are unconditionally guaranteed by Hoya Intermediate and substantially all of Hoya Intermediate’s existing and future direct and indirect wholly owned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domestic subsidiaries (collectively, the “Guarantors”). The 2025 First Lien Loan requires quarterly principal payments of $1.0 million. All obligations under the 2025 First Lien Loan are secured, subject to permitted liens and other exceptions, by first-priority perfected security interests in substantially all of our and the Guarantors’ assets.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effective interest rate on the 2025 First Lien Loan was 6.8% per annum at March 31, 2025.</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2025 First Lien Loan is held by third-party financial institutions and is carried at the outstanding principal balance, less debt issuance costs and any unamortized discount or premium. Because the fair value was estimated using quoted prices that are directly observable in the marketplace, it is estimated on a Level 2 basis. At March 31, 2025 and December 31, 2024, the fair values of the 2025 First Lien Loan and the 2024 First Lien Loan approximated their respective carrying values.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certain reporting and compliance-related covenants to remain in good standing under the 2025 First Lien Loan. These covenants, among other things, limit our ability to incur additional indebtedness and, in certain circumstances, to enter into transactions with affiliates, create liens, merge or consolidate, and make certain payments. Non-compliance with these covenants and failure to remedy could result in the acceleration of the loans or foreclosure on the collateral. As of March 31, 2025 and December 31, 2024, we were in compliance with all debt covenants related to the 2025 First Lien Loan and the 2024 First Lien Loan, respectively, and had no outstanding borrowings under the Revolving Facility.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we analyzed our outstanding balances with each lender both immediately before and after the repricing and determined that the refinancing of the 2024 First Lien Loan with the 2025 First Lien Loan is partly accounted for as a debt modification (the “First Lien Loan Modification”), partly accounted for as a debt extinguishment (the “First Lien Loan Extinguishment”), and partly accounted for as an issuance of new debt (the “First Lien Loan Issuance”).</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the three months ended March 31, 2025, we (i) recognized an expense of $0.6 million for third-party fees incurred in relation to the First Lien Loan Modification, which is recorded in Other expense (income) – net in the Condensed Consolidated Statements of Operations;</w:t>
      </w:r>
    </w:p>
    <w:p>
      <w:pPr>
        <w:jc w:val="both"/>
        <w:ind w:firstLine="8"/>
        <w:spacing w:after="0" w:line="242"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recognized an expense of $0.8 million for losses incurred in relation to the First Lien Loan Extinguishment, which is recorded in Loss on extinguishment of debt in the Condensed Consolidated Statements of Operations; and (iii) capitalized $0.2 million of third-party fees incurred in relation to the First Lien Loan Issuance, which is recorded in Long-term debt – net in the Condensed Consolidated Balance Sheets.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Shoko Chukin Bank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Co., Ltd., we assumed long-term debt owed to Shoko Chukin Bank (the “Shoko Chukin Bank Loan”) of JPY 458.3 million (approximately $3.1 million), which had an original maturity date of June 24, 2026 and was subject to a fixed interest rate of 1.3% per annum. In April 2024, we paid off the Shoko Chukin Bank Loan balance in its entirety.</w:t>
      </w:r>
    </w:p>
    <w:p>
      <w:pPr>
        <w:spacing w:after="0" w:line="61"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Merger Transaction, we issued to former warrant holders of Horizon warrants to purchase 18,132,776 shares of our Class A common stock at an exercise price of $11.50 per share (the “Public Warrants”), 5,166,666 of which were issued to Horizon Sponsor, LLC (“Horizon Sponsor”). The Public Warrants are traded on the Nasdaq Stock Market under the symbol “SEATW.”</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in our sole discretion, reduce the exercise price of the Public Warrants to induce early exercise, provided that we provide at least five days’ advance notice. The exercise price and number of shares of Class A common stock issuable upon exercise of the Public Warrants may also be adjusted in certain circumstances, including in the event of a share dividend, recapitalization, reorganization, merger, or consolidation. In no event are we required to net cash settle the Public Warrants.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Public Warrants became exercisable 30 days following the Merger Transaction and expire at the earliest of the date that is five years following the Merger Transaction, the date of our liquidation, or the date of our optional redemption thereof provided that the value of the Class A common stock exceeds $18.00 per share. There is an effective registration statement and prospectus relating to the shares of Class A common stock issuable upon exercise of the Public Warrants.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certain circumstances, we may elect to redeem the Public Warrants at a redemption price of $0.01 per Public Warrant at any time during the term of the Public Warrants in which the trading price of the Class A common stock has been at least $18.00 per share for 20 trading days within a 30 trading-day period. If we elect to redeem the 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there were 6,766,853 Public Warrants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Merger Transaction, we issued to Horizon Sponsor warrants to purchase 6,519,791 shares of our Class A common stock at an exercise price of $11.50 per share (the “Private Warrants”).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Private Warrants have similar terms to the Public Warrants, with the most notable difference being that we are unable to redeem the Private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there were 6,519,791 Private Warrants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Merger Transaction, we issued to Horizon Sponsor (i) warrants to purchase 17,000,000 shares of our Class A common stock at an exercise price of $10.00 per share (the “$10 Exercise Warrants”) and (ii) warrants to purchase 17,000,000 shares of our Class A common stock at an exercise of $15.00 per share (the “$15 Exercise Warrants” and, together with the $10 Exercise Warrants, the “Exercise Warrants”).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Exercise Warrants have similar terms to the Public Warrants, except that they have different exercise prices, an initial term of 10 years, are not redeemable by us, and are fully transferable.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2025, there were 34,000,000 Exercise Warrants outstanding (comprised of 17,000,000 $10 Exercise Warrants and 17,000,000 $15 Exercise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Mirror Warrants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Merger Transaction, Hoya Intermediate issued to us (i) warrants to purchase 17,000,000 of its common units (“Intermediate Units”) at an exercise price of $10.00 per unit (the “$10 Mirror Warrants”); (ii) warrants to purchase 17,000,000 Intermediate Units at an exercise of $15.00 per unit (the “$15 Mirror Warrants”); and (iii) warrants to purchase 24,652,557 Intermediate Units at an exercise price of $11.50 per unit (the “$11.50 Mirror Warrants” and, together with the $10 Mirror Warrants and the $15 Mirror Warrants, the “Mirror Warrants”).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Mirror Warrants have nearly identical terms to the Public, Private, and Exercise Warrants. Upon the valid exercise of a Public, Private, or Exercise Warrant, Hoya Intermediate will issue to us an equivalent number of Intermediate Units. Similarly, if a Public, Private, or Exercise Warrant is tendered, an equivalent number of Mirror Warrants will be tendered.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Because the Public, Private, and Exercise Warrants are indexed to our equity and meet the equity classification guidance of ASC Topic 815-40,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they are accounted for as a component of Shareholders' equity and recorded in Additional paid-in capital in the Condensed Consolidated Balance Sheets. The Mirror Warrants eliminate in consolidation and do not impact the presentation of our condensed consolidated financial statements.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2025, there were 47,286,644 Mirror Warrants outstanding (comprised of 17,000,000 $10 Mirror Warrants, 17,000,000 $15 Mirror Warrants, and 13,286,644 $11.50 Mirror Warrants).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Merger Transaction, Hoya Intermediate issued to Hoya Topco, LLC (“Hoya Topco”) (i) warrants to purchase 3,000,000 Intermediate Units at an exercise price of $10.00 per unit (the “$10 Intermediate Warrants”) and (ii) warrants to purchase 3,000,000 Intermediate Units at an exercise of $15.00 per unit (the “$15 Intermediate Warrants” and, together with the $10 Intermediate Warrants, the “Intermediate Warrants”).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the valid exercise of an Intermediate Warrant for Intermediate Units, we will issue an equivalent number of shares of our Class B common stock to Hoya Topco. Because the Intermediate Warrants allow for cash redemption at the option of the warrant holder, they are recorded in Other liabilities in the Condensed Consolidated Balance Sheets.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March 31, 2025, there were 4,000,000 Intermediate Warrants outstanding (comprised of 2,000,000 $10 Intermediate Warrants and 2,000,000 $15 Intermediate Warrants).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the significant unobservable inputs applied to the fair value measurement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Intermediate Warrants at March 31, 2025 and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Pr>
          <w:p>
            <w:pPr>
              <w:ind w:left="110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7"/>
                <w:szCs w:val="17"/>
                <w:color w:val="auto"/>
              </w:rPr>
            </w:pPr>
          </w:p>
        </w:tc>
        <w:tc>
          <w:tcPr>
            <w:tcW w:w="3060" w:type="dxa"/>
            <w:vAlign w:val="bottom"/>
          </w:tcPr>
          <w:p>
            <w:pPr>
              <w:ind w:left="9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360" w:type="dxa"/>
            <w:vAlign w:val="bottom"/>
          </w:tcPr>
          <w:p>
            <w:pPr>
              <w:spacing w:after="0"/>
              <w:rPr>
                <w:sz w:val="19"/>
                <w:szCs w:val="19"/>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60" w:type="dxa"/>
            <w:vAlign w:val="bottom"/>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44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3380" w:type="dxa"/>
            <w:vAlign w:val="bottom"/>
            <w:gridSpan w:val="2"/>
            <w:shd w:val="clear" w:color="auto" w:fill="CFF0FC"/>
          </w:tcPr>
          <w:p>
            <w:pPr>
              <w:jc w:val="center"/>
              <w:ind w:left="270"/>
              <w:spacing w:after="0" w:line="196" w:lineRule="exact"/>
              <w:rPr>
                <w:sz w:val="20"/>
                <w:szCs w:val="20"/>
                <w:color w:val="auto"/>
              </w:rPr>
            </w:pPr>
            <w:r>
              <w:rPr>
                <w:rFonts w:ascii="Arial" w:cs="Arial" w:eastAsia="Arial" w:hAnsi="Arial"/>
                <w:sz w:val="18"/>
                <w:szCs w:val="18"/>
                <w:color w:val="auto"/>
              </w:rPr>
              <w:t>6.6</w:t>
            </w:r>
          </w:p>
        </w:tc>
        <w:tc>
          <w:tcPr>
            <w:tcW w:w="3420" w:type="dxa"/>
            <w:vAlign w:val="bottom"/>
            <w:gridSpan w:val="2"/>
            <w:shd w:val="clear" w:color="auto" w:fill="CFF0FC"/>
          </w:tcPr>
          <w:p>
            <w:pPr>
              <w:jc w:val="center"/>
              <w:ind w:left="270"/>
              <w:spacing w:after="0" w:line="196" w:lineRule="exact"/>
              <w:rPr>
                <w:sz w:val="20"/>
                <w:szCs w:val="20"/>
                <w:color w:val="auto"/>
              </w:rPr>
            </w:pPr>
            <w:r>
              <w:rPr>
                <w:rFonts w:ascii="Arial" w:cs="Arial" w:eastAsia="Arial" w:hAnsi="Arial"/>
                <w:sz w:val="18"/>
                <w:szCs w:val="18"/>
                <w:color w:val="auto"/>
              </w:rPr>
              <w:t>6.8</w:t>
            </w:r>
          </w:p>
        </w:tc>
      </w:tr>
      <w:tr>
        <w:trPr>
          <w:trHeight w:val="203"/>
        </w:trPr>
        <w:tc>
          <w:tcPr>
            <w:tcW w:w="44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338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7"/>
              </w:rPr>
              <w:t>56.0%</w:t>
            </w:r>
          </w:p>
        </w:tc>
        <w:tc>
          <w:tcPr>
            <w:tcW w:w="342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7"/>
              </w:rPr>
              <w:t>52.0%</w:t>
            </w:r>
          </w:p>
        </w:tc>
      </w:tr>
      <w:tr>
        <w:trPr>
          <w:trHeight w:val="203"/>
        </w:trPr>
        <w:tc>
          <w:tcPr>
            <w:tcW w:w="4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3380" w:type="dxa"/>
            <w:vAlign w:val="bottom"/>
            <w:gridSpan w:val="2"/>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rPr>
              <w:t>4.1%</w:t>
            </w:r>
          </w:p>
        </w:tc>
        <w:tc>
          <w:tcPr>
            <w:tcW w:w="3420" w:type="dxa"/>
            <w:vAlign w:val="bottom"/>
            <w:gridSpan w:val="2"/>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rPr>
              <w:t>4.5%</w:t>
            </w:r>
          </w:p>
        </w:tc>
      </w:tr>
      <w:tr>
        <w:trPr>
          <w:trHeight w:val="239"/>
        </w:trPr>
        <w:tc>
          <w:tcPr>
            <w:tcW w:w="444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3380" w:type="dxa"/>
            <w:vAlign w:val="bottom"/>
            <w:gridSpan w:val="2"/>
          </w:tcPr>
          <w:p>
            <w:pPr>
              <w:jc w:val="center"/>
              <w:ind w:left="270"/>
              <w:spacing w:after="0"/>
              <w:rPr>
                <w:sz w:val="20"/>
                <w:szCs w:val="20"/>
                <w:color w:val="auto"/>
              </w:rPr>
            </w:pPr>
            <w:r>
              <w:rPr>
                <w:rFonts w:ascii="Arial" w:cs="Arial" w:eastAsia="Arial" w:hAnsi="Arial"/>
                <w:sz w:val="18"/>
                <w:szCs w:val="18"/>
                <w:color w:val="auto"/>
              </w:rPr>
              <w:t>0.0%</w:t>
            </w:r>
          </w:p>
        </w:tc>
        <w:tc>
          <w:tcPr>
            <w:tcW w:w="3420" w:type="dxa"/>
            <w:vAlign w:val="bottom"/>
            <w:gridSpan w:val="2"/>
          </w:tcPr>
          <w:p>
            <w:pPr>
              <w:jc w:val="center"/>
              <w:ind w:left="27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the fair value of the liability related to the Intermediate Warrants decreased by $3.1 million and $0.5 million, respectively, for which we recognized a gain in each period. Gains and losses related to the change in fair value of the Intermediate Warrants are recorded in Other expense (income) – net in the Condensed Consolidated Statements of Operations.</w:t>
      </w:r>
    </w:p>
    <w:p>
      <w:pPr>
        <w:spacing w:after="0" w:line="61"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29, 2024, our Board of Directors (our “Board”) authorized a share repurchase program for up to $100.0 million of our Class A common stock (the “Share Repurchase Program”). The Share Repurchase Program was publicly announced on March 5, 2024 and does not have a fixed expiration date.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2025, we repurchased 2.4 million shares of our Class A common stock under the Share Repurchase Program, for which we paid $6.0 million and incurred less than $0.1 million of commissions and excise taxes. As of March 31, 2025, we recognized a liability of $0.9 million related to unpaid share repurchases, which is recorded in Accrued expenses and other current liabilities in the Condensed Consolidated Balance Sheets.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March 31, 2025, we have repurchased 6.5 million shares of our Class A common stock under the Share Repurchase Program, for which we have paid $28.8 million and incurred $0.3 million of commissions and excise taxes. As of March 31, 2025, $70.3 million remained available for future repurchases under the Share Repurchase Program.</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 repurchases are accounted for as equity transactions and are recorded in Treasury stock in the Condensed Consolidated Balance Sheets.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the changes in each major component of accumulated other comprehensive loss attributable to Class A common stockholders during the three months ended March 31, 2025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7"/>
                <w:szCs w:val="17"/>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Accumulated Foreign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9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Unrealized Gain on</w:t>
            </w:r>
          </w:p>
        </w:tc>
        <w:tc>
          <w:tcPr>
            <w:tcW w:w="160" w:type="dxa"/>
            <w:vAlign w:val="bottom"/>
          </w:tcPr>
          <w:p>
            <w:pPr>
              <w:spacing w:after="0"/>
              <w:rPr>
                <w:sz w:val="17"/>
                <w:szCs w:val="17"/>
                <w:color w:val="auto"/>
              </w:rPr>
            </w:pPr>
          </w:p>
        </w:tc>
        <w:tc>
          <w:tcPr>
            <w:tcW w:w="232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Currency Translation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9"/>
              </w:rPr>
              <w:t>Accumulated Other</w:t>
            </w:r>
          </w:p>
        </w:tc>
      </w:tr>
      <w:tr>
        <w:trPr>
          <w:trHeight w:val="221"/>
        </w:trPr>
        <w:tc>
          <w:tcPr>
            <w:tcW w:w="4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tcPr>
          <w:p>
            <w:pPr>
              <w:spacing w:after="0"/>
              <w:rPr>
                <w:sz w:val="19"/>
                <w:szCs w:val="19"/>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2025</w:t>
            </w:r>
          </w:p>
        </w:tc>
        <w:tc>
          <w:tcPr>
            <w:tcW w:w="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(1,061)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(880)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Recognized in other comprehensive income</w:t>
            </w:r>
          </w:p>
        </w:tc>
        <w:tc>
          <w:tcPr>
            <w:tcW w:w="180" w:type="dxa"/>
            <w:vAlign w:val="bottom"/>
          </w:tcPr>
          <w:p>
            <w:pPr>
              <w:spacing w:after="0"/>
              <w:rPr>
                <w:sz w:val="17"/>
                <w:szCs w:val="17"/>
                <w:color w:val="auto"/>
              </w:rPr>
            </w:pPr>
          </w:p>
        </w:tc>
        <w:tc>
          <w:tcPr>
            <w:tcW w:w="1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772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747</w:t>
            </w:r>
          </w:p>
        </w:tc>
        <w:tc>
          <w:tcPr>
            <w:tcW w:w="10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Balances at March 31, 2025</w:t>
            </w:r>
          </w:p>
        </w:tc>
        <w:tc>
          <w:tcPr>
            <w:tcW w:w="18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156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232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(289)</w:t>
            </w:r>
          </w:p>
        </w:tc>
        <w:tc>
          <w:tcPr>
            <w:tcW w:w="22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00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b w:val="1"/>
                <w:bCs w:val="1"/>
                <w:color w:val="auto"/>
              </w:rPr>
              <w:t>(133)</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business, none of which, in management’s opinion, could have a material effect on our business, financial position, or results of operations other than those matters discussed below.</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co-defendant in a class action lawsuit in Canada alleging a failure to disclose service fees prior to checkout. A final order approving the settlement of this lawsuit was entered by the court in August 2020. In January 2022, we issued coupons to certain members of the class. Other members of the class were notified in 2022 that they were eligible to submit a claim for a coupon. As of March 31, 2025 and December 31, 2024, a liability of $0.9 million was recorded in Accrued expenses and other current liabilities in the Condensed Consolidated Balance Sheets related to expected claim submissions and credit redemptions as of the measurement date.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defendant in a lawsuit related to an alleged violation of the Illinois Biometric Information Privacy Act. A final order approving the settlement of this lawsuit was entered by the court on January 29, 2025, pursuant to which $0.3 million was paid to cover approved claims and legal and administrative fees. This amount, which was covered in full by insurance, was paid on March 28, 2025. As of March 31, 2025, we had no accrued liability related to this matter. As of December 31, 2024, a liability of $0.3 million was recorded in Accrued expenses and other current liabilities in the Condensed Consolidated Balance Sheets related to this matter.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Taxes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2018, the U.S.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 It is reasonably possible that state or local governments will continue to adopt or interpret laws such that we will be required to calculate, collect, and remit taxes on sales in their jurisdictions. A successful assertion by one or more jurisdictions could result in material tax liabilities, including uncollected taxes on past sales, as well as penalties and interest. Based on our analysis of certain state and local regulations, specifically related to marketplace facilitators and event ticket sales, we have recorded liabilities in all jurisdictions where we believe a risk of loss is probable and reasonably estimable. We will continuously monitor state and local regulations and will implement required collection and remittance procedures if and when we are subject thereto.</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we have sales for international events, we may be required to register with various foreign jurisdictions and to collect and remit indirect taxes. It is reasonably possible that foreign jurisdictions may continue to adopt or interpret laws that impact the amount we are required to collect and remit. A successful assertion by one or more such jurisdictions could result in material tax liabilities, including uncollected taxes on past sales, as well as penalties and interest. Based on our analysis of certain foreign indirect tax regulations, specifically related to marketplace facilitators and event ticket sales, we have recorded liabilities in the jurisdictions where we believe a risk of loss is probable and reasonably estimable. We will continuously monitor foreign regulations and will implement required collection and remittance procedures if and when we are subject thereto.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2025 and December 31, 2024, a liability of $3.6 million and $7.5 million, respectively, was recorded in Accrued expenses and other current liabilities in the Condensed Consolidated Balance Sheets related to uncollected indirect taxes (including sales taxes). This liability is inclusive of both U.S. and foreign jurisdictions where we believe it is probable we should remit but have not collected all required amounts from customers and is reduced by abatements received. The net benefit (inclusive of any abatements and other liability reductions related to uncollected indirect taxes, including sales taxes) during the three months ended March 31, 2025 and 2024 was $1.8 million and $2.7 million, respectively, which is recorded in General and administrative expenses in the Condensed Consolidated Statements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Loan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August 2024, we and a privately held company entered into a sponsorship and custom content partnership agreement that provides us with various marketing services in exchange for our issuance of an interest-free loan payable in installments that could total a maximum of $5.0 million (the “Sponsorship Loan”). We account for the Sponsorship Loan as a note receivable in accordance with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In August 2024, we disbursed $2.0 million of the Sponsorship Loan (the “2024 Sponsorship Loan”). If certain conditions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met, we will issue an additional interest-free $1.5 million loan in each of September 2025 and September 2026. While there is no stated maturity date for the 2024 Sponsorship Loan, we are entitled to a portion of advertising revenue received by the counterparty until the 2024 Sponsorship Loan is repaid in full.</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Sponsorship Loan had a carrying value of $1.8 million as of March 31, 2025 and December 31, 2024, which is recorded in Other assets in the Condensed Consolidated Balance Sheets. Additionally, we recognized less than $0.1 million of imputed interest income for the 2024 Sponsorship Loan during the three months ended March 31, 2025, which is recorded in Interest expense – net in the Condensed Consolidated Statements of Operations.</w:t>
      </w:r>
    </w:p>
    <w:p>
      <w:pPr>
        <w:spacing w:after="0" w:line="66"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Nation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Viral Nation Inc. (“Viral Nation”) is a marketing agency that creates viral and social media influencer campaigns and provides advertising, marketing, and technology services. Todd Boehly, a member of our Board, serves on the board of directors of Viral Nation and is the Co-Founder, Chairman, and Chief Executive Officer of Eldridge Industries, LLC (“Eldridge”), which owns greater than 10% of Viral Nation. For Viral Nation’s services, we incurred an expense of $0.3 million during the three months ended March 31, 2024, which is recorded in Marketing and selling expenses in the Condensed Consolidated Statements of Operations. We did not incur an expense for Viral Nation's services during the three months ended March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Khoros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Khoros, LLC (“Khoros”) is a social media engagement and management platform. Martin Taylor, a member of our Board, is a Senior Managing Director at Vista Equity Partners, which is one of our investors and a majority owner of Khoros. In relation to a strategic partnership with Khoros, we incurred an expense of less than $0.1 million during the three months ended March 31, 2025, which is recorded in Marketing and selling expenses in the Condensed Consolidated Statements of Operations, and recognized a prepaid expense of $0.1 million as of March 31, 2025, which is recorded in Prepaid expenses and other current assets in the Condensed Consolidated Balance Sheets. We did not incur an expense in relation to this strategic partnership during the three months ended March 31, 2024, nor did we recognize a prepaid expense in relation to this strategic partnership as of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connection with the Merger Transaction, we entered into a Tax Receivable Agreement (the “TRA”) with the existing Hoya Intermediate unitholders in October 2021. For more information, see “Tax Receivable Agreement” in Note 15,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2025 and 2024, we recorded an income tax expense in continuing operations of $3.2 million and $2.3 million, respectively. Our effective income tax rate differed from the 21% U.S. federal statutory rate due to a redeemable noncontrolling interests adjustment for VSI’s allocable share of Hoya Intermediate’s income (loss), state taxes, equity-based compensation, and limitations on compensation deductions.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 Net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March 31, 2025 and December 31, 2024, our deferred tax assets were primarily the result of our investment in partnership, the TRA, net operating losses, interest limitations, and tax credit carryforwards. As of each reporting date, we consider new evidence, both positive and negative, that could affect our view of the future realization of deferred tax assets. Certain tax attributes remain subject to an annual limitation under Section 382 of the Internal Revenue Code of 1986 as a result of the historical acquisitions. We maintain a partial valuation allowance on our investments in partnership related to the portion of the basis difference that we do not expect to realize on a more likely than not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provides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Amounts payable under the TRA are contingent upon the generation of future taxable income over the term of the TRA and future changes in tax laws. If we do not generate sufficient taxable income in the aggregate over the term of the TRA to utilize the tax benefits, then we would not be required to make the related payments. As of March 31, 2025, we estimate that the tax savings associated with all tax attributes described above would aggregate to approximately $183.3 million. Under this scenario, we would be required to pay approximately 85% of such amount, or $155.8 million, primarily over the next 14 years. As of March 31, 2025, $5.8 million is expected to be due within the next 12 months and is recorded as a current liability in Accrued expenses and other current liabilities in the Condensed Consolidated Balance Sheets.</w:t>
      </w:r>
    </w:p>
    <w:p>
      <w:pPr>
        <w:spacing w:after="0" w:line="77"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2021 Incentive Award Plan, as amended (the “2021 Plan”) was approved and adopted in order to facilitate the grant of equity incentive awards to our employees, directors, non-employee directors, and consultants. The 2021 Plan became effective in October 2021 upon consummation of the Merger Transaction, and the First Amendment to the 2021 Plan became effective on February 5, 2024.</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stock units (“RSUs”) are awards that are denominated in a hypothetical equivalent number of shares of our Class A common stock. The value of each RSU is equal to the fair value of our Class A common stock on the grant date. Each RSU converts into shares of our Class A Common stock upon vesting.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2025 and 2024, we granted to certain employees 12.7 million and 8.1 million RSUs, respectively, at a weighted average grant date fair value of $2.81 per share and $5.34 per share, respectively. RSUs granted to employees vest over three years, with one-third vesting on the first anniversary of the grant date and the remaining portion vesting on a quarterly basis thereafter, subject to the employee’s continued employment through the applicable vesting date.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During the three months ended March 31, 2025, we granted to certain consultants less than 0.1 million RSUs at a weighted average grant date fair value of $2.81 per share. We did not grant any RSUs to consultants during the three months ended March 31, 2024. RSUs granted to consultants either fully vest on the first anniversary of the grant date or in equal annual installments over three years, in each case subject to the consultant’s continued service through the applicable vesting date.</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summarize the total activity for RSUs during the three months ended March 31, 2025 and 2024 (in thousands, except per RSU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Grant Date</w:t>
            </w:r>
          </w:p>
        </w:tc>
      </w:tr>
      <w:tr>
        <w:trPr>
          <w:trHeight w:val="221"/>
        </w:trPr>
        <w:tc>
          <w:tcPr>
            <w:tcW w:w="6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RSUs</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 Per RSU</w:t>
            </w:r>
          </w:p>
        </w:tc>
        <w:tc>
          <w:tcPr>
            <w:tcW w:w="100" w:type="dxa"/>
            <w:vAlign w:val="bottom"/>
          </w:tcPr>
          <w:p>
            <w:pPr>
              <w:spacing w:after="0"/>
              <w:rPr>
                <w:sz w:val="19"/>
                <w:szCs w:val="19"/>
                <w:color w:val="auto"/>
              </w:rPr>
            </w:pPr>
          </w:p>
        </w:tc>
      </w:tr>
      <w:tr>
        <w:trPr>
          <w:trHeight w:val="196"/>
        </w:trPr>
        <w:tc>
          <w:tcPr>
            <w:tcW w:w="758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2024</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11,777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5.61</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12,711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r>
      <w:tr>
        <w:trPr>
          <w:trHeight w:val="203"/>
        </w:trPr>
        <w:tc>
          <w:tcPr>
            <w:tcW w:w="75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13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100" w:type="dxa"/>
            <w:vAlign w:val="bottom"/>
          </w:tcPr>
          <w:p>
            <w:pPr>
              <w:spacing w:after="0"/>
              <w:rPr>
                <w:sz w:val="17"/>
                <w:szCs w:val="17"/>
                <w:color w:val="auto"/>
              </w:rPr>
            </w:pPr>
          </w:p>
        </w:tc>
      </w:tr>
      <w:tr>
        <w:trPr>
          <w:trHeight w:val="236"/>
        </w:trPr>
        <w:tc>
          <w:tcPr>
            <w:tcW w:w="62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March 31, 2025</w:t>
            </w:r>
          </w:p>
        </w:tc>
        <w:tc>
          <w:tcPr>
            <w:tcW w:w="13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21,720</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67"/>
        </w:trPr>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Grant</w:t>
            </w:r>
          </w:p>
        </w:tc>
      </w:tr>
      <w:tr>
        <w:trPr>
          <w:trHeight w:val="221"/>
        </w:trPr>
        <w:tc>
          <w:tcPr>
            <w:tcW w:w="6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RSUs</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Per RSU</w:t>
            </w:r>
          </w:p>
        </w:tc>
        <w:tc>
          <w:tcPr>
            <w:tcW w:w="100" w:type="dxa"/>
            <w:vAlign w:val="bottom"/>
          </w:tcPr>
          <w:p>
            <w:pPr>
              <w:spacing w:after="0"/>
              <w:rPr>
                <w:sz w:val="19"/>
                <w:szCs w:val="19"/>
                <w:color w:val="auto"/>
              </w:rPr>
            </w:pPr>
          </w:p>
        </w:tc>
      </w:tr>
      <w:tr>
        <w:trPr>
          <w:trHeight w:val="196"/>
        </w:trPr>
        <w:tc>
          <w:tcPr>
            <w:tcW w:w="758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2023</w:t>
            </w:r>
          </w:p>
        </w:tc>
        <w:tc>
          <w:tcPr>
            <w:tcW w:w="7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3,866</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8.35</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100" w:type="dxa"/>
            <w:vAlign w:val="bottom"/>
          </w:tcPr>
          <w:p>
            <w:pPr>
              <w:spacing w:after="0"/>
              <w:rPr>
                <w:sz w:val="17"/>
                <w:szCs w:val="17"/>
                <w:color w:val="auto"/>
              </w:rPr>
            </w:pPr>
          </w:p>
        </w:tc>
      </w:tr>
      <w:tr>
        <w:trPr>
          <w:trHeight w:val="203"/>
        </w:trPr>
        <w:tc>
          <w:tcPr>
            <w:tcW w:w="75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460" w:type="dxa"/>
            <w:vAlign w:val="bottom"/>
            <w:gridSpan w:val="2"/>
          </w:tcPr>
          <w:p>
            <w:pPr>
              <w:spacing w:after="0"/>
              <w:rPr>
                <w:sz w:val="17"/>
                <w:szCs w:val="17"/>
                <w:color w:val="auto"/>
              </w:rPr>
            </w:pPr>
          </w:p>
        </w:tc>
        <w:tc>
          <w:tcPr>
            <w:tcW w:w="9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100" w:type="dxa"/>
            <w:vAlign w:val="bottom"/>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March 31, 2024</w:t>
            </w:r>
          </w:p>
        </w:tc>
        <w:tc>
          <w:tcPr>
            <w:tcW w:w="1460" w:type="dxa"/>
            <w:vAlign w:val="bottom"/>
            <w:gridSpan w:val="2"/>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10,971</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6.16</w:t>
            </w:r>
          </w:p>
        </w:tc>
        <w:tc>
          <w:tcPr>
            <w:tcW w:w="100" w:type="dxa"/>
            <w:vAlign w:val="bottom"/>
            <w:shd w:val="clear" w:color="auto" w:fill="CFF0FC"/>
          </w:tcPr>
          <w:p>
            <w:pPr>
              <w:spacing w:after="0"/>
              <w:rPr>
                <w:sz w:val="18"/>
                <w:szCs w:val="18"/>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-1096645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-1079500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options provide for the purchase of shares of our Class A common stock in the future at an exercise price set on the grant (or modification) date. Our stock option awards vest over three years, with one-third vesting on the first anniversary of the grant date and the remaining options vesting on a quarterly basis thereafter.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summarize the total activity for stock options during the three months ended March 31, 2025 and 2024 (in thousands, except price per option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Weighted Average</w:t>
            </w:r>
          </w:p>
        </w:tc>
        <w:tc>
          <w:tcPr>
            <w:tcW w:w="22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18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45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Exercise Price Per</w:t>
            </w:r>
          </w:p>
        </w:tc>
        <w:tc>
          <w:tcPr>
            <w:tcW w:w="22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Contractual Life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560" w:type="dxa"/>
            <w:vAlign w:val="bottom"/>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Stock Option</w:t>
            </w:r>
          </w:p>
        </w:tc>
        <w:tc>
          <w:tcPr>
            <w:tcW w:w="22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2024</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8,102</w:t>
            </w:r>
          </w:p>
        </w:tc>
        <w:tc>
          <w:tcPr>
            <w:tcW w:w="4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8.11</w:t>
            </w:r>
          </w:p>
        </w:tc>
        <w:tc>
          <w:tcPr>
            <w:tcW w:w="216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7.7</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ind w:left="740"/>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5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March 31, 2025</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8,102</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8.11</w:t>
            </w:r>
          </w:p>
        </w:tc>
        <w:tc>
          <w:tcPr>
            <w:tcW w:w="2160" w:type="dxa"/>
            <w:vAlign w:val="bottom"/>
            <w:tcBorders>
              <w:bottom w:val="single" w:sz="8" w:color="CFF0FC"/>
            </w:tcBorders>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7.4</w:t>
            </w:r>
          </w:p>
        </w:tc>
        <w:tc>
          <w:tcPr>
            <w:tcW w:w="2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FF0FC"/>
            </w:tcBorders>
            <w:gridSpan w:val="2"/>
            <w:shd w:val="clear" w:color="auto" w:fill="CFF0FC"/>
          </w:tcPr>
          <w:p>
            <w:pPr>
              <w:ind w:left="74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auto"/>
              </w:rPr>
              <w:t>Vested and exercisable at March 31, 2025</w:t>
            </w: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6,180</w:t>
            </w:r>
          </w:p>
        </w:tc>
        <w:tc>
          <w:tcPr>
            <w:tcW w:w="440" w:type="dxa"/>
            <w:vAlign w:val="bottom"/>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7.43</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2"/>
        </w:trPr>
        <w:tc>
          <w:tcPr>
            <w:tcW w:w="4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-1208405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-1208405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2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20" w:type="dxa"/>
            <w:vAlign w:val="bottom"/>
          </w:tcPr>
          <w:p>
            <w:pPr>
              <w:spacing w:after="0"/>
              <w:rPr>
                <w:sz w:val="17"/>
                <w:szCs w:val="17"/>
                <w:color w:val="auto"/>
              </w:rPr>
            </w:pPr>
          </w:p>
        </w:tc>
        <w:tc>
          <w:tcPr>
            <w:tcW w:w="116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4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2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Contractual Life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4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Stock Options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Stock Option</w:t>
            </w:r>
          </w:p>
        </w:tc>
        <w:tc>
          <w:tcPr>
            <w:tcW w:w="22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2023</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8,807</w:t>
            </w:r>
          </w:p>
        </w:tc>
        <w:tc>
          <w:tcPr>
            <w:tcW w:w="46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8.02</w:t>
            </w:r>
          </w:p>
        </w:tc>
        <w:tc>
          <w:tcPr>
            <w:tcW w:w="21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9.0</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ind w:left="740"/>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Outstanding at March 31, 2024</w:t>
            </w:r>
          </w:p>
        </w:tc>
        <w:tc>
          <w:tcPr>
            <w:tcW w:w="1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8,807</w:t>
            </w:r>
          </w:p>
        </w:tc>
        <w:tc>
          <w:tcPr>
            <w:tcW w:w="460" w:type="dxa"/>
            <w:vAlign w:val="bottom"/>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8.02</w:t>
            </w:r>
          </w:p>
        </w:tc>
        <w:tc>
          <w:tcPr>
            <w:tcW w:w="214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9.0</w:t>
            </w:r>
          </w:p>
        </w:tc>
        <w:tc>
          <w:tcPr>
            <w:tcW w:w="34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ind w:left="740"/>
              <w:spacing w:after="0" w:line="182" w:lineRule="exact"/>
              <w:rPr>
                <w:sz w:val="20"/>
                <w:szCs w:val="20"/>
                <w:color w:val="auto"/>
              </w:rPr>
            </w:pPr>
            <w:r>
              <w:rPr>
                <w:rFonts w:ascii="Arial" w:cs="Arial" w:eastAsia="Arial" w:hAnsi="Arial"/>
                <w:sz w:val="18"/>
                <w:szCs w:val="18"/>
                <w:b w:val="1"/>
                <w:bCs w:val="1"/>
                <w:color w:val="auto"/>
              </w:rPr>
              <w:t>—</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Hoya Topco Profits Interests and Phantom Units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Merger Transaction, certain members of management received equity-based compensation awards for profits interests in Hoya Topco in the form of incentive units, phantom units, Class D Units, and Class E Units. Each incentive unit vests ratably over five years and accelerates upon a change in control of Hoya Topco.</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June 2024, the Board of Managers of Hoya Topco approved (i) the redemption, repurchase, and cancellation by Hoya Topco (using Hoya Topco’s funds) of all of its outstanding profits interests held by our current employees and (ii) the repurchase and cancellation by Hoya Topco (using Hoya Topco’s funds) of all of its outstanding phantom units held by our employees. There was no equity-based compensation expense previously recognized related to the phantom units.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Hoya Topco had no outstanding profits interests or phantom units held by our current employees, and we had no unrecognized equity-based compensation expense related thereto, as of March 31,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Expense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equity-based compensation expense related to RSUs was $8.8 million and $5.5 million, respectively. Unrecognized equity-based compensation expense relating to unvested RSUs as of March 31, 2025 was approximately $77.9 million, which is expected to be recognized over a weighted average period of approximately one year.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equity-based compensation expense related to stock options was $2.2 million and $2.9 million, respectively. Unrecognized equity-based compensation expense relating to unvested stock options as of March 31, 2025 was $5.1 million, which is expected to be recognized over a weighted average period of less than one year.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2024, equity-based compensation expense related to profits interests was $0.2 million. We did not recognize any equity-based compensation expense related to profits interests during the three months ended March 31, 2025 and there was no unrecognized equity-based compensation expense relating to profits interests as of March 31, 2025.</w:t>
      </w:r>
    </w:p>
    <w:p>
      <w:pPr>
        <w:spacing w:after="0" w:line="6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For the three months ended March 31, 2025 and 2024, equity-based compensation expense excludes $0.2 million related to capitalized development costs.</w:t>
      </w:r>
    </w:p>
    <w:p>
      <w:pPr>
        <w:spacing w:after="0" w:line="46"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 per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calculate basic and diluted net income (loss) per share of our Class A common stock in accordance with ASC Topic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Because our Class B common stock does not have economic rights in VSI, it is not considered a participating security for basic and</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net income (loss) per share, and we do not present basic and diluted net income (loss) per share of Class B common stock. However, holders of our Class B common stock are allocated income (loss) in Hoya Intermediate (our operating entity) according to their weighted average percentage ownership of Intermediate Units during each quarter.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(loss) attributable to redeemable noncontrolling interests is calculated by multiplying Hoya Intermediate’s net income (loss) in each quarterly period by Hoya Topco’s weighted average percentage ownership of Intermediate Units during the period. Hoya Topco has the right to exchange its Intermediate Units for shares of our Class A common stock on a one-to-one basis or cash proceeds of equal value at the time of redemption. The option to redeem Intermediate Units for cash proceeds must be approved by our Board, which as of March 31, 2025 consisted of a majority of directors nominated by affiliates of Hoya Topco and GTCR, LLC pursuant to our stockholders’ agreement. The ability to put Intermediate Units is solely within the control of the holder of the redeemable noncontrolling interests. If Hoya Topco elects the redemption to be settled in cash, the cash used to settle the redemption must be funded through a private or public offering of our Class A common stock and is subject to our Board’s approval.</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net income (loss) attributable to Hoya Topco’s redeemable noncontrolling interests for the three months ended March 31, 2025 and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40" w:type="dxa"/>
            <w:vAlign w:val="bottom"/>
          </w:tcPr>
          <w:p>
            <w:pPr>
              <w:spacing w:after="0"/>
              <w:rPr>
                <w:sz w:val="19"/>
                <w:szCs w:val="19"/>
                <w:color w:val="auto"/>
              </w:rPr>
            </w:pPr>
          </w:p>
        </w:tc>
        <w:tc>
          <w:tcPr>
            <w:tcW w:w="38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4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r>
      <w:tr>
        <w:trPr>
          <w:trHeight w:val="196"/>
        </w:trPr>
        <w:tc>
          <w:tcPr>
            <w:tcW w:w="7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(loss)—Hoya Intermediate</w:t>
            </w:r>
          </w:p>
        </w:tc>
        <w:tc>
          <w:tcPr>
            <w:tcW w:w="1040" w:type="dxa"/>
            <w:vAlign w:val="bottom"/>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w w:val="98"/>
              </w:rPr>
              <w:t>(10,553)</w:t>
            </w:r>
          </w:p>
        </w:tc>
        <w:tc>
          <w:tcPr>
            <w:tcW w:w="4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12,870</w:t>
            </w:r>
          </w:p>
        </w:tc>
        <w:tc>
          <w:tcPr>
            <w:tcW w:w="18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Hoya Topco’s weighted average % allocation of Hoya Intermediate's net income (loss)</w:t>
            </w:r>
          </w:p>
        </w:tc>
        <w:tc>
          <w:tcPr>
            <w:tcW w:w="10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36.2%</w:t>
            </w:r>
          </w:p>
        </w:tc>
      </w:tr>
      <w:tr>
        <w:trPr>
          <w:trHeight w:val="20"/>
        </w:trPr>
        <w:tc>
          <w:tcPr>
            <w:tcW w:w="7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74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 attributable to Hoya Topco's redeemable noncontrolling interests</w:t>
            </w:r>
          </w:p>
        </w:tc>
        <w:tc>
          <w:tcPr>
            <w:tcW w:w="1040" w:type="dxa"/>
            <w:vAlign w:val="bottom"/>
            <w:shd w:val="clear" w:color="auto" w:fill="CFF0FC"/>
          </w:tcPr>
          <w:p>
            <w:pPr>
              <w:jc w:val="right"/>
              <w:ind w:right="850"/>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(3,846)</w:t>
            </w:r>
          </w:p>
        </w:tc>
        <w:tc>
          <w:tcPr>
            <w:tcW w:w="4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4,665</w:t>
            </w:r>
          </w:p>
        </w:tc>
        <w:tc>
          <w:tcPr>
            <w:tcW w:w="180" w:type="dxa"/>
            <w:vAlign w:val="bottom"/>
            <w:shd w:val="clear" w:color="auto" w:fill="CFF0FC"/>
          </w:tcPr>
          <w:p>
            <w:pPr>
              <w:spacing w:after="0"/>
              <w:rPr>
                <w:sz w:val="18"/>
                <w:szCs w:val="18"/>
                <w:color w:val="auto"/>
              </w:rPr>
            </w:pP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1111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income (loss) attributable to Class A common stockholders–basic is calculated by subtracting the portion of Hoya Intermediate’s net income (loss) attributable to redeemable noncontrolling interests from our total net income (loss), which includes our net income (loss) for activities outside of our investment in Hoya Intermediate, including income tax expense for VSI’s portion of income (loss), as well as the full results of Hoya Intermediate on a consolidated basis.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income (loss) per Class A common stock–diluted is based on the average number of shares of our Class A common stock used for the basic earnings per share calculation, adjusted for the weighted average number of Class A common share equivalents outstanding for the period determined using the treasury stock and if-converted methods, as applicable. Net income (loss) attributable to Class A common stockholders–diluted is adjusted for (i) our share of Hoya Intermediate’s consolidated net income (loss) after giving effect to Intermediate Units that convert into potential shares of our Class A common stock, to the extent it is dilutive, and (ii) the impact of changes in the fair value of the Intermediate Warrants, to the extent they are dilutive.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computation of basic and diluted net income (loss) per share of Class A common stock for the three months ended March 31, 2025 and 2024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9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Numerator—basic</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(9,788)</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10,742</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net (income) loss attributable to redeemable noncontrolling interests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(4,665)</w:t>
            </w:r>
          </w:p>
        </w:tc>
      </w:tr>
      <w:tr>
        <w:trPr>
          <w:trHeight w:val="20"/>
        </w:trPr>
        <w:tc>
          <w:tcPr>
            <w:tcW w:w="7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920" w:type="dxa"/>
            <w:vAlign w:val="bottom"/>
          </w:tcPr>
          <w:p>
            <w:pPr>
              <w:spacing w:after="0" w:line="196" w:lineRule="exact"/>
              <w:rPr>
                <w:sz w:val="20"/>
                <w:szCs w:val="20"/>
                <w:color w:val="auto"/>
              </w:rPr>
            </w:pPr>
            <w:r>
              <w:rPr>
                <w:rFonts w:ascii="Arial" w:cs="Arial" w:eastAsia="Arial" w:hAnsi="Arial"/>
                <w:sz w:val="18"/>
                <w:szCs w:val="18"/>
                <w:color w:val="auto"/>
              </w:rPr>
              <w:t>Net income (loss) attributable to Class A common stockholders—basic</w:t>
            </w:r>
          </w:p>
        </w:tc>
        <w:tc>
          <w:tcPr>
            <w:tcW w:w="180" w:type="dxa"/>
            <w:vAlign w:val="bottom"/>
          </w:tcPr>
          <w:p>
            <w:pPr>
              <w:spacing w:after="0"/>
              <w:rPr>
                <w:sz w:val="17"/>
                <w:szCs w:val="17"/>
                <w:color w:val="auto"/>
              </w:rPr>
            </w:pPr>
          </w:p>
        </w:tc>
        <w:tc>
          <w:tcPr>
            <w:tcW w:w="1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(5,942)</w:t>
            </w:r>
          </w:p>
        </w:tc>
        <w:tc>
          <w:tcPr>
            <w:tcW w:w="2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6,077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Denominator—basic</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Weighted average Class A common stock outstanding—basic</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132,900,227</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134,068,276</w:t>
            </w:r>
          </w:p>
        </w:tc>
        <w:tc>
          <w:tcPr>
            <w:tcW w:w="100" w:type="dxa"/>
            <w:vAlign w:val="bottom"/>
          </w:tcPr>
          <w:p>
            <w:pPr>
              <w:spacing w:after="0"/>
              <w:rPr>
                <w:sz w:val="17"/>
                <w:szCs w:val="17"/>
                <w:color w:val="auto"/>
              </w:rPr>
            </w:pPr>
          </w:p>
        </w:tc>
      </w:tr>
      <w:tr>
        <w:trPr>
          <w:trHeight w:val="236"/>
        </w:trPr>
        <w:tc>
          <w:tcPr>
            <w:tcW w:w="7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 per Class A common stock—basic</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(0.04)</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FF0FC"/>
          </w:tcPr>
          <w:p>
            <w:pPr>
              <w:spacing w:after="0"/>
              <w:rPr>
                <w:sz w:val="20"/>
                <w:szCs w:val="20"/>
                <w:color w:val="auto"/>
              </w:rPr>
            </w:pPr>
          </w:p>
        </w:tc>
      </w:tr>
      <w:tr>
        <w:trPr>
          <w:trHeight w:val="183"/>
        </w:trPr>
        <w:tc>
          <w:tcPr>
            <w:tcW w:w="79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9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Numerator—diluted</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Class A common stockholders—basic</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(5,942)</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6,077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effect of dilutive securities: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80"/>
              <w:spacing w:after="0" w:line="202" w:lineRule="exact"/>
              <w:rPr>
                <w:sz w:val="20"/>
                <w:szCs w:val="20"/>
                <w:color w:val="auto"/>
              </w:rPr>
            </w:pPr>
            <w:r>
              <w:rPr>
                <w:rFonts w:ascii="Arial" w:cs="Arial" w:eastAsia="Arial" w:hAnsi="Arial"/>
                <w:sz w:val="18"/>
                <w:szCs w:val="18"/>
                <w:color w:val="auto"/>
              </w:rPr>
              <w:t>RSUs</w:t>
            </w:r>
          </w:p>
        </w:tc>
        <w:tc>
          <w:tcPr>
            <w:tcW w:w="180" w:type="dxa"/>
            <w:vAlign w:val="bottom"/>
          </w:tcPr>
          <w:p>
            <w:pPr>
              <w:spacing w:after="0"/>
              <w:rPr>
                <w:sz w:val="17"/>
                <w:szCs w:val="17"/>
                <w:color w:val="auto"/>
              </w:rPr>
            </w:pPr>
          </w:p>
        </w:tc>
        <w:tc>
          <w:tcPr>
            <w:tcW w:w="1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Redeemable noncontrolling interests</w:t>
            </w: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(3,916)</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3,248</w:t>
            </w:r>
          </w:p>
        </w:tc>
        <w:tc>
          <w:tcPr>
            <w:tcW w:w="100" w:type="dxa"/>
            <w:vAlign w:val="bottom"/>
            <w:shd w:val="clear" w:color="auto" w:fill="CFF0FC"/>
          </w:tcPr>
          <w:p>
            <w:pPr>
              <w:spacing w:after="0"/>
              <w:rPr>
                <w:sz w:val="17"/>
                <w:szCs w:val="17"/>
                <w:color w:val="auto"/>
              </w:rPr>
            </w:pPr>
          </w:p>
        </w:tc>
      </w:tr>
      <w:tr>
        <w:trPr>
          <w:trHeight w:val="20"/>
        </w:trPr>
        <w:tc>
          <w:tcPr>
            <w:tcW w:w="7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920" w:type="dxa"/>
            <w:vAlign w:val="bottom"/>
          </w:tcPr>
          <w:p>
            <w:pPr>
              <w:spacing w:after="0" w:line="196" w:lineRule="exact"/>
              <w:rPr>
                <w:sz w:val="20"/>
                <w:szCs w:val="20"/>
                <w:color w:val="auto"/>
              </w:rPr>
            </w:pPr>
            <w:r>
              <w:rPr>
                <w:rFonts w:ascii="Arial" w:cs="Arial" w:eastAsia="Arial" w:hAnsi="Arial"/>
                <w:sz w:val="18"/>
                <w:szCs w:val="18"/>
                <w:color w:val="auto"/>
              </w:rPr>
              <w:t>Net income (loss) attributable to Class A common stockholders—diluted</w:t>
            </w:r>
          </w:p>
        </w:tc>
        <w:tc>
          <w:tcPr>
            <w:tcW w:w="180" w:type="dxa"/>
            <w:vAlign w:val="bottom"/>
          </w:tcPr>
          <w:p>
            <w:pPr>
              <w:spacing w:after="0"/>
              <w:rPr>
                <w:sz w:val="17"/>
                <w:szCs w:val="17"/>
                <w:color w:val="auto"/>
              </w:rPr>
            </w:pPr>
          </w:p>
        </w:tc>
        <w:tc>
          <w:tcPr>
            <w:tcW w:w="1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(9,858)</w:t>
            </w:r>
          </w:p>
        </w:tc>
        <w:tc>
          <w:tcPr>
            <w:tcW w:w="2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9,329</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Denominator—diluted</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Weighted average Class A common stock outstanding—basic</w:t>
            </w: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132,900,227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134,068,276</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effect of dilutive securities:</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80"/>
              <w:spacing w:after="0" w:line="202" w:lineRule="exact"/>
              <w:rPr>
                <w:sz w:val="20"/>
                <w:szCs w:val="20"/>
                <w:color w:val="auto"/>
              </w:rPr>
            </w:pPr>
            <w:r>
              <w:rPr>
                <w:rFonts w:ascii="Arial" w:cs="Arial" w:eastAsia="Arial" w:hAnsi="Arial"/>
                <w:sz w:val="18"/>
                <w:szCs w:val="18"/>
                <w:color w:val="auto"/>
              </w:rPr>
              <w:t>RSUs</w:t>
            </w:r>
          </w:p>
        </w:tc>
        <w:tc>
          <w:tcPr>
            <w:tcW w:w="180" w:type="dxa"/>
            <w:vAlign w:val="bottom"/>
          </w:tcPr>
          <w:p>
            <w:pPr>
              <w:spacing w:after="0"/>
              <w:rPr>
                <w:sz w:val="17"/>
                <w:szCs w:val="17"/>
                <w:color w:val="auto"/>
              </w:rPr>
            </w:pPr>
          </w:p>
        </w:tc>
        <w:tc>
          <w:tcPr>
            <w:tcW w:w="1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616,585</w:t>
            </w:r>
          </w:p>
        </w:tc>
        <w:tc>
          <w:tcPr>
            <w:tcW w:w="100" w:type="dxa"/>
            <w:vAlign w:val="bottom"/>
          </w:tcPr>
          <w:p>
            <w:pPr>
              <w:spacing w:after="0"/>
              <w:rPr>
                <w:sz w:val="17"/>
                <w:szCs w:val="17"/>
                <w:color w:val="auto"/>
              </w:rPr>
            </w:pPr>
          </w:p>
        </w:tc>
      </w:tr>
      <w:tr>
        <w:trPr>
          <w:trHeight w:val="203"/>
        </w:trPr>
        <w:tc>
          <w:tcPr>
            <w:tcW w:w="792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Redeemable noncontrolling interests</w:t>
            </w: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76,225,000</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76,225,000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line="196" w:lineRule="exact"/>
              <w:rPr>
                <w:sz w:val="20"/>
                <w:szCs w:val="20"/>
                <w:color w:val="auto"/>
              </w:rPr>
            </w:pPr>
            <w:r>
              <w:rPr>
                <w:rFonts w:ascii="Arial" w:cs="Arial" w:eastAsia="Arial" w:hAnsi="Arial"/>
                <w:sz w:val="18"/>
                <w:szCs w:val="18"/>
                <w:color w:val="auto"/>
              </w:rPr>
              <w:t>Weighted average Class A common stock outstanding—diluted</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209,125,227</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210,909,861</w:t>
            </w:r>
          </w:p>
        </w:tc>
        <w:tc>
          <w:tcPr>
            <w:tcW w:w="100" w:type="dxa"/>
            <w:vAlign w:val="bottom"/>
          </w:tcPr>
          <w:p>
            <w:pPr>
              <w:spacing w:after="0"/>
              <w:rPr>
                <w:sz w:val="17"/>
                <w:szCs w:val="17"/>
                <w:color w:val="auto"/>
              </w:rPr>
            </w:pPr>
          </w:p>
        </w:tc>
      </w:tr>
      <w:tr>
        <w:trPr>
          <w:trHeight w:val="216"/>
        </w:trPr>
        <w:tc>
          <w:tcPr>
            <w:tcW w:w="7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 per Class A common stock—diluted</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(0.05)</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FF0FC"/>
          </w:tcPr>
          <w:p>
            <w:pPr>
              <w:spacing w:after="0"/>
              <w:rPr>
                <w:sz w:val="18"/>
                <w:szCs w:val="18"/>
                <w:color w:val="auto"/>
              </w:rPr>
            </w:pPr>
          </w:p>
        </w:tc>
      </w:tr>
      <w:tr>
        <w:trPr>
          <w:trHeight w:val="20"/>
        </w:trPr>
        <w:tc>
          <w:tcPr>
            <w:tcW w:w="7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-2408555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-1876425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-1859915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-1079500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-299720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Potential shares of our Class A common stock are excluded from the computation of diluted net income (loss) per share of Class A common stock if their effect would have been anti-dilutive for the three months ended March 31, 2025 and 2024 or if the issuance of shares is contingent upon events that did not occur by the end of the three months ended March 31, 2025 and 2024.</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potentially dilutive securities that are excluded from the computation of diluted net income (loss) per share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for the three months ended March 31, 2025 and 2024 that could potentially dilute earnings per share in the future: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36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36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58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1,880,044</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3,830,006</w:t>
            </w:r>
          </w:p>
        </w:tc>
        <w:tc>
          <w:tcPr>
            <w:tcW w:w="10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5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7,512,056</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8,807,848</w:t>
            </w:r>
          </w:p>
        </w:tc>
        <w:tc>
          <w:tcPr>
            <w:tcW w:w="10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Public Warrants</w:t>
            </w:r>
          </w:p>
        </w:tc>
        <w:tc>
          <w:tcPr>
            <w:tcW w:w="5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6,766,853</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6,766,853</w:t>
            </w:r>
          </w:p>
        </w:tc>
        <w:tc>
          <w:tcPr>
            <w:tcW w:w="10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Private Warrants</w:t>
            </w:r>
          </w:p>
        </w:tc>
        <w:tc>
          <w:tcPr>
            <w:tcW w:w="5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6,519,791</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6,519,791</w:t>
            </w:r>
          </w:p>
        </w:tc>
        <w:tc>
          <w:tcPr>
            <w:tcW w:w="10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 Warrants</w:t>
            </w:r>
          </w:p>
        </w:tc>
        <w:tc>
          <w:tcPr>
            <w:tcW w:w="5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34,000,000</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34,000,000</w:t>
            </w:r>
          </w:p>
        </w:tc>
        <w:tc>
          <w:tcPr>
            <w:tcW w:w="100" w:type="dxa"/>
            <w:vAlign w:val="bottom"/>
            <w:shd w:val="clear" w:color="auto" w:fill="CFF0FC"/>
          </w:tcPr>
          <w:p>
            <w:pPr>
              <w:spacing w:after="0"/>
              <w:rPr>
                <w:sz w:val="17"/>
                <w:szCs w:val="17"/>
                <w:color w:val="auto"/>
              </w:rPr>
            </w:pPr>
          </w:p>
        </w:tc>
      </w:tr>
      <w:tr>
        <w:trPr>
          <w:trHeight w:val="239"/>
        </w:trPr>
        <w:tc>
          <w:tcPr>
            <w:tcW w:w="3660" w:type="dxa"/>
            <w:vAlign w:val="bottom"/>
          </w:tcPr>
          <w:p>
            <w:pPr>
              <w:spacing w:after="0"/>
              <w:rPr>
                <w:sz w:val="20"/>
                <w:szCs w:val="20"/>
                <w:color w:val="auto"/>
              </w:rPr>
            </w:pPr>
            <w:r>
              <w:rPr>
                <w:rFonts w:ascii="Arial" w:cs="Arial" w:eastAsia="Arial" w:hAnsi="Arial"/>
                <w:sz w:val="18"/>
                <w:szCs w:val="18"/>
                <w:color w:val="auto"/>
              </w:rPr>
              <w:t>Intermediate Warrants</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0"/>
                <w:szCs w:val="20"/>
                <w:color w:val="auto"/>
              </w:rPr>
            </w:pPr>
          </w:p>
        </w:tc>
      </w:tr>
      <w:tr>
        <w:trPr>
          <w:trHeight w:val="845"/>
        </w:trPr>
        <w:tc>
          <w:tcPr>
            <w:tcW w:w="3660" w:type="dxa"/>
            <w:vAlign w:val="bottom"/>
          </w:tcPr>
          <w:p>
            <w:pPr>
              <w:spacing w:after="0"/>
              <w:rPr>
                <w:sz w:val="24"/>
                <w:szCs w:val="24"/>
                <w:color w:val="auto"/>
              </w:rPr>
            </w:pPr>
          </w:p>
        </w:tc>
        <w:tc>
          <w:tcPr>
            <w:tcW w:w="4220" w:type="dxa"/>
            <w:vAlign w:val="bottom"/>
          </w:tcPr>
          <w:p>
            <w:pPr>
              <w:jc w:val="right"/>
              <w:ind w:right="2070"/>
              <w:spacing w:after="0"/>
              <w:rPr>
                <w:sz w:val="20"/>
                <w:szCs w:val="20"/>
                <w:color w:val="auto"/>
              </w:rPr>
            </w:pPr>
            <w:r>
              <w:rPr>
                <w:rFonts w:ascii="Arial" w:cs="Arial" w:eastAsia="Arial" w:hAnsi="Arial"/>
                <w:sz w:val="18"/>
                <w:szCs w:val="18"/>
                <w:color w:val="auto"/>
              </w:rPr>
              <w:t>26</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6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left="18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This discussion should be read together with our condensed consolidated financial statements and accompanying notes included elsewhere in this Report, as well as our audited consolidated financial statements and accompanying notes contained in our 2024 Form 10-K. This discussion contains forward-looking statements, which are subject to a number of risks and uncertainties, including those discussed in the “Risk Factors” and “Forward-Looking Statements” sections of this Report and our 2024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 We believe in the power of shared experiences to connect people with live events that deliver some of life’s most exciting moments. We operate a technology platform and marketplace that enables ticket buyers to easily discover and purchase tickets to live events and book hotel rooms and packages while enabling ticket sellers and partners to seamlessly manage their operations. We differentiate from competitors by offering an extensive breadth and depth of ticket listings at a competitive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Marketplace Gross Order Value (“Marketplace GOV”), revenues, net income (loss), and adjusted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three months ended March 31, 2025 and 2024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40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1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GOV*</w:t>
            </w:r>
          </w:p>
        </w:tc>
        <w:tc>
          <w:tcPr>
            <w:tcW w:w="1480" w:type="dxa"/>
            <w:vAlign w:val="bottom"/>
            <w:shd w:val="clear" w:color="auto" w:fill="CFF0FC"/>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820,359</w:t>
            </w:r>
          </w:p>
        </w:tc>
        <w:tc>
          <w:tcPr>
            <w:tcW w:w="2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1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1,028,477</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4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164,023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190,852</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14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(9,788)</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10,742</w:t>
            </w:r>
          </w:p>
        </w:tc>
        <w:tc>
          <w:tcPr>
            <w:tcW w:w="100" w:type="dxa"/>
            <w:vAlign w:val="bottom"/>
            <w:shd w:val="clear" w:color="auto" w:fill="CFF0FC"/>
          </w:tcPr>
          <w:p>
            <w:pPr>
              <w:spacing w:after="0"/>
              <w:rPr>
                <w:sz w:val="17"/>
                <w:szCs w:val="17"/>
                <w:color w:val="auto"/>
              </w:rPr>
            </w:pPr>
          </w:p>
        </w:tc>
      </w:t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Adjusted EBITDA*</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21,721</w:t>
            </w:r>
          </w:p>
        </w:tc>
        <w:tc>
          <w:tcPr>
            <w:tcW w:w="220" w:type="dxa"/>
            <w:vAlign w:val="bottom"/>
          </w:tcPr>
          <w:p>
            <w:pPr>
              <w:spacing w:after="0"/>
              <w:rPr>
                <w:sz w:val="20"/>
                <w:szCs w:val="20"/>
                <w:color w:val="auto"/>
              </w:rPr>
            </w:pPr>
          </w:p>
        </w:tc>
        <w:tc>
          <w:tcPr>
            <w:tcW w:w="1560" w:type="dxa"/>
            <w:vAlign w:val="bottom"/>
            <w:gridSpan w:val="2"/>
          </w:tcPr>
          <w:p>
            <w:pPr>
              <w:jc w:val="right"/>
              <w:ind w:right="1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tcPr>
          <w:p>
            <w:pPr>
              <w:spacing w:after="0"/>
              <w:rPr>
                <w:sz w:val="20"/>
                <w:szCs w:val="20"/>
                <w:color w:val="auto"/>
              </w:rPr>
            </w:pPr>
          </w:p>
        </w:tc>
      </w:tr>
    </w:tbl>
    <w:p>
      <w:pPr>
        <w:spacing w:after="0" w:line="53" w:lineRule="exact"/>
        <w:rPr>
          <w:sz w:val="20"/>
          <w:szCs w:val="20"/>
          <w:color w:val="auto"/>
        </w:rPr>
      </w:pPr>
    </w:p>
    <w:p>
      <w:pPr>
        <w:jc w:val="both"/>
        <w:ind w:left="300" w:hanging="292"/>
        <w:spacing w:after="0" w:line="253"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the “Key Business Metrics and Non-U.S. GAAP Financial Measure” section below for more information on Marketplace GOV and adjusted EBITDA, which is a financial measure not defined under accounting principles generally accepted in the United States of America (“U.S. GAAP”).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our Owned Properties, which consists of (i) Vivid Seats; (ii) Wavedash Co., Ltd. (“Wavedash”), an online ticket marketplace headquartered in Tokyo, Japan, which we acquired in September 2023; (iii) Vegas.com, LLC, an online ticket marketplace for live event enthusiasts exploring shows, attractions, tours, flights, and hotels in Las Vegas, which we acquired in November 2023; and (iv) Vivid Picks, a real-money daily fantasy sports mobile application where users partake in contests by making player picks from a wide selection of individual and player matchup projections across a variety of sports and through our Private Label Offering, which consists of numerous distribution partners. To a lesser extent, we also earn revenue from offering event insurance to ticket buyers. Using our online platform, we facilitate customer payments, deposits and withdrawals, coordinate ticket deliveries, and provide customer service. We do not hold ticket inventory in our Marketplace segment.</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ticket buyers. For Vivid Picks, the amount of Marketplace revenue earned in a given period is represented by the difference between cash entry fees collected and cash amounts paid out to users for winning picks, less customer promotions and incentives. For event insurance, the amount of Marketplace revenue earned in a given period is represented by referral fees charged to third-party insurance providers.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t>The main costs we incur in our Marketplace segment relate to developing and maintaining our online platform, providing back-office support and customer service, facilitating payments and deposits, and shipping non-electronic tickets. We also incur substantial marketing costs, primarily related to online advertising.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key component of our online platform is Skybox, a proprietary enterprise resource planning (“ERP”) tool that is used by the majority of ticket sellers. Skybox is a free-to-use system that helps ticket sellers manage ticket inventories, adjust pricing, and fulfill orders across multiple ticket resale marketplaces. Professional ticket sellers use ERPs to manage their operations, and Skybox is their most widely adopted ERP.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ticketing marketplaces, including our own. Our Resale segment also provides internal research and development support for Skybox and supplements our ongoing efforts to deliver industry-leading seller software and tools.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Non-U.S. GAAP Financial Measure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metrics to evaluate our performance, identify trends, formulate financial projections, and make strategic decisions. We believe these metrics provide useful information to investors and others in understanding and evaluating our results of operations in the same manner as management.</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our key business metrics and non-U.S. GAAP financial measure for the three months ended March 31, 2025 and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5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Marketplace GOV</w:t>
            </w:r>
            <w:r>
              <w:rPr>
                <w:rFonts w:ascii="Arial" w:cs="Arial" w:eastAsia="Arial" w:hAnsi="Arial"/>
                <w:sz w:val="22"/>
                <w:szCs w:val="22"/>
                <w:color w:val="auto"/>
                <w:vertAlign w:val="superscript"/>
              </w:rPr>
              <w:t>(1)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820,359</w:t>
            </w:r>
          </w:p>
        </w:tc>
        <w:tc>
          <w:tcPr>
            <w:tcW w:w="6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1,028,477</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7"/>
                <w:szCs w:val="17"/>
                <w:color w:val="auto"/>
              </w:rPr>
              <w:t>Marketplace orders</w:t>
            </w:r>
            <w:r>
              <w:rPr>
                <w:rFonts w:ascii="Arial" w:cs="Arial" w:eastAsia="Arial" w:hAnsi="Arial"/>
                <w:sz w:val="23"/>
                <w:szCs w:val="23"/>
                <w:color w:val="auto"/>
                <w:vertAlign w:val="superscript"/>
              </w:rPr>
              <w:t>(2)</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2,296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2,876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Resale orders</w:t>
            </w:r>
            <w:r>
              <w:rPr>
                <w:rFonts w:ascii="Arial" w:cs="Arial" w:eastAsia="Arial" w:hAnsi="Arial"/>
                <w:sz w:val="23"/>
                <w:szCs w:val="23"/>
                <w:color w:val="auto"/>
                <w:vertAlign w:val="superscript"/>
              </w:rPr>
              <w:t>(3)</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7"/>
                <w:szCs w:val="17"/>
                <w:color w:val="auto"/>
              </w:rPr>
            </w:pPr>
          </w:p>
        </w:tc>
      </w:tr>
      <w:tr>
        <w:trPr>
          <w:trHeight w:val="310"/>
        </w:trPr>
        <w:tc>
          <w:tcPr>
            <w:tcW w:w="75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21,721</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tcPr>
          <w:p>
            <w:pPr>
              <w:spacing w:after="0"/>
              <w:rPr>
                <w:sz w:val="24"/>
                <w:szCs w:val="24"/>
                <w:color w:val="auto"/>
              </w:rPr>
            </w:pPr>
          </w:p>
        </w:tc>
      </w:tr>
    </w:tbl>
    <w:p>
      <w:pPr>
        <w:jc w:val="both"/>
        <w:ind w:left="460" w:hanging="452"/>
        <w:spacing w:after="0" w:line="236" w:lineRule="auto"/>
        <w:tabs>
          <w:tab w:leader="none" w:pos="460" w:val="left"/>
        </w:tabs>
        <w:numPr>
          <w:ilvl w:val="0"/>
          <w:numId w:val="23"/>
        </w:numPr>
        <w:rPr>
          <w:rFonts w:ascii="Calibri" w:cs="Calibri" w:eastAsia="Calibri" w:hAnsi="Calibri"/>
          <w:sz w:val="18"/>
          <w:szCs w:val="18"/>
          <w:color w:val="auto"/>
        </w:rPr>
      </w:pPr>
      <w:r>
        <w:rPr>
          <w:rFonts w:ascii="Arial" w:cs="Arial" w:eastAsia="Arial" w:hAnsi="Arial"/>
          <w:sz w:val="18"/>
          <w:szCs w:val="18"/>
          <w:color w:val="auto"/>
        </w:rPr>
        <w:t>Marketplace GOV represents the total transactional amount of Marketplace orders placed on our online platform in a period, inclusive of fees, exclusive of taxes, and net of event cancellations that occurred during the period. During the three months ended March 31, 2025 and 2024, Marketplace GOV was negatively impacted by event cancellations in the amount of $15.5 million and $18.3 million, respectively.</w:t>
      </w:r>
    </w:p>
    <w:p>
      <w:pPr>
        <w:spacing w:after="0" w:line="73"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23"/>
        </w:numPr>
        <w:rPr>
          <w:rFonts w:ascii="Calibri" w:cs="Calibri" w:eastAsia="Calibri" w:hAnsi="Calibri"/>
          <w:sz w:val="18"/>
          <w:szCs w:val="18"/>
          <w:color w:val="auto"/>
        </w:rPr>
      </w:pPr>
      <w:r>
        <w:rPr>
          <w:rFonts w:ascii="Arial" w:cs="Arial" w:eastAsia="Arial" w:hAnsi="Arial"/>
          <w:sz w:val="18"/>
          <w:szCs w:val="18"/>
          <w:color w:val="auto"/>
        </w:rPr>
        <w:t>Marketplace orders represent the volume of Marketplace-related transactions processed through our online platform in a period, net of event cancellations that occurred during the period. During the three months ended March 31, 2025 and 2024, our Marketplace segment experienced 42,353 and 50,049 event cancellations, respectively.</w:t>
      </w:r>
    </w:p>
    <w:p>
      <w:pPr>
        <w:spacing w:after="0" w:line="68"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23"/>
        </w:numPr>
        <w:rPr>
          <w:rFonts w:ascii="Calibri" w:cs="Calibri" w:eastAsia="Calibri" w:hAnsi="Calibri"/>
          <w:sz w:val="18"/>
          <w:szCs w:val="18"/>
          <w:color w:val="auto"/>
        </w:rPr>
      </w:pPr>
      <w:r>
        <w:rPr>
          <w:rFonts w:ascii="Arial" w:cs="Arial" w:eastAsia="Arial" w:hAnsi="Arial"/>
          <w:sz w:val="18"/>
          <w:szCs w:val="18"/>
          <w:color w:val="auto"/>
        </w:rPr>
        <w:t>Resale orders represent the volume of Resale-related transactions processed through a given platform (including our own) in a period, net of event cancellations that occurred during the period. During the three months ended March 31, 2025 and 2024, our Resale segment experienced 885 and 872 event cancellations, respectively.</w:t>
      </w:r>
    </w:p>
    <w:p>
      <w:pPr>
        <w:spacing w:after="0" w:line="68"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3"/>
        </w:numPr>
        <w:rPr>
          <w:rFonts w:ascii="Calibri" w:cs="Calibri" w:eastAsia="Calibri" w:hAnsi="Calibri"/>
          <w:sz w:val="18"/>
          <w:szCs w:val="18"/>
          <w:color w:val="auto"/>
        </w:rPr>
      </w:pPr>
      <w:r>
        <w:rPr>
          <w:rFonts w:ascii="Arial" w:cs="Arial" w:eastAsia="Arial" w:hAnsi="Arial"/>
          <w:sz w:val="18"/>
          <w:szCs w:val="18"/>
          <w:color w:val="auto"/>
        </w:rPr>
        <w:t>Adjusted EBITDA is a non-U.S. GAAP financial measure. We believe adjusted EBITDA provides useful information to investors and others in understanding and evaluating our results of operations and serves as a useful measure for making period-to-period comparisons of our business performance. See the “Adjusted EBITDA” section below for more information, including a reconciliation of adjusted EBITDA to net income (loss), the most directly comparable U.S. GAAP financial measure.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GOV is a key driver of Marketplace revenue. Marketplace GOV represents the total transactional amount of Marketplace orders placed on our online platform in a period, inclusive of fees, exclusive of taxes, and net of event cancellations that occurred during the period. Marketplace GOV reflects our ability to attract and retain customers and provides insight into the overall health of the industry.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8"/>
          <w:szCs w:val="18"/>
          <w:color w:val="auto"/>
        </w:rPr>
        <w:t>Marketplace GOV can be impacted by seasonality. Typically, we experience slightly increased activity in the fourth quarter when all major sports leagues are in season, concert on-sales begin for the following year, and theater event orders increase during the holiday season. Quarterly fluctuations in Marketplace GOV can result from, among other things:</w:t>
      </w:r>
    </w:p>
    <w:p>
      <w:pPr>
        <w:spacing w:after="0" w:line="6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Event supply;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popularity of and demand for certain artists, sports teams, tours, and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concert venue types between stadiums, arenas, and amphitheaters;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and team composition of sports playoff series and championship games;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Event cancellations.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Marketplace GOV decreased by $208.1 million, or 20%, during the three months ended March 31, 2025 compared to the three months ended March 31, 2024. The decrease resulted primarily from lower order volumes in our Marketplace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Orders</w:t>
      </w:r>
    </w:p>
    <w:p>
      <w:pPr>
        <w:spacing w:after="0" w:line="10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Marketplace orders represent the volume of Marketplace-related transactions processed through our online platform in a period, net of event cancellations that occurred during the period. A Marketplace order can include one or more tickets, hotel rooms, or parking passes. Marketplace orders allow us to monitor transaction volume and better identify trends within our Marketplace segment.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Marketplace orders decreased by 0.6 million, or 20%,during the three months ended March 31, 2025 compared to the three months ended March 31, 2024. The decrease resulted primarily from a decrease in Marketplace orders.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orders represent the volume of Resale-related transactions processed through a given platform (including our own) in a period, net of event cancellations that occurred during the period. A Resale order can include one or more tickets or parking passes. Resale orders allow us to monitor transaction volume and better identify trends within our Resale segment.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orders increased by less than 0.1 million, or 6%, during the three months ended March 31, 2025 compared to the three months ended March 31, 2024. The increase resulted primarily from higher activity in our Resale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 adjusted EBITDA, which is a non-U.S. GAAP financial measure, because it is a key measure used by analysts,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adjusted EBITDA is a useful measure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may exclude certain recurring costs such as income tax expense, interest expense – net, depreciation and amortization, sales tax liabilities, transaction costs, equity-based compensation, litigation, settlements, and related costs, change in fair value of warrants, loss on asset disposals, change in fair value of derivative asset, unrealized foreign currency losses (gains), and loss on extinguishment of debt. In addition, other companies may calculate adjusted EBITDA differently than we do, thereby limiting its usefulness as a comparative tool. We compensate for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8"/>
          <w:szCs w:val="18"/>
          <w:color w:val="auto"/>
        </w:rPr>
        <w:t>these limitations by providing specific information regarding the U.S. GAAP amounts that are excluded from our presentation of adjusted EBITDA.</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U.S. GAAP financial measure, for the three months ended March 31, 2025 and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36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5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w:t>
            </w:r>
          </w:p>
        </w:tc>
        <w:tc>
          <w:tcPr>
            <w:tcW w:w="106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(9,788)</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10,742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(loss) to adjusted EBITDA:</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 – net</w:t>
            </w:r>
          </w:p>
        </w:tc>
        <w:tc>
          <w:tcPr>
            <w:tcW w:w="10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5,665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5,082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11,625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10,483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7"/>
                <w:szCs w:val="17"/>
                <w:color w:val="auto"/>
              </w:rPr>
              <w:t>Sales tax liability</w:t>
            </w:r>
            <w:r>
              <w:rPr>
                <w:rFonts w:ascii="Arial" w:cs="Arial" w:eastAsia="Arial" w:hAnsi="Arial"/>
                <w:sz w:val="23"/>
                <w:szCs w:val="23"/>
                <w:color w:val="auto"/>
                <w:vertAlign w:val="superscript"/>
              </w:rPr>
              <w:t>(1)</w:t>
            </w:r>
          </w:p>
        </w:tc>
        <w:tc>
          <w:tcPr>
            <w:tcW w:w="106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(1,791)</w:t>
            </w:r>
          </w:p>
        </w:tc>
        <w:tc>
          <w:tcPr>
            <w:tcW w:w="3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(2,732)</w:t>
            </w:r>
          </w:p>
        </w:tc>
      </w:tr>
      <w:tr>
        <w:trPr>
          <w:trHeight w:val="202"/>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Transaction costs</w:t>
            </w:r>
            <w:r>
              <w:rPr>
                <w:rFonts w:ascii="Arial" w:cs="Arial" w:eastAsia="Arial" w:hAnsi="Arial"/>
                <w:sz w:val="23"/>
                <w:szCs w:val="23"/>
                <w:color w:val="auto"/>
                <w:vertAlign w:val="superscript"/>
              </w:rPr>
              <w:t>(2)</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1,901</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7"/>
                <w:szCs w:val="17"/>
                <w:color w:val="auto"/>
              </w:rPr>
              <w:t>Equity-based compensation</w:t>
            </w:r>
            <w:r>
              <w:rPr>
                <w:rFonts w:ascii="Arial" w:cs="Arial" w:eastAsia="Arial" w:hAnsi="Arial"/>
                <w:sz w:val="23"/>
                <w:szCs w:val="23"/>
                <w:color w:val="auto"/>
                <w:vertAlign w:val="superscript"/>
              </w:rPr>
              <w:t>(3)</w:t>
            </w:r>
          </w:p>
        </w:tc>
        <w:tc>
          <w:tcPr>
            <w:tcW w:w="10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10,751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8,488</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Litigation, settlements, and related costs</w:t>
            </w:r>
            <w:r>
              <w:rPr>
                <w:rFonts w:ascii="Arial" w:cs="Arial" w:eastAsia="Arial" w:hAnsi="Arial"/>
                <w:sz w:val="23"/>
                <w:szCs w:val="23"/>
                <w:color w:val="auto"/>
                <w:vertAlign w:val="superscript"/>
              </w:rPr>
              <w:t>(4)</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7"/>
                <w:szCs w:val="17"/>
                <w:color w:val="auto"/>
              </w:rPr>
              <w:t>Change in fair value of warrants</w:t>
            </w:r>
            <w:r>
              <w:rPr>
                <w:rFonts w:ascii="Arial" w:cs="Arial" w:eastAsia="Arial" w:hAnsi="Arial"/>
                <w:sz w:val="23"/>
                <w:szCs w:val="23"/>
                <w:color w:val="auto"/>
                <w:vertAlign w:val="superscript"/>
              </w:rPr>
              <w:t>(5)</w:t>
            </w:r>
          </w:p>
        </w:tc>
        <w:tc>
          <w:tcPr>
            <w:tcW w:w="106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(3,115)</w:t>
            </w:r>
          </w:p>
        </w:tc>
        <w:tc>
          <w:tcPr>
            <w:tcW w:w="3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Loss on asset disposals</w:t>
            </w:r>
            <w:r>
              <w:rPr>
                <w:rFonts w:ascii="Arial" w:cs="Arial" w:eastAsia="Arial" w:hAnsi="Arial"/>
                <w:sz w:val="23"/>
                <w:szCs w:val="23"/>
                <w:color w:val="auto"/>
                <w:vertAlign w:val="superscript"/>
              </w:rPr>
              <w:t>(6)</w:t>
            </w: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7"/>
                <w:szCs w:val="17"/>
                <w:color w:val="auto"/>
              </w:rPr>
              <w:t>Change in fair value of derivative asset</w:t>
            </w:r>
            <w:r>
              <w:rPr>
                <w:rFonts w:ascii="Arial" w:cs="Arial" w:eastAsia="Arial" w:hAnsi="Arial"/>
                <w:sz w:val="23"/>
                <w:szCs w:val="23"/>
                <w:color w:val="auto"/>
                <w:vertAlign w:val="superscript"/>
              </w:rPr>
              <w:t>(7)</w:t>
            </w:r>
          </w:p>
        </w:tc>
        <w:tc>
          <w:tcPr>
            <w:tcW w:w="10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Unrealized foreign currency losses (gains)</w:t>
            </w:r>
            <w:r>
              <w:rPr>
                <w:rFonts w:ascii="Arial" w:cs="Arial" w:eastAsia="Arial" w:hAnsi="Arial"/>
                <w:sz w:val="23"/>
                <w:szCs w:val="23"/>
                <w:color w:val="auto"/>
                <w:vertAlign w:val="superscript"/>
              </w:rPr>
              <w:t>(8)</w:t>
            </w:r>
          </w:p>
        </w:tc>
        <w:tc>
          <w:tcPr>
            <w:tcW w:w="10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(2,041)</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80"/>
              <w:spacing w:after="0" w:line="202"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3"/>
                <w:szCs w:val="23"/>
                <w:color w:val="auto"/>
                <w:vertAlign w:val="superscript"/>
              </w:rPr>
              <w:t>(9)</w:t>
            </w:r>
          </w:p>
        </w:tc>
        <w:tc>
          <w:tcPr>
            <w:tcW w:w="10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801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75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1060" w:type="dxa"/>
            <w:vAlign w:val="bottom"/>
            <w:tcBorders>
              <w:top w:val="single" w:sz="8" w:color="auto"/>
              <w:bottom w:val="single" w:sz="8" w:color="auto"/>
            </w:tcBorders>
            <w:shd w:val="clear" w:color="auto" w:fill="CFF0FC"/>
          </w:tcPr>
          <w:p>
            <w:pPr>
              <w:jc w:val="right"/>
              <w:ind w:right="870"/>
              <w:spacing w:after="0" w:line="18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21,721</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38,920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460" w:hanging="452"/>
        <w:spacing w:after="0" w:line="256" w:lineRule="auto"/>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During the three months ended March 31, 2025 and 2024, we received abatements and recognized other liability reductions related to our obligation to remit uncollected indirect taxes (including sales taxes) in certain U.S. and foreign jurisdictions.</w:t>
      </w:r>
    </w:p>
    <w:p>
      <w:pPr>
        <w:spacing w:after="0" w:line="57" w:lineRule="exact"/>
        <w:rPr>
          <w:rFonts w:ascii="Calibri" w:cs="Calibri" w:eastAsia="Calibri" w:hAnsi="Calibri"/>
          <w:sz w:val="18"/>
          <w:szCs w:val="18"/>
          <w:color w:val="auto"/>
        </w:rPr>
      </w:pPr>
    </w:p>
    <w:p>
      <w:pPr>
        <w:jc w:val="both"/>
        <w:ind w:left="460" w:hanging="452"/>
        <w:spacing w:after="0" w:line="239" w:lineRule="auto"/>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Consists of: (i) legal, accounting, tax, and other professional fees; (ii) personnel costs related to retention bonuses; (iii) integration costs; and (iv) other transaction-related expenses, none of which are considered indicative of our core operating performance. Costs in the three months ended March 31, 2025 primarily related to potential strategic transactions that were explored during the period, the refinancing of the 2024 First Lien Loan with the 2025 First Lien Loan (each as defined herein), repurchases of our Class A common stock, and various strategic investments. Costs in three months ended March 31, 2024 primarily related to acquisitions and various strategic investments.</w:t>
      </w:r>
    </w:p>
    <w:p>
      <w:pPr>
        <w:spacing w:after="0" w:line="73" w:lineRule="exact"/>
        <w:rPr>
          <w:rFonts w:ascii="Calibri" w:cs="Calibri" w:eastAsia="Calibri" w:hAnsi="Calibri"/>
          <w:sz w:val="18"/>
          <w:szCs w:val="18"/>
          <w:color w:val="auto"/>
        </w:rPr>
      </w:pPr>
    </w:p>
    <w:p>
      <w:pPr>
        <w:jc w:val="both"/>
        <w:ind w:left="460" w:hanging="452"/>
        <w:spacing w:after="0"/>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Costs in the three months ended March 31, 2025 primarily related to equity granted pursuant to our 2021 Incentive Award Plan, as amended (the “2021 Plan”), which is not considered indicative of our core operating performance. Costs in three months ended March 31, 2024 primarily related to equity granted pursuant to the 2021 Plan and profits interests issued prior to the October 2021 transaction pursuant to which Horizon Acquisition Corporation merged with and into us (the “Merger Transaction”), neither of which are considered indicative of our core operating performance.</w:t>
      </w:r>
    </w:p>
    <w:p>
      <w:pPr>
        <w:spacing w:after="0" w:line="72" w:lineRule="exact"/>
        <w:rPr>
          <w:rFonts w:ascii="Calibri" w:cs="Calibri" w:eastAsia="Calibri" w:hAnsi="Calibri"/>
          <w:sz w:val="18"/>
          <w:szCs w:val="18"/>
          <w:color w:val="auto"/>
        </w:rPr>
      </w:pPr>
    </w:p>
    <w:p>
      <w:pPr>
        <w:ind w:left="460" w:hanging="452"/>
        <w:spacing w:after="0"/>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Relates to external legal costs, settlement costs, and insurance recoveries that are unrelated to our core business operations.</w:t>
      </w:r>
    </w:p>
    <w:p>
      <w:pPr>
        <w:spacing w:after="0" w:line="117" w:lineRule="exact"/>
        <w:rPr>
          <w:rFonts w:ascii="Calibri" w:cs="Calibri" w:eastAsia="Calibri" w:hAnsi="Calibri"/>
          <w:sz w:val="18"/>
          <w:szCs w:val="18"/>
          <w:color w:val="auto"/>
        </w:rPr>
      </w:pPr>
    </w:p>
    <w:p>
      <w:pPr>
        <w:ind w:left="460" w:right="20" w:hanging="452"/>
        <w:spacing w:after="0" w:line="256" w:lineRule="auto"/>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Relates to the revaluation of warrants to purchase common units of Hoya Intermediate (“Intermediate Units”) held by Hoya Topco, LLC (“Hoya Topco”) following the Merger Transaction that are unrelated to our core business operations.</w:t>
      </w:r>
    </w:p>
    <w:p>
      <w:pPr>
        <w:spacing w:after="0" w:line="57" w:lineRule="exact"/>
        <w:rPr>
          <w:rFonts w:ascii="Calibri" w:cs="Calibri" w:eastAsia="Calibri" w:hAnsi="Calibri"/>
          <w:sz w:val="18"/>
          <w:szCs w:val="18"/>
          <w:color w:val="auto"/>
        </w:rPr>
      </w:pPr>
    </w:p>
    <w:p>
      <w:pPr>
        <w:ind w:left="460" w:hanging="452"/>
        <w:spacing w:after="0"/>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Relates to disposals of fixed assets, which are not considered indicative of our core operating performance.</w:t>
      </w:r>
    </w:p>
    <w:p>
      <w:pPr>
        <w:spacing w:after="0" w:line="117" w:lineRule="exact"/>
        <w:rPr>
          <w:rFonts w:ascii="Calibri" w:cs="Calibri" w:eastAsia="Calibri" w:hAnsi="Calibri"/>
          <w:sz w:val="18"/>
          <w:szCs w:val="18"/>
          <w:color w:val="auto"/>
        </w:rPr>
      </w:pPr>
    </w:p>
    <w:p>
      <w:pPr>
        <w:ind w:left="460" w:hanging="452"/>
        <w:spacing w:after="0"/>
        <w:tabs>
          <w:tab w:leader="none" w:pos="46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Relates to the revaluation of derivatives recorded at fair value that are unrelated to our core business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jc w:val="both"/>
        <w:ind w:left="460" w:hanging="452"/>
        <w:spacing w:after="0" w:line="245" w:lineRule="auto"/>
        <w:tabs>
          <w:tab w:leader="none" w:pos="460" w:val="left"/>
        </w:tabs>
        <w:numPr>
          <w:ilvl w:val="0"/>
          <w:numId w:val="26"/>
        </w:numPr>
        <w:rPr>
          <w:rFonts w:ascii="Calibri" w:cs="Calibri" w:eastAsia="Calibri" w:hAnsi="Calibri"/>
          <w:sz w:val="18"/>
          <w:szCs w:val="18"/>
          <w:color w:val="auto"/>
        </w:rPr>
      </w:pPr>
      <w:r>
        <w:rPr>
          <w:rFonts w:ascii="Arial" w:cs="Arial" w:eastAsia="Arial" w:hAnsi="Arial"/>
          <w:sz w:val="18"/>
          <w:szCs w:val="18"/>
          <w:color w:val="auto"/>
        </w:rPr>
        <w:t>Relates to unrealized foreign currency losses (gains) resulting from the remeasurement of non-operating assets and liabilities denominated in non-functional currencies on the balance sheet date, which are not considered indicative of our core operating performance.</w:t>
      </w:r>
    </w:p>
    <w:p>
      <w:pPr>
        <w:spacing w:after="0" w:line="68"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6"/>
        </w:numPr>
        <w:rPr>
          <w:rFonts w:ascii="Calibri" w:cs="Calibri" w:eastAsia="Calibri" w:hAnsi="Calibri"/>
          <w:sz w:val="18"/>
          <w:szCs w:val="18"/>
          <w:color w:val="auto"/>
        </w:rPr>
      </w:pPr>
      <w:r>
        <w:rPr>
          <w:rFonts w:ascii="Arial" w:cs="Arial" w:eastAsia="Arial" w:hAnsi="Arial"/>
          <w:sz w:val="18"/>
          <w:szCs w:val="18"/>
          <w:color w:val="auto"/>
        </w:rPr>
        <w:t>Relates to losses incurred during the three months ended March 31, 2025 in connection with the extinguishment of the 2024 First Lien Loan that are unrelated to our core business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as set forth below, during the three months ended March 31, 2025, there were no material changes to the “Key Factors Affecting Our Performance” discussed in our 2024 Form 10-K. Our financial position and results of operations depend to a significant extent on those factors.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Environment and Demand for Live Events</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Consumer demand for live concert, sporting, and theater events is affected by discretionary consumer and corporate spending, which is impacted by, among other things, macroeconomic factors (</w:t>
      </w:r>
      <w:r>
        <w:rPr>
          <w:rFonts w:ascii="Arial" w:cs="Arial" w:eastAsia="Arial" w:hAnsi="Arial"/>
          <w:sz w:val="18"/>
          <w:szCs w:val="18"/>
          <w:i w:val="1"/>
          <w:iCs w:val="1"/>
          <w:color w:val="auto"/>
        </w:rPr>
        <w:t>e.g.</w:t>
      </w:r>
      <w:r>
        <w:rPr>
          <w:rFonts w:ascii="Arial" w:cs="Arial" w:eastAsia="Arial" w:hAnsi="Arial"/>
          <w:sz w:val="18"/>
          <w:szCs w:val="18"/>
          <w:color w:val="auto"/>
        </w:rPr>
        <w:t>, unemployment levels, fuel prices, interest rates, and inflation) and changes in tax rates and tax laws. Changes in trade policy can also indirectly affect demand for live events. Recently enacted and proposed tariffs and trade policies of the United States and other countries have introduced uncertainty in the global economy. During periods of such uncertainty, or of actual or perceived unfavorable economic conditions, consumers may reallocate their discretionary spending or determine they have fewer funds available for discretionary spending. This can decrease demand for and attendance at live events, as well as reduce ticket sales, which would adversely affect our revenue and operating results. In addition, any decrease in tourism to the United States as a result of perceptions of U.S. policies could disproportionately affect our business, as many tourists are consumers of live events and substantially all of our sales occur in the United States.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2025 and 2024</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our results of operations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164,023</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190,852</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(26,829)</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Costs and expenses: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44,525</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49,583</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(5,058)</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860" w:type="dxa"/>
            <w:vAlign w:val="bottom"/>
          </w:tcPr>
          <w:p>
            <w:pPr>
              <w:ind w:left="60"/>
              <w:spacing w:after="0"/>
              <w:rPr>
                <w:sz w:val="20"/>
                <w:szCs w:val="20"/>
                <w:color w:val="auto"/>
              </w:rPr>
            </w:pPr>
            <w:r>
              <w:rPr>
                <w:rFonts w:ascii="Arial" w:cs="Arial" w:eastAsia="Arial" w:hAnsi="Arial"/>
                <w:sz w:val="14"/>
                <w:szCs w:val="14"/>
                <w:color w:val="auto"/>
              </w:rPr>
              <w:t>Marketing and selling</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64,112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67,745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(3,633)</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ind w:left="60"/>
              <w:spacing w:after="0"/>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48,082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42,366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5,716</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5860" w:type="dxa"/>
            <w:vAlign w:val="bottom"/>
          </w:tcPr>
          <w:p>
            <w:pPr>
              <w:ind w:left="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11,625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10,483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1,142</w:t>
            </w:r>
          </w:p>
        </w:tc>
        <w:tc>
          <w:tcPr>
            <w:tcW w:w="2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costs and expenses</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168,344</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170,177</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(1,833)</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3"/>
                <w:szCs w:val="13"/>
                <w:color w:val="auto"/>
              </w:rPr>
            </w:pPr>
          </w:p>
        </w:tc>
        <w:tc>
          <w:tcPr>
            <w:tcW w:w="13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(4,321)</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20,675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(24,996)</w:t>
            </w: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5,665</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Other expense (income) – net</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(4,154)</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2,582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(6,736)</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220" w:type="dxa"/>
            <w:vAlign w:val="bottom"/>
          </w:tcPr>
          <w:p>
            <w:pPr>
              <w:spacing w:after="0"/>
              <w:rPr>
                <w:sz w:val="13"/>
                <w:szCs w:val="13"/>
                <w:color w:val="auto"/>
              </w:rPr>
            </w:pPr>
          </w:p>
        </w:tc>
        <w:tc>
          <w:tcPr>
            <w:tcW w:w="13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(6,633)</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13,011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(19,644)</w:t>
            </w: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20" w:type="dxa"/>
            <w:vAlign w:val="bottom"/>
          </w:tcPr>
          <w:p>
            <w:pPr>
              <w:spacing w:after="0"/>
              <w:rPr>
                <w:sz w:val="13"/>
                <w:szCs w:val="13"/>
                <w:color w:val="auto"/>
              </w:rPr>
            </w:pPr>
          </w:p>
        </w:tc>
        <w:tc>
          <w:tcPr>
            <w:tcW w:w="13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(9,788)</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10,742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(20,530)</w:t>
            </w: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62"/>
        </w:trPr>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(3,846)</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(8,511)</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tcPr>
          <w:p>
            <w:pPr>
              <w:spacing w:after="0" w:line="155"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2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(5,942)</w:t>
            </w:r>
          </w:p>
        </w:tc>
        <w:tc>
          <w:tcPr>
            <w:tcW w:w="280" w:type="dxa"/>
            <w:vAlign w:val="bottom"/>
          </w:tcPr>
          <w:p>
            <w:pPr>
              <w:spacing w:after="0"/>
              <w:rPr>
                <w:sz w:val="13"/>
                <w:szCs w:val="13"/>
                <w:color w:val="auto"/>
              </w:rPr>
            </w:pPr>
          </w:p>
        </w:tc>
        <w:tc>
          <w:tcPr>
            <w:tcW w:w="2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6,077</w:t>
            </w:r>
          </w:p>
        </w:tc>
        <w:tc>
          <w:tcPr>
            <w:tcW w:w="280" w:type="dxa"/>
            <w:vAlign w:val="bottom"/>
          </w:tcPr>
          <w:p>
            <w:pPr>
              <w:spacing w:after="0"/>
              <w:rPr>
                <w:sz w:val="13"/>
                <w:szCs w:val="13"/>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(12,019)</w:t>
            </w:r>
          </w:p>
        </w:tc>
        <w:tc>
          <w:tcPr>
            <w:tcW w:w="220" w:type="dxa"/>
            <w:vAlign w:val="bottom"/>
          </w:tcPr>
          <w:p>
            <w:pPr>
              <w:spacing w:after="0"/>
              <w:rPr>
                <w:sz w:val="13"/>
                <w:szCs w:val="13"/>
                <w:color w:val="auto"/>
              </w:rPr>
            </w:pPr>
          </w:p>
        </w:tc>
        <w:tc>
          <w:tcPr>
            <w:tcW w:w="11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-985520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-985520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-985520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-985520</wp:posOffset>
            </wp:positionV>
            <wp:extent cx="1200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-565150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-565150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-565150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-565150</wp:posOffset>
            </wp:positionV>
            <wp:extent cx="1200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-350520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-350520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-350520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-350520</wp:posOffset>
            </wp:positionV>
            <wp:extent cx="1200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-136525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-136525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-136525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-136525</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revenues by segment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revenues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133,740</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160,012</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(26,272)</w:t>
            </w:r>
          </w:p>
        </w:tc>
        <w:tc>
          <w:tcPr>
            <w:tcW w:w="12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Resale revenues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30,283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30,840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(557)</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260" w:type="dxa"/>
            <w:vAlign w:val="bottom"/>
            <w:shd w:val="clear" w:color="auto" w:fill="CFF0FC"/>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164,023</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190,852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(26,829)</w:t>
            </w: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revenues decreased by $26.8 million, or 14%, during the three months ended March 31, 2025 compared to the three months ended March 31, 2024. The decrease resulted primarily from a decrease in Marketplace orders.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event category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Concert revenues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58,154</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68,029</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(9,875)</w:t>
            </w:r>
          </w:p>
        </w:tc>
        <w:tc>
          <w:tcPr>
            <w:tcW w:w="1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Sport revenues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38,598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47,348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(8,750)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Theater revenues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37,907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(6,374)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Other revenues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6,728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(1,273)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5"/>
        </w:trPr>
        <w:tc>
          <w:tcPr>
            <w:tcW w:w="54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133,740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160,012</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(26,272)</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(16)</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revenues decreased by $26.3 million, or 16%, during the three months ended March 31, 2025 compared to the three months ended March 31, 2024. The decrease resulted primarily from a decrease in Marketplace orders of 0.6 million, or 20%, partly offset by a higher Marketplace take rate (defined as Marketplace revenues divided by Marketplace GOV).</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cancellation charges, which generally have a negative impact on Marketplace revenues, represented a $5.3 million reduction to Marketplace revenues during the three months ended March 31, 2025 compared to a $9.2 million reduction to Marketplace revenues during the three months ended March 31, 2024. The decrease resulted primarily from lower payment-related chargeback activity primarily due to lower volume.</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business model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Owned Properties revenues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109,232</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126,571</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(17,339)</w:t>
            </w:r>
          </w:p>
        </w:tc>
        <w:tc>
          <w:tcPr>
            <w:tcW w:w="12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Private Label Offering revenues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24,508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33,441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(8,933)</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260" w:type="dxa"/>
            <w:vAlign w:val="bottom"/>
            <w:shd w:val="clear" w:color="auto" w:fill="CFF0FC"/>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133,740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160,012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(26,272)</w:t>
            </w: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decrease in Owned Properties revenues during the three months ended March 31, 2025 compared to the three months ended March 31, 2024 resulted primarily from a decrease in Marketplace orders partly offset by a higher Marketplace take rate.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decrease in Private Label Offering revenues during the three months ended March 31, 2025 compared to the three months ended March 31, 2024 resulted primarily from a decrease in Marketplace orders.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a lesser extent, we also earn Marketplace revenue in the form of referral fees charged to third-party insurance providers in exchange for offering event insurance to ticket buyers. Marketplace revenue earned from referral fees during the three months ended March 31, 2025 and 2024 was $5.9 million and $6.8 million, respectively. The decrease resulted primarily from lower order volumes in our Marketplace segment.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Resale Revenues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revenues decreased by $0.6 million, or 2%, during the three months ended March 31, 2025 compared to the three months ended March 31, 2024. Despite an increase in Resale orders, the decrease resulted primarily from a lower average order size per Resale order and higher Resale cancellation charges.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cancellation charges, which generally have a negative impact on Resale revenues, represented a $0.5 million reduction to Resale revenues during the three months ended March 31, 2025 compared to a $0.3 million reduction to Resale revenues during the three months ended March 31,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Cost of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cost of revenues by segment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cost of revenues</w:t>
            </w:r>
          </w:p>
        </w:tc>
        <w:tc>
          <w:tcPr>
            <w:tcW w:w="2720" w:type="dxa"/>
            <w:vAlign w:val="bottom"/>
            <w:gridSpan w:val="2"/>
            <w:shd w:val="clear" w:color="auto" w:fill="CFF0FC"/>
          </w:tcPr>
          <w:p>
            <w:pPr>
              <w:jc w:val="right"/>
              <w:ind w:right="748"/>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20,999</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26,141</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(5,142)</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Resale cost of revenues</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23,526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cost of revenues</w:t>
            </w:r>
          </w:p>
        </w:tc>
        <w:tc>
          <w:tcPr>
            <w:tcW w:w="1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74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44,525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49,583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(5,058)</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cost of revenues decreased by $5.1 million, or 10%, during the three months ended March 31, 2025 compared to the three months ended March 31, 2024. The decrease resulted primarily from a decrease in Marketplace orders.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cost of revenues decreased by $ 5.1 million, or 20%, during the three months ended March 31, 2025 compared to the three months ended March 31, 2024. The decrease, which was primarily due to the decrease in Marketplace orders, was consistent with the 20% decrease in Marketplace GOV during the same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Cost of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cost of revenues increased by $0.1 million, or 0%, during the three months ended March 31, 2025 compared to the three months ended March 31, 2024.</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Marketing and Selling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marketing and selling expenses by advertising category for the three months ended March 31, 2025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 (in thousands, except percentages):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Online advertising</w:t>
            </w:r>
          </w:p>
        </w:tc>
        <w:tc>
          <w:tcPr>
            <w:tcW w:w="880" w:type="dxa"/>
            <w:vAlign w:val="bottom"/>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59,199</w:t>
            </w:r>
          </w:p>
        </w:tc>
        <w:tc>
          <w:tcPr>
            <w:tcW w:w="1220" w:type="dxa"/>
            <w:vAlign w:val="bottom"/>
            <w:gridSpan w:val="2"/>
            <w:shd w:val="clear" w:color="auto" w:fill="CFF0FC"/>
          </w:tcPr>
          <w:p>
            <w:pPr>
              <w:jc w:val="right"/>
              <w:ind w:right="768"/>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61,904</w:t>
            </w:r>
          </w:p>
        </w:tc>
        <w:tc>
          <w:tcPr>
            <w:tcW w:w="5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(2,705)</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Offline advertising</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4,913</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5,841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(928)</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marketing and selling</w:t>
            </w:r>
          </w:p>
        </w:tc>
        <w:tc>
          <w:tcPr>
            <w:tcW w:w="880" w:type="dxa"/>
            <w:vAlign w:val="bottom"/>
            <w:shd w:val="clear" w:color="auto" w:fill="CFF0FC"/>
          </w:tcPr>
          <w:p>
            <w:pPr>
              <w:jc w:val="right"/>
              <w:ind w:right="7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64,112</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68"/>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67,745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(3,633)</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marketing and selling expenses, which are entirely attributable to our Marketplace segment, decreased by $3.6 million, or 5%, during the three months ended March 31, 2025 compared to the three months ended March 31, 2024. The decrease was not consistent with the 16% decrease in Marketplace revenues during the same period, primarily due to higher investment in digital performance marketing channels.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Online advertising costs decreased by $ 2.7 million, or 4%, during the three months ended March 31, 2025 compared to the three months ended March 31, 2024. The decrease resulted from a decrease in Marketplace orders, partly offset by higher investment in digital performance marketing channels.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Offline Advertising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Offline advertising costs decreased by $0.9 million, or 16%, during the three months ended March 31, 2025 compared to the three months ended March 31, 2024. The decrease resulted primarily from lower activity in our traditional brand marketing channels.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Contribution Margin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contribution margin by segment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contribution margin</w:t>
            </w: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48,629</w:t>
            </w:r>
          </w:p>
        </w:tc>
        <w:tc>
          <w:tcPr>
            <w:tcW w:w="56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66,126</w:t>
            </w:r>
          </w:p>
        </w:tc>
        <w:tc>
          <w:tcPr>
            <w:tcW w:w="4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(17,497)</w:t>
            </w:r>
          </w:p>
        </w:tc>
        <w:tc>
          <w:tcPr>
            <w:tcW w:w="12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Resale contribution margin</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6,757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7,398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(641)</w:t>
            </w: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contribution margin</w:t>
            </w:r>
          </w:p>
        </w:tc>
        <w:tc>
          <w:tcPr>
            <w:tcW w:w="840" w:type="dxa"/>
            <w:vAlign w:val="bottom"/>
            <w:shd w:val="clear" w:color="auto" w:fill="CFF0FC"/>
          </w:tcPr>
          <w:p>
            <w:pPr>
              <w:jc w:val="right"/>
              <w:ind w:right="688"/>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55,386</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73,524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(18,138)</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contribution margin decreased by $18.1 million, or 25%, during the three months ended March 31, 2025 compared to the three months ended March 31, 2024. The decrease resulted primarily from a lower contribution margin in our Marketplace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Contribution Margin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contribution margin decreased by $17.5 million, or 26%, during the three months ended March 31, 2025 compared to the three months ended March 31, 2024. The decrease resulted primarily from a decrease in Marketplace orders and higher investment in digital performance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Contribution Margin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contribution margin decreased by $0.6 million, or 9%, during the three months ended March 31, 2025 compared to the three months ended March 31, 2024. The decrease resulted primarily from lower average revenue per Resale order.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General and Administrative</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total general and administrative expenses by category for the three months ended March 31,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1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tcBorders>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Personnel expenses</w:t>
            </w:r>
          </w:p>
        </w:tc>
        <w:tc>
          <w:tcPr>
            <w:tcW w:w="840" w:type="dxa"/>
            <w:vAlign w:val="bottom"/>
            <w:shd w:val="clear" w:color="auto" w:fill="CFF0FC"/>
          </w:tcPr>
          <w:p>
            <w:pPr>
              <w:jc w:val="right"/>
              <w:ind w:right="71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33,275</w:t>
            </w:r>
          </w:p>
        </w:tc>
        <w:tc>
          <w:tcPr>
            <w:tcW w:w="1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32,601</w:t>
            </w:r>
          </w:p>
        </w:tc>
        <w:tc>
          <w:tcPr>
            <w:tcW w:w="18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674</w:t>
            </w:r>
          </w:p>
        </w:tc>
        <w:tc>
          <w:tcPr>
            <w:tcW w:w="1420" w:type="dxa"/>
            <w:vAlign w:val="bottom"/>
            <w:gridSpan w:val="3"/>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Sales and indirect taxes</w:t>
            </w:r>
          </w:p>
        </w:tc>
        <w:tc>
          <w:tcPr>
            <w:tcW w:w="8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941</w:t>
            </w:r>
          </w:p>
        </w:tc>
        <w:tc>
          <w:tcPr>
            <w:tcW w:w="1420" w:type="dxa"/>
            <w:vAlign w:val="bottom"/>
            <w:gridSpan w:val="3"/>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54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8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16,245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12,144</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4,101</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546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tcPr>
          <w:p>
            <w:pPr>
              <w:spacing w:after="0" w:line="155" w:lineRule="exact"/>
              <w:rPr>
                <w:sz w:val="20"/>
                <w:szCs w:val="20"/>
                <w:color w:val="auto"/>
              </w:rPr>
            </w:pPr>
            <w:r>
              <w:rPr>
                <w:rFonts w:ascii="Arial" w:cs="Arial" w:eastAsia="Arial" w:hAnsi="Arial"/>
                <w:sz w:val="14"/>
                <w:szCs w:val="14"/>
                <w:b w:val="1"/>
                <w:bCs w:val="1"/>
                <w:color w:val="auto"/>
              </w:rPr>
              <w:t>Total general and administrative</w:t>
            </w:r>
          </w:p>
        </w:tc>
        <w:tc>
          <w:tcPr>
            <w:tcW w:w="840" w:type="dxa"/>
            <w:vAlign w:val="bottom"/>
          </w:tcPr>
          <w:p>
            <w:pPr>
              <w:jc w:val="right"/>
              <w:ind w:right="718"/>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48,082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42,366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5,716</w:t>
            </w:r>
          </w:p>
        </w:tc>
        <w:tc>
          <w:tcPr>
            <w:tcW w:w="220" w:type="dxa"/>
            <w:vAlign w:val="bottom"/>
          </w:tcPr>
          <w:p>
            <w:pPr>
              <w:spacing w:after="0"/>
              <w:rPr>
                <w:sz w:val="13"/>
                <w:szCs w:val="13"/>
                <w:color w:val="auto"/>
              </w:rPr>
            </w:pPr>
          </w:p>
        </w:tc>
        <w:tc>
          <w:tcPr>
            <w:tcW w:w="12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-136525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-136525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-136525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-136525</wp:posOffset>
            </wp:positionV>
            <wp:extent cx="1028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general and administrative expenses increased by $5.7 million, or 13%, during the three months ended March 31, 2025 compared to the three months ended March 31, 2024. The increase resulted primarily from an increase in professional services fees.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Expenses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Personnel expenses increased by $0.7 million, or 2%, during the three months ended March 31, 2025 compared to the three months ended March 31, 2024. The increase resulted primarily from an increase in equity-based compensation expense.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Indirect Taxes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Expenses related to sales and indirect taxes increased by $0.9 million, or 40%, during the three months ended March 31, 2025 compared to the three months ended March 31, 2024. The increase resulted primarily from lower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8"/>
          <w:szCs w:val="18"/>
          <w:color w:val="auto"/>
        </w:rPr>
        <w:t>abatements and other liability reductions related to our obligation to remit uncollected indirect taxes (including sales taxes) in certain U.S. and foreign jurisdictions.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General and Administrative</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general and administrative expenses increased by $4.1 million, or 34%, during the three months ended March 31, 2025 compared to the three months ended March 31, 2024. The increase resulted primarily from an increase in professional services fees.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Depreciation and amortization expenses increased by $1.1 million, or 11%, during the three months ended March 31, 2025 compared to the three months ended March 31, 2024. The increase resulted primarily from an increase in intangible assets as a result of our October 2024 acquisition of a domain name that we had previously licensed and, to a lesser extent, an increase in capitalized development activities related to our platform.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 Net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 net increased by $0.6 million, or 11%, during the three months ended March 31, 2025 compared to the three months ended March 31, 2024. The increase resulted primarily from lower interest income earned on our cash balances.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income – net increased by $6.7 million, or 261%, during the three months ended March 31, 2025 compared to the three months ended March 31, 2024. The increase resulted primarily from unrealized foreign currency gains related to the remeasurement of non-operating assets and liabilities denominated in non-functional currencies on the balance sheet date and unrealized gains related to the fair value remeasurement of the warrants issued by Hoya Intermediate to Hoya Topco in connection with the Merger Transaction.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Loss on extinguishment of debt increased by $0.8 million during the three months ended March 31, 2025 compared to the three months ended March 31, 2024. The increase resulted entirely from the refinancing of the 2024 First Lien Loan with the 2025 First Lien Loan.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Income tax expense increased by $0.9 million, or 39%, during the three months ended March 31, 2025 compared to the three months ended March 31, 2024. The increase resulted primarily from equity-based compensation and limitations on compensation deductions.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primary source of funds is cash generated from operations. Our existing cash and cash equivalents are sufficient to fund our liquidity needs for the next 12 months and thereafter for the foreseeable future. As of March 31, 2025, we had $199.5 million of cash and cash equivalents, which consist of interest-bearing deposit accounts, money market accounts managed by financial institutions, and highly liquid investments with maturities of three months or less. During the three months ended March 31, 2025, we generated negative cash flows from operating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June 2017, we entered into a $575.0 million first lien debt facility comprising a $ 50.0 million revolving credit facility and a $525.0 million term loan (the “2017 First Lien Loan”), and a second lien credit facility comprising a $185.0 million second lien term loan (the “2017 Second Lien Loan”). In July 2018, we amended the 2017 First Lien Loan to upsize the committed amount by $115.0 million. In October 2019, we repaid the 2017 Second Lien Loan in its entirety. The revolving credit facility component of the first lien debt facility was retired in May 2020.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44" w:lineRule="auto"/>
        <w:rPr>
          <w:sz w:val="20"/>
          <w:szCs w:val="20"/>
          <w:color w:val="auto"/>
        </w:rPr>
      </w:pPr>
      <w:r>
        <w:rPr>
          <w:rFonts w:ascii="Arial" w:cs="Arial" w:eastAsia="Arial" w:hAnsi="Arial"/>
          <w:sz w:val="18"/>
          <w:szCs w:val="18"/>
          <w:color w:val="auto"/>
        </w:rPr>
        <w:t>In February 2022, we (i) repaid $190.7 million of the outstanding 2017 First Lien Loan and (ii) amended the 2017 First Lien Loan to refinance the remaining balance with a new $275.0 million term loan (the “2022 First Lien Loan”), add a $100.0 million revolving credit facility (the “Revolving Facility”) with a maturity date of February 3, 2027, replace the London Interbank Offered Rate (“LIBOR”)-based floating interest rate with a term secured overnight financing rate (“SOFR”)-based floating interest rate, and revise the springing financial covenant to require compliance with a first lien net leverage ratio when revolver borrowings exceed certain levels.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June 2024, we amended the 2022 First Lien Loan to refinance the remaining balance with a $ 395.0 million term loan (the “2024 First Lien Loan”) with a maturity date of February 3, 2029 and revise the term SOFR-based floating interest rate.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2025, we amended the 2024 First Lien Loan to refinance the remaining balance with a new $393.0 million term loan (the “2025 First Lien Loan”) with a maturity date of February 3, 2029 and reduce the applicable interest thereon to the SOFR-based floating interest rate described below.</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2025 First Lien Loan requires quarterly principal payments of $1.0 million. The Revolving Facility, which was unaffected by the refinancing of the 2022 First Lien Loan and the refinancing of the 2024 First Lien Loan, does not require periodic payments. All obligations under the 2025 First Lien Loan are unconditionally guaranteed by Hoya Intermediate and substantially all of Hoya Intermediate’s existing and future direct and indirect wholly owned domestic subsidiaries (collectively, the “Guarantors”). All obligations under the 2025 First Lien Loan are secured, subject to permitted liens and other exceptions, by first-priority perfected security interests in substantially all of our and the Guarantors’ assets. The 2025 First Lien Loan carries an interest rate of SOFR (subject to a 0.5% floor) plus a margin of 2.25%; provided that such margin may be reduced to 2.00% if the corporate rating assigned to us by Moody’s Investors Service, Inc. and S&amp;P Global Ratings is at least Ba3/BB- (in each case, stable or better).</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we assumed long-term debt owed to Shoko Chukin Bank (the “Shoko Chukin Bank Loan”) of JPY 458.3 million (approximately $ 3.1 million), which had an original maturity date of June 24, 2026 and was subject to a fixed interest rate of 1.3% per annum. In April 2024, we paid off the Shoko Chukin Bank Loan balance in its entirety.</w:t>
      </w:r>
    </w:p>
    <w:p>
      <w:pPr>
        <w:spacing w:after="0" w:line="61" w:lineRule="exact"/>
        <w:rPr>
          <w:sz w:val="20"/>
          <w:szCs w:val="20"/>
          <w:color w:val="auto"/>
        </w:rPr>
      </w:pPr>
    </w:p>
    <w:p>
      <w:pPr>
        <w:ind w:right="420"/>
        <w:spacing w:after="0" w:line="360" w:lineRule="auto"/>
        <w:rPr>
          <w:sz w:val="20"/>
          <w:szCs w:val="20"/>
          <w:color w:val="auto"/>
        </w:rPr>
      </w:pPr>
      <w:r>
        <w:rPr>
          <w:rFonts w:ascii="Arial" w:cs="Arial" w:eastAsia="Arial" w:hAnsi="Arial"/>
          <w:sz w:val="18"/>
          <w:szCs w:val="18"/>
          <w:color w:val="auto"/>
        </w:rPr>
        <w:t xml:space="preserve">As of March 31, 2025, we had the 2025 First Lien Loan outstanding and we had no outstanding borrowings under the Revolving Facility. </w:t>
      </w:r>
      <w:r>
        <w:rPr>
          <w:rFonts w:ascii="Arial" w:cs="Arial" w:eastAsia="Arial" w:hAnsi="Arial"/>
          <w:sz w:val="18"/>
          <w:szCs w:val="18"/>
          <w:b w:val="1"/>
          <w:bCs w:val="1"/>
          <w:i w:val="1"/>
          <w:iCs w:val="1"/>
          <w:color w:val="auto"/>
        </w:rPr>
        <w:t>Share Repurchase Program</w:t>
      </w:r>
    </w:p>
    <w:p>
      <w:pPr>
        <w:jc w:val="both"/>
        <w:spacing w:after="0" w:line="253" w:lineRule="auto"/>
        <w:rPr>
          <w:sz w:val="20"/>
          <w:szCs w:val="20"/>
          <w:color w:val="auto"/>
        </w:rPr>
      </w:pPr>
      <w:r>
        <w:rPr>
          <w:rFonts w:ascii="Arial" w:cs="Arial" w:eastAsia="Arial" w:hAnsi="Arial"/>
          <w:sz w:val="18"/>
          <w:szCs w:val="18"/>
          <w:color w:val="auto"/>
        </w:rPr>
        <w:t>On February 29, 2024, our Board of Directors (our “Board”) authorized a share repurchase program for up to $100.0 million of our Class A common stock (the “Share Repurchase Program”). The Share Repurchase Program was publicly announced on March 5, 2024 and does not have a fixed expiration date.</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2025, we repurchased 2.4 million shares of our Class A common stock under the Share Repurchase Program, for which we paid $6.0 million and incurred less than $0.1 million of commissions and excise taxes. As of March 31, 2025, we recognized a liability of $0.9 million related to unpaid share repurchases, which is recorded in Accrued expenses and other current liabilities in the Condensed Consolidated Balance Sheets.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March 31, 2025, we have repurchased 6.5 million shares of our Class A common stock under the Share Repurchase Program, for which we have paid $28.8 million and incurred $0.3 million of commissions and excise taxes. As of March 31, 2025, $70.3 million remained available for future repurchases under the Share Repurchase Program.</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Share repurchases are accounted for as equity transactions and are recorded in Treasury stock in the Condensed Consolidated Balance Sheets.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Distributions to Redeemable Noncontrolling Interests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its Limited Liability Company Agreement, Hoya Intermediate is required to make pro rata tax distributions to its members, of which $1.7 million was distributed to redeemable noncontrolling interests during the three months ended March 31, 2025. As of March 31, 2025, we recognized a liability of $1.7 million related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jc w:val="both"/>
        <w:ind w:right="20"/>
        <w:spacing w:after="0" w:line="271" w:lineRule="auto"/>
        <w:rPr>
          <w:sz w:val="20"/>
          <w:szCs w:val="20"/>
          <w:color w:val="auto"/>
        </w:rPr>
      </w:pPr>
      <w:r>
        <w:rPr>
          <w:rFonts w:ascii="Arial" w:cs="Arial" w:eastAsia="Arial" w:hAnsi="Arial"/>
          <w:sz w:val="18"/>
          <w:szCs w:val="18"/>
          <w:color w:val="auto"/>
        </w:rPr>
        <w:t>unpaid tax distributions to redeemable noncontrolling interests, which is recorded in Accrued expenses and other current liabilities in the Condensed Consolidated Balance Sheets.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Merger Transaction, we entered into a Tax Receivable Agreement (the “TRA”) with the existing Hoya Intermediate unitholders that provides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Amounts payable under the TRA are contingent upon the generation of future taxable income over the term of the TRA and future changes in tax laws. If we do not generate sufficient taxable income in the aggregate over the term of the TRA to utilize the tax benefits, then we would not be required to make the related payments. As of March 31, 2025, we estimate that the tax savings associated with all tax attributes described above would aggregate to approximately $183.3 million. Under this scenario, we would be required to pay approximately 85% of such amount, or $155.8 million, primarily over the next 14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2025 and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3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(25,288)</w:t>
            </w:r>
          </w:p>
        </w:tc>
        <w:tc>
          <w:tcPr>
            <w:tcW w:w="120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39,165</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(7,571)</w:t>
            </w:r>
          </w:p>
        </w:tc>
        <w:tc>
          <w:tcPr>
            <w:tcW w:w="12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(5,287)</w:t>
            </w: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(11,570)</w:t>
            </w:r>
          </w:p>
        </w:tc>
        <w:tc>
          <w:tcPr>
            <w:tcW w:w="1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(4,613)</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cash used in operating activities was $25.3 million during the three months ended March 31, 2025 due to a net loss of $ 9.8 million, net non-cash charges of $17.7 million, and net cash outflows from a $33.2 million change in operating assets and liabilities. The net cash outflows from the change in operating assets and liabilities were primarily due to a decrease in Accounts payable resulting from a decrease in amounts payable to ticket sellers as a result of lower Marketplace GOV and a decrease in Accrued expenses and other current liabilities (specifically accrued payroll) due to lower Marketplace GOV, as well as the timing of disbursements.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provided by operating activities was $39.2 million during the three months ended March 31, 2024 due to $10.7 million in net income, net non-cash charges of $23.0 million, and net cash inflows from a $5.4 million change in operating assets and liabilities. The net cash inflows from the change in operating assets and liabilities resulted primarily from an increase in accounts payable due to seasonal fluctuations.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three months ended March 31, 2025 and 2024 was $7.6 million and $5.3 million, respectively, which was primarily related to capital spending on development activities for our online platform in both periods.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financing activities during the three months ended March 31, 2025 and 2024 was $11.6 million and $4.6 million, respectively, which was primarily related to repurchases of our Class A common stock under the Share Repurchase Program and payments of liabilities under the TRA in both periods.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that affect the reported amounts of assets, liabilities, revenues,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 goodwill, indefinite-lived intangible assets, definite-lived intangible assets, long-lived assets, and valuation allowances have the greatest potential impact on our condensed consolidated financial statements. Accordingly, these are the policies that are the most critical to aid in fully understanding and evaluating our unaudited condensed consolidated financial statements. For a description of our critical accounting policies and estimates, see our 2024 Form 10-K. During the three months ended March 31, 2025, there were no material changes to the critical accounting policies disclosed in our 2024 Form 10-K.</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perform an annual impairment assessment of our goodwill and indefinite-lived intangible assets as of October 31 of each fiscal year. In fiscal year 2024, we conducted a quantitative assessment of our goodwill and indefinite-lived intangible assets and concluded that there was no impairment thereof. The fair value estimates used in our assessment were based on assumptions we believe to be reasonable, but that are unpredictable and inherently uncertain, including estimates of future growth rates and operating margins and assumptions about the overall economic and competitive environments. There can be no assurance that the estimates and assumptions used at the time of our annual assessment will not change over time. If fiscal year 2025 profitability trends decline below what is expected, it is possible that an interim assessment, or a future annual assessment, could result in an impairment of our goodwill and indefinite-lived intangible 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to our unaudited condensed consolidated financial statements included elsewhere in this Report for a description of recently adopted accounting pronouncements and issued accounting pronouncements not yet adopted.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 risk is the potential loss in future earnings, fair values, or cash flows of market risk-sensitive instruments resulting from adverse changes in interest rates, foreign exchange rates, and market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primary market risk is the interest rate risk associated with our long-term debt (including the 2025 First Lien Loan, which bears a floating interest rate based on market rates plus an applicable spread). We manage our exposure to this risk through established policies and procedures aimed at mitigating the potential effect of adverse interest rate changes. However, we will be susceptible to interest rate fluctuations if we do not effectively hedge the interest rate exposure arising from our floating-rate debt, which may adversely impact our financial results.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hypothetical 1% change in interest rates, assuming rates are above our applicable interest rate floor, would have impacted the interest expense recorded in Interest expense – net in the Condensed Consolidated Statements of Operations by $1.3 million during the three months ended March 31, 2025 (based on amounts outstanding from January 1, 2025 through February 4, 2025 under the 2024 First Lien Loan and amounts outstanding from February 5, 2025 through March 31, 2025 under the 2025 First Lien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reporting currency is the U.S. dollar, certain of our international subsidiaries’ functional currency is their local currency. Our international revenue, as well as costs and expenses denominated in foreign currencies, expose us to the risk of adverse fluctuations in foreign currency exchange rates against the U.S. dollar, which may adversely impact our financial results.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exposed to foreign currency exchange rate fluctuations as we translate our foreign subsidiaries’ financial statements into U.S. dollars during consolidation. Due to foreign currency exchange rate fluctuations resulting from the macroeconomic environment, we may experience negative impacts on the translation adjustments resulting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ind w:right="20"/>
        <w:spacing w:after="0" w:line="271" w:lineRule="auto"/>
        <w:rPr>
          <w:sz w:val="20"/>
          <w:szCs w:val="20"/>
          <w:color w:val="auto"/>
        </w:rPr>
      </w:pPr>
      <w:r>
        <w:rPr>
          <w:rFonts w:ascii="Arial" w:cs="Arial" w:eastAsia="Arial" w:hAnsi="Arial"/>
          <w:sz w:val="18"/>
          <w:szCs w:val="18"/>
          <w:color w:val="auto"/>
        </w:rPr>
        <w:t>from the conversion of our foreign subsidiaries’ financial statements into U.S. dollars, as well as the revaluation adjustments on U.S. dollar-denominated intercompany loans. While we have not entered into derivative or hedging transactions, we may do so in the future.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the unrealized foreign currency gain recorded in Other expense (income) – net in the Condensed Consolidated Statements of Operations was $2.0 million. As of March 31, 2025, a hypothetical 10% change in exchange rates applicable to our business would have impacted our foreign currency translation adjustment by $2.4 million.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designing and evaluating our disclosure controls and procedures (as defined in Rules 13a-15(e) or 15d-15(e) under the Exchange Act), management recognizes that any controls and procedures, no matter how well designed and operated, can provide only reasonable assurance of achieving the desired control objectives.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the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principal executive and principal financial officers, as appropriate, to allow timely decisions regarding required disclosures.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Management, with the participation of our principal executive and principal financial officers, has evaluated the effectiveness of our disclosure controls and procedures (as defined in Rules 13a-15(e) and 15d-15(e) under the Exchange Act) as of the end of the period covered by this Report. Based on such evaluation, our principal executive and principal financial officers concluded that our disclosure controls and procedures (as defined in Rules 13a-15(e) and 15d-15(e) under the Exchange Act) were not effective at the reasonable assurance level as of March 31, 2025 due to the material weakness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and Remediation Activities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audit of our consolidated financial statements as of December 31, 2024, 2023, and 2022, we identified and disclosed deficiencies in our internal control over financial reporting (as defined in Rules 13a-15(f) or 15d-15(f) under the Exchange Act)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which, in the aggregate, constitute a material weakness.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with the participation of our Board and its Audit Committee, began the implementation of remediation activities in 2022 and has since continued to develop and implement additional remediation activities. We believe significant progress has been made in our remediation efforts, which through March 31, 2025 included continuing to:</w:t>
      </w:r>
    </w:p>
    <w:p>
      <w:pPr>
        <w:spacing w:after="0" w:line="6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segregation of duties over business process and information technology control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clearly defined roles within our finance and accounting functions;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increase the number of personnel in our finance and accounting functions that have an appropriate level of technical accounting and SEC reporting experience;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design and implement additional internal controls.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While not yet remediated, management believes that the measures described above will remediate the material weakness and strengthen our overall internal control over financial reporting. The material weakness will not be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18"/>
          <w:szCs w:val="18"/>
          <w:color w:val="auto"/>
        </w:rPr>
        <w:t>considered remediated until the applicable remediated controls operate for a sufficient period of time and management has concluded, through testing, that these controls are operating effectively. We continue to devote significant time and attention to these efforts.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with respect to our continuing remediation activities discussed above, there were no changes in our internal control over financial reporting (as defined in Rules 13a-15(f) or 15d-15(f) under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left="4540"/>
        <w:spacing w:after="0"/>
        <w:rPr>
          <w:sz w:val="20"/>
          <w:szCs w:val="20"/>
          <w:color w:val="auto"/>
        </w:rPr>
      </w:pPr>
      <w:r>
        <w:rPr>
          <w:rFonts w:ascii="Arial" w:cs="Arial" w:eastAsia="Arial" w:hAnsi="Arial"/>
          <w:sz w:val="18"/>
          <w:szCs w:val="18"/>
          <w:b w:val="1"/>
          <w:bCs w:val="1"/>
          <w:color w:val="auto"/>
        </w:rPr>
        <w:t xml:space="preserve">Part II </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2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information set forth in this Report, you should carefully consider the risks and uncertainties discussed in the “Risk Factors” section of our 2024 Form 10-K. These risks and uncertainties could cause actual results to differ materially from historical results or the results contemplated by the forward-looking statements contained in this Report. During the three months ended March 31, 2025, there were no material changes to the risk factors discussed in our 2024 Form 10-K.</w:t>
      </w:r>
    </w:p>
    <w:p>
      <w:pPr>
        <w:spacing w:after="0" w:line="66" w:lineRule="exact"/>
        <w:rPr>
          <w:sz w:val="20"/>
          <w:szCs w:val="20"/>
          <w:color w:val="auto"/>
        </w:rPr>
      </w:pPr>
    </w:p>
    <w:p>
      <w:pPr>
        <w:ind w:right="2720" w:firstLine="2711"/>
        <w:spacing w:after="0" w:line="36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information related to repurchases of our Class A common stock during the three months ended March 31, 2025 (in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Approximate Dollar Value of</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Average Price</w:t>
            </w:r>
          </w:p>
        </w:tc>
        <w:tc>
          <w:tcPr>
            <w:tcW w:w="200" w:type="dxa"/>
            <w:vAlign w:val="bottom"/>
          </w:tcPr>
          <w:p>
            <w:pPr>
              <w:spacing w:after="0"/>
              <w:rPr>
                <w:sz w:val="17"/>
                <w:szCs w:val="17"/>
                <w:color w:val="auto"/>
              </w:rPr>
            </w:pPr>
          </w:p>
        </w:tc>
        <w:tc>
          <w:tcPr>
            <w:tcW w:w="2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 Part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Shares That May Yet Be</w:t>
            </w:r>
          </w:p>
        </w:tc>
      </w:tr>
      <w:tr>
        <w:trPr>
          <w:trHeight w:val="181"/>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rPr>
              <w:t>Total Number of</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Paid Per</w:t>
            </w:r>
          </w:p>
        </w:tc>
        <w:tc>
          <w:tcPr>
            <w:tcW w:w="2740" w:type="dxa"/>
            <w:vAlign w:val="bottom"/>
            <w:gridSpan w:val="2"/>
          </w:tcPr>
          <w:p>
            <w:pPr>
              <w:jc w:val="center"/>
              <w:ind w:left="70"/>
              <w:spacing w:after="0" w:line="182" w:lineRule="exact"/>
              <w:rPr>
                <w:sz w:val="20"/>
                <w:szCs w:val="20"/>
                <w:color w:val="auto"/>
              </w:rPr>
            </w:pPr>
            <w:r>
              <w:rPr>
                <w:rFonts w:ascii="Arial" w:cs="Arial" w:eastAsia="Arial" w:hAnsi="Arial"/>
                <w:sz w:val="18"/>
                <w:szCs w:val="18"/>
                <w:b w:val="1"/>
                <w:bCs w:val="1"/>
                <w:color w:val="auto"/>
              </w:rPr>
              <w:t>Publicly Announced Plans or</w:t>
            </w:r>
          </w:p>
        </w:tc>
        <w:tc>
          <w:tcPr>
            <w:tcW w:w="260" w:type="dxa"/>
            <w:vAlign w:val="bottom"/>
          </w:tcPr>
          <w:p>
            <w:pPr>
              <w:spacing w:after="0"/>
              <w:rPr>
                <w:sz w:val="15"/>
                <w:szCs w:val="15"/>
                <w:color w:val="auto"/>
              </w:rPr>
            </w:pPr>
          </w:p>
        </w:tc>
        <w:tc>
          <w:tcPr>
            <w:tcW w:w="2920" w:type="dxa"/>
            <w:vAlign w:val="bottom"/>
            <w:gridSpan w:val="3"/>
          </w:tcPr>
          <w:p>
            <w:pPr>
              <w:jc w:val="center"/>
              <w:ind w:right="180"/>
              <w:spacing w:after="0" w:line="182" w:lineRule="exact"/>
              <w:rPr>
                <w:sz w:val="20"/>
                <w:szCs w:val="20"/>
                <w:color w:val="auto"/>
              </w:rPr>
            </w:pPr>
            <w:r>
              <w:rPr>
                <w:rFonts w:ascii="Arial" w:cs="Arial" w:eastAsia="Arial" w:hAnsi="Arial"/>
                <w:sz w:val="18"/>
                <w:szCs w:val="18"/>
                <w:b w:val="1"/>
                <w:bCs w:val="1"/>
                <w:color w:val="auto"/>
              </w:rPr>
              <w:t>Purchased Under the Plans or</w:t>
            </w:r>
          </w:p>
        </w:tc>
      </w:tr>
      <w:tr>
        <w:trPr>
          <w:trHeight w:val="263"/>
        </w:trPr>
        <w:tc>
          <w:tcPr>
            <w:tcW w:w="21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Shares Purchased</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0"/>
              <w:spacing w:after="0" w:line="242"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4"/>
                <w:szCs w:val="24"/>
                <w:b w:val="1"/>
                <w:bCs w:val="1"/>
                <w:color w:val="auto"/>
                <w:vertAlign w:val="superscript"/>
              </w:rPr>
              <w:t>(1)</w:t>
            </w:r>
          </w:p>
        </w:tc>
        <w:tc>
          <w:tcPr>
            <w:tcW w:w="200" w:type="dxa"/>
            <w:vAlign w:val="bottom"/>
          </w:tcPr>
          <w:p>
            <w:pPr>
              <w:spacing w:after="0"/>
              <w:rPr>
                <w:sz w:val="22"/>
                <w:szCs w:val="2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center"/>
              <w:ind w:right="70"/>
              <w:spacing w:after="0" w:line="242" w:lineRule="exact"/>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4"/>
                <w:szCs w:val="24"/>
                <w:b w:val="1"/>
                <w:bCs w:val="1"/>
                <w:color w:val="auto"/>
                <w:w w:val="94"/>
                <w:vertAlign w:val="superscript"/>
              </w:rPr>
              <w:t>(2)</w:t>
            </w:r>
          </w:p>
        </w:tc>
        <w:tc>
          <w:tcPr>
            <w:tcW w:w="100" w:type="dxa"/>
            <w:vAlign w:val="bottom"/>
          </w:tcPr>
          <w:p>
            <w:pPr>
              <w:spacing w:after="0"/>
              <w:rPr>
                <w:sz w:val="22"/>
                <w:szCs w:val="22"/>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January 1-31, 2025</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77,221</w:t>
            </w:r>
          </w:p>
        </w:tc>
        <w:tc>
          <w:tcPr>
            <w:tcW w:w="100" w:type="dxa"/>
            <w:vAlign w:val="bottom"/>
            <w:shd w:val="clear" w:color="auto" w:fill="CFF0FC"/>
          </w:tcPr>
          <w:p>
            <w:pPr>
              <w:spacing w:after="0"/>
              <w:rPr>
                <w:sz w:val="17"/>
                <w:szCs w:val="17"/>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February 1-28, 2025</w:t>
            </w:r>
          </w:p>
        </w:tc>
        <w:tc>
          <w:tcPr>
            <w:tcW w:w="1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77,221</w:t>
            </w:r>
          </w:p>
        </w:tc>
        <w:tc>
          <w:tcPr>
            <w:tcW w:w="100" w:type="dxa"/>
            <w:vAlign w:val="bottom"/>
          </w:tcPr>
          <w:p>
            <w:pPr>
              <w:spacing w:after="0"/>
              <w:rPr>
                <w:sz w:val="17"/>
                <w:szCs w:val="17"/>
                <w:color w:val="auto"/>
              </w:rPr>
            </w:pPr>
          </w:p>
        </w:tc>
      </w:tr>
      <w:tr>
        <w:trPr>
          <w:trHeight w:val="203"/>
        </w:trPr>
        <w:tc>
          <w:tcPr>
            <w:tcW w:w="2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March 1-31, 2025</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2,378,514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2.89</w:t>
            </w:r>
          </w:p>
        </w:tc>
        <w:tc>
          <w:tcPr>
            <w:tcW w:w="200" w:type="dxa"/>
            <w:vAlign w:val="bottom"/>
            <w:tcBorders>
              <w:bottom w:val="single" w:sz="8" w:color="CFF0FC"/>
            </w:tcBorders>
            <w:shd w:val="clear" w:color="auto" w:fill="CFF0FC"/>
          </w:tcPr>
          <w:p>
            <w:pPr>
              <w:spacing w:after="0"/>
              <w:rPr>
                <w:sz w:val="17"/>
                <w:szCs w:val="17"/>
                <w:color w:val="auto"/>
              </w:rPr>
            </w:pPr>
          </w:p>
        </w:tc>
        <w:tc>
          <w:tcPr>
            <w:tcW w:w="2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2,378,514</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100" w:type="dxa"/>
            <w:vAlign w:val="bottom"/>
          </w:tcPr>
          <w:p>
            <w:pPr>
              <w:spacing w:after="0" w:line="182" w:lineRule="exact"/>
              <w:rPr>
                <w:sz w:val="20"/>
                <w:szCs w:val="20"/>
                <w:color w:val="auto"/>
              </w:rPr>
            </w:pPr>
            <w:r>
              <w:rPr>
                <w:rFonts w:ascii="Arial" w:cs="Arial" w:eastAsia="Arial" w:hAnsi="Arial"/>
                <w:sz w:val="18"/>
                <w:szCs w:val="18"/>
                <w:b w:val="1"/>
                <w:bCs w:val="1"/>
                <w:color w:val="auto"/>
              </w:rPr>
              <w:t>Total</w:t>
            </w: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2,378,514</w:t>
            </w:r>
          </w:p>
        </w:tc>
        <w:tc>
          <w:tcPr>
            <w:tcW w:w="420" w:type="dxa"/>
            <w:vAlign w:val="bottom"/>
            <w:gridSpan w:val="2"/>
          </w:tcPr>
          <w:p>
            <w:pPr>
              <w:ind w:left="260"/>
              <w:spacing w:after="0" w:line="18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2.89</w:t>
            </w:r>
          </w:p>
        </w:tc>
        <w:tc>
          <w:tcPr>
            <w:tcW w:w="274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2,378,514</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7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70,352</w:t>
            </w:r>
          </w:p>
        </w:tc>
        <w:tc>
          <w:tcPr>
            <w:tcW w:w="10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-161925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-161925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-161925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commissions, excise taxes, and other costs of execution.</w:t>
      </w:r>
    </w:p>
    <w:p>
      <w:pPr>
        <w:spacing w:after="0" w:line="103" w:lineRule="exact"/>
        <w:rPr>
          <w:rFonts w:ascii="Arial" w:cs="Arial" w:eastAsia="Arial" w:hAnsi="Arial"/>
          <w:sz w:val="18"/>
          <w:szCs w:val="18"/>
          <w:color w:val="auto"/>
        </w:rPr>
      </w:pPr>
    </w:p>
    <w:p>
      <w:pPr>
        <w:jc w:val="both"/>
        <w:ind w:left="460" w:hanging="452"/>
        <w:spacing w:after="0" w:line="247" w:lineRule="auto"/>
        <w:tabs>
          <w:tab w:leader="none" w:pos="4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29, 2024, our Board authorized the Share Repurchase Program for up to $100.0 million of our Class A common stock. The Share Repurchase Program was publicly announced on March 5, 2024, does not have a fixed expiration date, and does not obligate us to purchase any minimum number of shares. Under the Share Repurchase Program, we may repurchase shares in privately negotiated or open market transactions, including under plans complying with Rule 10b5-1 under the Exchange Act.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7"/>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140" w:type="dxa"/>
            <w:vAlign w:val="bottom"/>
            <w:gridSpan w:val="26"/>
          </w:tcPr>
          <w:p>
            <w:pPr>
              <w:jc w:val="center"/>
              <w:ind w:right="220"/>
              <w:spacing w:after="0"/>
              <w:rPr>
                <w:sz w:val="20"/>
                <w:szCs w:val="20"/>
                <w:color w:val="auto"/>
              </w:rPr>
            </w:pPr>
            <w:r>
              <w:rPr>
                <w:rFonts w:ascii="Arial" w:cs="Arial" w:eastAsia="Arial" w:hAnsi="Arial"/>
                <w:sz w:val="18"/>
                <w:szCs w:val="18"/>
                <w:b w:val="1"/>
                <w:bCs w:val="1"/>
                <w:color w:val="auto"/>
                <w:w w:val="99"/>
              </w:rPr>
              <w:t>Item 6. Exhibits</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w w:val="96"/>
              </w:rPr>
              <w:t>Incorporated by Reference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Filed /</w:t>
            </w:r>
          </w:p>
        </w:tc>
        <w:tc>
          <w:tcPr>
            <w:tcW w:w="0" w:type="dxa"/>
            <w:vAlign w:val="bottom"/>
          </w:tcPr>
          <w:p>
            <w:pPr>
              <w:spacing w:after="0"/>
              <w:rPr>
                <w:sz w:val="1"/>
                <w:szCs w:val="1"/>
                <w:color w:val="auto"/>
              </w:rPr>
            </w:pPr>
          </w:p>
        </w:tc>
      </w:tr>
      <w:tr>
        <w:trPr>
          <w:trHeight w:val="113"/>
        </w:trPr>
        <w:tc>
          <w:tcPr>
            <w:tcW w:w="120" w:type="dxa"/>
            <w:vAlign w:val="bottom"/>
            <w:vMerge w:val="restart"/>
          </w:tcPr>
          <w:p>
            <w:pPr>
              <w:spacing w:after="0"/>
              <w:rPr>
                <w:sz w:val="9"/>
                <w:szCs w:val="9"/>
                <w:color w:val="auto"/>
              </w:rPr>
            </w:pPr>
          </w:p>
        </w:tc>
        <w:tc>
          <w:tcPr>
            <w:tcW w:w="104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Exhibit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20" w:type="dxa"/>
            <w:vAlign w:val="bottom"/>
            <w:gridSpan w:val="2"/>
            <w:vMerge w:val="restart"/>
          </w:tcPr>
          <w:p>
            <w:pPr>
              <w:jc w:val="center"/>
              <w:ind w:right="200"/>
              <w:spacing w:after="0" w:line="202" w:lineRule="exact"/>
              <w:rPr>
                <w:sz w:val="20"/>
                <w:szCs w:val="20"/>
                <w:color w:val="auto"/>
              </w:rPr>
            </w:pPr>
            <w:r>
              <w:rPr>
                <w:rFonts w:ascii="Arial" w:cs="Arial" w:eastAsia="Arial" w:hAnsi="Arial"/>
                <w:sz w:val="18"/>
                <w:szCs w:val="18"/>
                <w:b w:val="1"/>
                <w:bCs w:val="1"/>
                <w:color w:val="auto"/>
                <w:w w:val="98"/>
              </w:rPr>
              <w:t>Furnished</w:t>
            </w:r>
          </w:p>
        </w:tc>
        <w:tc>
          <w:tcPr>
            <w:tcW w:w="0" w:type="dxa"/>
            <w:vAlign w:val="bottom"/>
          </w:tcPr>
          <w:p>
            <w:pPr>
              <w:spacing w:after="0"/>
              <w:rPr>
                <w:sz w:val="1"/>
                <w:szCs w:val="1"/>
                <w:color w:val="auto"/>
              </w:rPr>
            </w:pPr>
          </w:p>
        </w:tc>
      </w:tr>
      <w:tr>
        <w:trPr>
          <w:trHeight w:val="69"/>
        </w:trPr>
        <w:tc>
          <w:tcPr>
            <w:tcW w:w="1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26"/>
          </w:tcPr>
          <w:p>
            <w:pPr>
              <w:ind w:left="18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73"/>
              </w:rPr>
              <w:t>Form</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Exhibit</w:t>
            </w: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Filing Date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2.1</w:t>
            </w:r>
          </w:p>
        </w:tc>
        <w:tc>
          <w:tcPr>
            <w:tcW w:w="6640" w:type="dxa"/>
            <w:vAlign w:val="bottom"/>
            <w:gridSpan w:val="30"/>
          </w:tcPr>
          <w:p>
            <w:pPr>
              <w:spacing w:after="0"/>
              <w:rPr>
                <w:rFonts w:ascii="Arial" w:cs="Arial" w:eastAsia="Arial" w:hAnsi="Arial"/>
                <w:sz w:val="18"/>
                <w:szCs w:val="18"/>
                <w:color w:val="0000FF"/>
              </w:rPr>
            </w:pPr>
            <w:hyperlink r:id="rId309">
              <w:r>
                <w:rPr>
                  <w:rFonts w:ascii="Arial" w:cs="Arial" w:eastAsia="Arial" w:hAnsi="Arial"/>
                  <w:sz w:val="18"/>
                  <w:szCs w:val="18"/>
                  <w:color w:val="0000FF"/>
                </w:rPr>
                <w:t>Transaction Agreement, dated April 21, 2021, among Horizon Acquisition</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S-4</w:t>
            </w:r>
          </w:p>
        </w:tc>
        <w:tc>
          <w:tcPr>
            <w:tcW w:w="760" w:type="dxa"/>
            <w:vAlign w:val="bottom"/>
          </w:tcPr>
          <w:p>
            <w:pPr>
              <w:jc w:val="center"/>
              <w:spacing w:after="0"/>
              <w:rPr>
                <w:sz w:val="20"/>
                <w:szCs w:val="20"/>
                <w:color w:val="auto"/>
              </w:rPr>
            </w:pPr>
            <w:r>
              <w:rPr>
                <w:rFonts w:ascii="Arial" w:cs="Arial" w:eastAsia="Arial" w:hAnsi="Arial"/>
                <w:sz w:val="18"/>
                <w:szCs w:val="18"/>
                <w:color w:val="auto"/>
              </w:rPr>
              <w:t>2.1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60" w:type="dxa"/>
            <w:vAlign w:val="bottom"/>
            <w:gridSpan w:val="21"/>
          </w:tcPr>
          <w:p>
            <w:pPr>
              <w:spacing w:after="0" w:line="182" w:lineRule="exact"/>
              <w:rPr>
                <w:rFonts w:ascii="Arial" w:cs="Arial" w:eastAsia="Arial" w:hAnsi="Arial"/>
                <w:sz w:val="18"/>
                <w:szCs w:val="18"/>
                <w:color w:val="0000FF"/>
              </w:rPr>
            </w:pPr>
            <w:hyperlink r:id="rId309">
              <w:r>
                <w:rPr>
                  <w:rFonts w:ascii="Arial" w:cs="Arial" w:eastAsia="Arial" w:hAnsi="Arial"/>
                  <w:sz w:val="18"/>
                  <w:szCs w:val="18"/>
                  <w:color w:val="0000FF"/>
                </w:rPr>
                <w:t>Corporation, Horizon Sponsor, LLC, Hoya Topco, LLC, Hoya Intermediate, LLC</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520" w:type="dxa"/>
            <w:vAlign w:val="bottom"/>
            <w:gridSpan w:val="24"/>
          </w:tcPr>
          <w:p>
            <w:pPr>
              <w:spacing w:after="0" w:line="182" w:lineRule="exact"/>
              <w:rPr>
                <w:rFonts w:ascii="Arial" w:cs="Arial" w:eastAsia="Arial" w:hAnsi="Arial"/>
                <w:sz w:val="18"/>
                <w:szCs w:val="18"/>
                <w:color w:val="0000FF"/>
              </w:rPr>
            </w:pPr>
            <w:hyperlink r:id="rId309">
              <w:r>
                <w:rPr>
                  <w:rFonts w:ascii="Arial" w:cs="Arial" w:eastAsia="Arial" w:hAnsi="Arial"/>
                  <w:sz w:val="18"/>
                  <w:szCs w:val="18"/>
                  <w:color w:val="0000FF"/>
                </w:rPr>
                <w:t>and Vivid Seats Inc.</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2.2</w:t>
            </w:r>
          </w:p>
        </w:tc>
        <w:tc>
          <w:tcPr>
            <w:tcW w:w="6640" w:type="dxa"/>
            <w:vAlign w:val="bottom"/>
            <w:gridSpan w:val="30"/>
          </w:tcPr>
          <w:p>
            <w:pPr>
              <w:spacing w:after="0"/>
              <w:rPr>
                <w:rFonts w:ascii="Arial" w:cs="Arial" w:eastAsia="Arial" w:hAnsi="Arial"/>
                <w:sz w:val="18"/>
                <w:szCs w:val="18"/>
                <w:color w:val="0000FF"/>
              </w:rPr>
            </w:pPr>
            <w:hyperlink r:id="rId310">
              <w:r>
                <w:rPr>
                  <w:rFonts w:ascii="Arial" w:cs="Arial" w:eastAsia="Arial" w:hAnsi="Arial"/>
                  <w:sz w:val="18"/>
                  <w:szCs w:val="18"/>
                  <w:color w:val="0000FF"/>
                </w:rPr>
                <w:t>Purchase, Sale and Redemption Agreement, dated April 21, 2021, among</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S-4</w:t>
            </w:r>
          </w:p>
        </w:tc>
        <w:tc>
          <w:tcPr>
            <w:tcW w:w="760" w:type="dxa"/>
            <w:vAlign w:val="bottom"/>
          </w:tcPr>
          <w:p>
            <w:pPr>
              <w:jc w:val="center"/>
              <w:spacing w:after="0"/>
              <w:rPr>
                <w:sz w:val="20"/>
                <w:szCs w:val="20"/>
                <w:color w:val="auto"/>
              </w:rPr>
            </w:pPr>
            <w:r>
              <w:rPr>
                <w:rFonts w:ascii="Arial" w:cs="Arial" w:eastAsia="Arial" w:hAnsi="Arial"/>
                <w:sz w:val="18"/>
                <w:szCs w:val="18"/>
                <w:color w:val="auto"/>
              </w:rPr>
              <w:t>2.2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20" w:type="dxa"/>
            <w:vAlign w:val="bottom"/>
            <w:gridSpan w:val="29"/>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Hoya  Topco,  LLC,  Hoya  Intermediate,  LLC,  Vivid  Seats  Inc.,  Crescent</w:t>
              </w:r>
            </w:hyperlink>
          </w:p>
        </w:tc>
        <w:tc>
          <w:tcPr>
            <w:tcW w:w="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380" w:type="dxa"/>
            <w:vAlign w:val="bottom"/>
            <w:gridSpan w:val="17"/>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Mezzanine  Partners  VIB,  L.P.,  Crescent  Mezzanine  Partners  VIC,  L.P.,</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560" w:type="dxa"/>
            <w:vAlign w:val="bottom"/>
            <w:gridSpan w:val="26"/>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NPS/Crescent Strategic Partnership II, LP, CM7C VS Equity Holdings, LP,</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320" w:type="dxa"/>
            <w:vAlign w:val="bottom"/>
            <w:gridSpan w:val="14"/>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Crescent Mezzanine Partners VIIB, L.P., CM6B Vivid Equity, Inc., CM6C Vivid</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40" w:type="dxa"/>
            <w:vAlign w:val="bottom"/>
            <w:gridSpan w:val="20"/>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Equity,  Inc.,  CM7C  VS  Equity,  LLC,  CM7B  VS  Equity,  LLC,  Crescent</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500" w:type="dxa"/>
            <w:vAlign w:val="bottom"/>
            <w:gridSpan w:val="23"/>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Mezzanine Partners VI, L.P., Crescent Mezzanine Partners VII, L.P., Crescent</w:t>
              </w:r>
            </w:hyperlink>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300" w:type="dxa"/>
            <w:vAlign w:val="bottom"/>
            <w:gridSpan w:val="13"/>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Mezzanine Partners VII (LTL), L.P., CBDC Universal Equity, Inc., Crescent</w:t>
              </w:r>
            </w:hyperlink>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20" w:type="dxa"/>
            <w:vAlign w:val="bottom"/>
            <w:gridSpan w:val="19"/>
          </w:tcPr>
          <w:p>
            <w:pPr>
              <w:spacing w:after="0" w:line="182" w:lineRule="exact"/>
              <w:rPr>
                <w:rFonts w:ascii="Arial" w:cs="Arial" w:eastAsia="Arial" w:hAnsi="Arial"/>
                <w:sz w:val="18"/>
                <w:szCs w:val="18"/>
                <w:color w:val="0000FF"/>
              </w:rPr>
            </w:pPr>
            <w:hyperlink r:id="rId310">
              <w:r>
                <w:rPr>
                  <w:rFonts w:ascii="Arial" w:cs="Arial" w:eastAsia="Arial" w:hAnsi="Arial"/>
                  <w:sz w:val="18"/>
                  <w:szCs w:val="18"/>
                  <w:color w:val="0000FF"/>
                </w:rPr>
                <w:t>Capital Group, LP and Horizon Acquisition Corporation</w:t>
              </w:r>
            </w:hyperlink>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2.3</w:t>
            </w:r>
          </w:p>
        </w:tc>
        <w:tc>
          <w:tcPr>
            <w:tcW w:w="6640" w:type="dxa"/>
            <w:vAlign w:val="bottom"/>
            <w:gridSpan w:val="30"/>
          </w:tcPr>
          <w:p>
            <w:pPr>
              <w:spacing w:after="0"/>
              <w:rPr>
                <w:rFonts w:ascii="Arial" w:cs="Arial" w:eastAsia="Arial" w:hAnsi="Arial"/>
                <w:sz w:val="18"/>
                <w:szCs w:val="18"/>
                <w:color w:val="0000FF"/>
              </w:rPr>
            </w:pPr>
            <w:hyperlink r:id="rId311">
              <w:r>
                <w:rPr>
                  <w:rFonts w:ascii="Arial" w:cs="Arial" w:eastAsia="Arial" w:hAnsi="Arial"/>
                  <w:sz w:val="18"/>
                  <w:szCs w:val="18"/>
                  <w:color w:val="0000FF"/>
                </w:rPr>
                <w:t>Plan  of  Merger,  dated  October  18,  2021,  among  Horizon  Acquisition</w:t>
              </w:r>
            </w:hyperlink>
          </w:p>
        </w:tc>
        <w:tc>
          <w:tcPr>
            <w:tcW w:w="320" w:type="dxa"/>
            <w:vAlign w:val="bottom"/>
          </w:tcPr>
          <w:p>
            <w:pPr>
              <w:jc w:val="center"/>
              <w:ind w:right="31"/>
              <w:spacing w:after="0"/>
              <w:rPr>
                <w:sz w:val="20"/>
                <w:szCs w:val="20"/>
                <w:color w:val="auto"/>
              </w:rPr>
            </w:pPr>
            <w:r>
              <w:rPr>
                <w:rFonts w:ascii="Arial" w:cs="Arial" w:eastAsia="Arial" w:hAnsi="Arial"/>
                <w:sz w:val="13"/>
                <w:szCs w:val="13"/>
                <w:color w:val="auto"/>
                <w:w w:val="75"/>
              </w:rPr>
              <w:t>10-Q</w:t>
            </w:r>
          </w:p>
        </w:tc>
        <w:tc>
          <w:tcPr>
            <w:tcW w:w="760" w:type="dxa"/>
            <w:vAlign w:val="bottom"/>
          </w:tcPr>
          <w:p>
            <w:pPr>
              <w:jc w:val="center"/>
              <w:spacing w:after="0"/>
              <w:rPr>
                <w:sz w:val="20"/>
                <w:szCs w:val="20"/>
                <w:color w:val="auto"/>
              </w:rPr>
            </w:pPr>
            <w:r>
              <w:rPr>
                <w:rFonts w:ascii="Arial" w:cs="Arial" w:eastAsia="Arial" w:hAnsi="Arial"/>
                <w:sz w:val="18"/>
                <w:szCs w:val="18"/>
                <w:color w:val="auto"/>
              </w:rPr>
              <w:t>2.3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11/15/2021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340" w:type="dxa"/>
            <w:vAlign w:val="bottom"/>
            <w:gridSpan w:val="15"/>
          </w:tcPr>
          <w:p>
            <w:pPr>
              <w:spacing w:after="0" w:line="182" w:lineRule="exact"/>
              <w:rPr>
                <w:rFonts w:ascii="Arial" w:cs="Arial" w:eastAsia="Arial" w:hAnsi="Arial"/>
                <w:sz w:val="18"/>
                <w:szCs w:val="18"/>
                <w:color w:val="0000FF"/>
              </w:rPr>
            </w:pPr>
            <w:hyperlink r:id="rId311">
              <w:r>
                <w:rPr>
                  <w:rFonts w:ascii="Arial" w:cs="Arial" w:eastAsia="Arial" w:hAnsi="Arial"/>
                  <w:sz w:val="18"/>
                  <w:szCs w:val="18"/>
                  <w:color w:val="0000FF"/>
                </w:rPr>
                <w:t>Corporation, Horizon Sponsor, LLC, Hoya Topco, LLC, Hoya Intermediate, LLC</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520" w:type="dxa"/>
            <w:vAlign w:val="bottom"/>
            <w:gridSpan w:val="24"/>
          </w:tcPr>
          <w:p>
            <w:pPr>
              <w:spacing w:after="0" w:line="182" w:lineRule="exact"/>
              <w:rPr>
                <w:rFonts w:ascii="Arial" w:cs="Arial" w:eastAsia="Arial" w:hAnsi="Arial"/>
                <w:sz w:val="18"/>
                <w:szCs w:val="18"/>
                <w:color w:val="0000FF"/>
              </w:rPr>
            </w:pPr>
            <w:hyperlink r:id="rId311">
              <w:r>
                <w:rPr>
                  <w:rFonts w:ascii="Arial" w:cs="Arial" w:eastAsia="Arial" w:hAnsi="Arial"/>
                  <w:sz w:val="18"/>
                  <w:szCs w:val="18"/>
                  <w:color w:val="0000FF"/>
                </w:rPr>
                <w:t>and Vivid Seats Inc.</w:t>
              </w:r>
            </w:hyperlink>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2.4</w:t>
            </w:r>
          </w:p>
        </w:tc>
        <w:tc>
          <w:tcPr>
            <w:tcW w:w="6640" w:type="dxa"/>
            <w:vAlign w:val="bottom"/>
            <w:gridSpan w:val="30"/>
          </w:tcPr>
          <w:p>
            <w:pPr>
              <w:spacing w:after="0"/>
              <w:rPr>
                <w:rFonts w:ascii="Arial" w:cs="Arial" w:eastAsia="Arial" w:hAnsi="Arial"/>
                <w:sz w:val="18"/>
                <w:szCs w:val="18"/>
                <w:color w:val="0000FF"/>
              </w:rPr>
            </w:pPr>
            <w:hyperlink r:id="rId312">
              <w:r>
                <w:rPr>
                  <w:rFonts w:ascii="Arial" w:cs="Arial" w:eastAsia="Arial" w:hAnsi="Arial"/>
                  <w:sz w:val="18"/>
                  <w:szCs w:val="18"/>
                  <w:color w:val="0000FF"/>
                </w:rPr>
                <w:t>Agreement and Plan of Merger, dated November 3, 2023, among Vivid Seats</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8-K</w:t>
            </w:r>
          </w:p>
        </w:tc>
        <w:tc>
          <w:tcPr>
            <w:tcW w:w="760" w:type="dxa"/>
            <w:vAlign w:val="bottom"/>
          </w:tcPr>
          <w:p>
            <w:pPr>
              <w:jc w:val="center"/>
              <w:spacing w:after="0"/>
              <w:rPr>
                <w:sz w:val="20"/>
                <w:szCs w:val="20"/>
                <w:color w:val="auto"/>
              </w:rPr>
            </w:pPr>
            <w:r>
              <w:rPr>
                <w:rFonts w:ascii="Arial" w:cs="Arial" w:eastAsia="Arial" w:hAnsi="Arial"/>
                <w:sz w:val="18"/>
                <w:szCs w:val="18"/>
                <w:color w:val="auto"/>
              </w:rPr>
              <w:t>2.1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11/7/2023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0" w:type="dxa"/>
            <w:vAlign w:val="bottom"/>
            <w:gridSpan w:val="18"/>
          </w:tcPr>
          <w:p>
            <w:pPr>
              <w:spacing w:after="0" w:line="182" w:lineRule="exact"/>
              <w:rPr>
                <w:rFonts w:ascii="Arial" w:cs="Arial" w:eastAsia="Arial" w:hAnsi="Arial"/>
                <w:sz w:val="18"/>
                <w:szCs w:val="18"/>
                <w:color w:val="0000FF"/>
              </w:rPr>
            </w:pPr>
            <w:hyperlink r:id="rId312">
              <w:r>
                <w:rPr>
                  <w:rFonts w:ascii="Arial" w:cs="Arial" w:eastAsia="Arial" w:hAnsi="Arial"/>
                  <w:sz w:val="18"/>
                  <w:szCs w:val="18"/>
                  <w:color w:val="0000FF"/>
                </w:rPr>
                <w:t>Inc., Viva Merger Sub I, LLC, Viva Merger Sub II, LLC, VDC Holdco, LLC, the</w:t>
              </w:r>
            </w:hyperlink>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580" w:type="dxa"/>
            <w:vAlign w:val="bottom"/>
            <w:gridSpan w:val="27"/>
          </w:tcPr>
          <w:p>
            <w:pPr>
              <w:spacing w:after="0" w:line="182" w:lineRule="exact"/>
              <w:rPr>
                <w:rFonts w:ascii="Arial" w:cs="Arial" w:eastAsia="Arial" w:hAnsi="Arial"/>
                <w:sz w:val="18"/>
                <w:szCs w:val="18"/>
                <w:color w:val="0000FF"/>
              </w:rPr>
            </w:pPr>
            <w:hyperlink r:id="rId312">
              <w:r>
                <w:rPr>
                  <w:rFonts w:ascii="Arial" w:cs="Arial" w:eastAsia="Arial" w:hAnsi="Arial"/>
                  <w:sz w:val="18"/>
                  <w:szCs w:val="18"/>
                  <w:color w:val="0000FF"/>
                </w:rPr>
                <w:t>Unitholders named therein, and the Unitholders’ Representative named therein</w:t>
              </w:r>
            </w:hyperlink>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6640" w:type="dxa"/>
            <w:vAlign w:val="bottom"/>
            <w:gridSpan w:val="30"/>
          </w:tcPr>
          <w:p>
            <w:pPr>
              <w:spacing w:after="0"/>
              <w:rPr>
                <w:rFonts w:ascii="Arial" w:cs="Arial" w:eastAsia="Arial" w:hAnsi="Arial"/>
                <w:sz w:val="18"/>
                <w:szCs w:val="18"/>
                <w:color w:val="0000FF"/>
              </w:rPr>
            </w:pPr>
            <w:hyperlink r:id="rId313">
              <w:r>
                <w:rPr>
                  <w:rFonts w:ascii="Arial" w:cs="Arial" w:eastAsia="Arial" w:hAnsi="Arial"/>
                  <w:sz w:val="18"/>
                  <w:szCs w:val="18"/>
                  <w:color w:val="0000FF"/>
                </w:rPr>
                <w:t>Amended and Restated Certificate of Incorporation</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8-K</w:t>
            </w:r>
          </w:p>
        </w:tc>
        <w:tc>
          <w:tcPr>
            <w:tcW w:w="760" w:type="dxa"/>
            <w:vAlign w:val="bottom"/>
          </w:tcPr>
          <w:p>
            <w:pPr>
              <w:jc w:val="center"/>
              <w:spacing w:after="0"/>
              <w:rPr>
                <w:sz w:val="20"/>
                <w:szCs w:val="20"/>
                <w:color w:val="auto"/>
              </w:rPr>
            </w:pPr>
            <w:r>
              <w:rPr>
                <w:rFonts w:ascii="Arial" w:cs="Arial" w:eastAsia="Arial" w:hAnsi="Arial"/>
                <w:sz w:val="18"/>
                <w:szCs w:val="18"/>
                <w:color w:val="auto"/>
              </w:rPr>
              <w:t>3.1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6640" w:type="dxa"/>
            <w:vAlign w:val="bottom"/>
            <w:gridSpan w:val="30"/>
          </w:tcPr>
          <w:p>
            <w:pPr>
              <w:spacing w:after="0"/>
              <w:rPr>
                <w:rFonts w:ascii="Arial" w:cs="Arial" w:eastAsia="Arial" w:hAnsi="Arial"/>
                <w:sz w:val="18"/>
                <w:szCs w:val="18"/>
                <w:color w:val="0000FF"/>
              </w:rPr>
            </w:pPr>
            <w:hyperlink r:id="rId314">
              <w:r>
                <w:rPr>
                  <w:rFonts w:ascii="Arial" w:cs="Arial" w:eastAsia="Arial" w:hAnsi="Arial"/>
                  <w:sz w:val="18"/>
                  <w:szCs w:val="18"/>
                  <w:color w:val="0000FF"/>
                </w:rPr>
                <w:t>First Amendment to Amended and Restated Bylaws</w:t>
              </w:r>
            </w:hyperlink>
          </w:p>
        </w:tc>
        <w:tc>
          <w:tcPr>
            <w:tcW w:w="320" w:type="dxa"/>
            <w:vAlign w:val="bottom"/>
          </w:tcPr>
          <w:p>
            <w:pPr>
              <w:jc w:val="center"/>
              <w:ind w:right="31"/>
              <w:spacing w:after="0"/>
              <w:rPr>
                <w:sz w:val="20"/>
                <w:szCs w:val="20"/>
                <w:color w:val="auto"/>
              </w:rPr>
            </w:pPr>
            <w:r>
              <w:rPr>
                <w:rFonts w:ascii="Arial" w:cs="Arial" w:eastAsia="Arial" w:hAnsi="Arial"/>
                <w:sz w:val="13"/>
                <w:szCs w:val="13"/>
                <w:color w:val="auto"/>
                <w:w w:val="75"/>
              </w:rPr>
              <w:t>10-Q</w:t>
            </w:r>
          </w:p>
        </w:tc>
        <w:tc>
          <w:tcPr>
            <w:tcW w:w="760" w:type="dxa"/>
            <w:vAlign w:val="bottom"/>
          </w:tcPr>
          <w:p>
            <w:pPr>
              <w:jc w:val="center"/>
              <w:spacing w:after="0"/>
              <w:rPr>
                <w:sz w:val="20"/>
                <w:szCs w:val="20"/>
                <w:color w:val="auto"/>
              </w:rPr>
            </w:pPr>
            <w:r>
              <w:rPr>
                <w:rFonts w:ascii="Arial" w:cs="Arial" w:eastAsia="Arial" w:hAnsi="Arial"/>
                <w:sz w:val="18"/>
                <w:szCs w:val="18"/>
                <w:color w:val="auto"/>
              </w:rPr>
              <w:t>3.2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5/10/2022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6640" w:type="dxa"/>
            <w:vAlign w:val="bottom"/>
            <w:gridSpan w:val="30"/>
          </w:tcPr>
          <w:p>
            <w:pPr>
              <w:spacing w:after="0"/>
              <w:rPr>
                <w:rFonts w:ascii="Arial" w:cs="Arial" w:eastAsia="Arial" w:hAnsi="Arial"/>
                <w:sz w:val="18"/>
                <w:szCs w:val="18"/>
                <w:color w:val="0000FF"/>
              </w:rPr>
            </w:pPr>
            <w:hyperlink r:id="rId315">
              <w:r>
                <w:rPr>
                  <w:rFonts w:ascii="Arial" w:cs="Arial" w:eastAsia="Arial" w:hAnsi="Arial"/>
                  <w:sz w:val="18"/>
                  <w:szCs w:val="18"/>
                  <w:color w:val="0000FF"/>
                </w:rPr>
                <w:t>Amended and Restated Bylaws</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8-K</w:t>
            </w:r>
          </w:p>
        </w:tc>
        <w:tc>
          <w:tcPr>
            <w:tcW w:w="760" w:type="dxa"/>
            <w:vAlign w:val="bottom"/>
          </w:tcPr>
          <w:p>
            <w:pPr>
              <w:jc w:val="center"/>
              <w:spacing w:after="0"/>
              <w:rPr>
                <w:sz w:val="20"/>
                <w:szCs w:val="20"/>
                <w:color w:val="auto"/>
              </w:rPr>
            </w:pPr>
            <w:r>
              <w:rPr>
                <w:rFonts w:ascii="Arial" w:cs="Arial" w:eastAsia="Arial" w:hAnsi="Arial"/>
                <w:sz w:val="18"/>
                <w:szCs w:val="18"/>
                <w:color w:val="auto"/>
              </w:rPr>
              <w:t>3.2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6640" w:type="dxa"/>
            <w:vAlign w:val="bottom"/>
            <w:gridSpan w:val="30"/>
          </w:tcPr>
          <w:p>
            <w:pPr>
              <w:spacing w:after="0"/>
              <w:rPr>
                <w:rFonts w:ascii="Arial" w:cs="Arial" w:eastAsia="Arial" w:hAnsi="Arial"/>
                <w:sz w:val="18"/>
                <w:szCs w:val="18"/>
                <w:color w:val="0000FF"/>
              </w:rPr>
            </w:pPr>
            <w:hyperlink r:id="rId316">
              <w:r>
                <w:rPr>
                  <w:rFonts w:ascii="Arial" w:cs="Arial" w:eastAsia="Arial" w:hAnsi="Arial"/>
                  <w:sz w:val="18"/>
                  <w:szCs w:val="18"/>
                  <w:color w:val="0000FF"/>
                </w:rPr>
                <w:t>Amended and Restated Warrant Agreement, dated October 14, 2021, between</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80" w:type="dxa"/>
            <w:vAlign w:val="bottom"/>
            <w:gridSpan w:val="22"/>
          </w:tcPr>
          <w:p>
            <w:pPr>
              <w:spacing w:after="0" w:line="182" w:lineRule="exact"/>
              <w:rPr>
                <w:rFonts w:ascii="Arial" w:cs="Arial" w:eastAsia="Arial" w:hAnsi="Arial"/>
                <w:sz w:val="18"/>
                <w:szCs w:val="18"/>
                <w:color w:val="0000FF"/>
              </w:rPr>
            </w:pPr>
            <w:hyperlink r:id="rId316">
              <w:r>
                <w:rPr>
                  <w:rFonts w:ascii="Arial" w:cs="Arial" w:eastAsia="Arial" w:hAnsi="Arial"/>
                  <w:sz w:val="18"/>
                  <w:szCs w:val="18"/>
                  <w:color w:val="0000FF"/>
                </w:rPr>
                <w:t>Horizon  Acquisition  Corporation  and  Continental  Stock  Transfer  &amp;  Trust</w:t>
              </w:r>
            </w:hyperlink>
          </w:p>
        </w:tc>
        <w:tc>
          <w:tcPr>
            <w:tcW w:w="60" w:type="dxa"/>
            <w:vAlign w:val="bottom"/>
            <w:gridSpan w:val="3"/>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gridSpan w:val="9"/>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540" w:type="dxa"/>
            <w:vAlign w:val="bottom"/>
            <w:gridSpan w:val="25"/>
          </w:tcPr>
          <w:p>
            <w:pPr>
              <w:spacing w:after="0" w:line="182" w:lineRule="exact"/>
              <w:rPr>
                <w:rFonts w:ascii="Arial" w:cs="Arial" w:eastAsia="Arial" w:hAnsi="Arial"/>
                <w:sz w:val="18"/>
                <w:szCs w:val="18"/>
                <w:color w:val="0000FF"/>
              </w:rPr>
            </w:pPr>
            <w:hyperlink r:id="rId316">
              <w:r>
                <w:rPr>
                  <w:rFonts w:ascii="Arial" w:cs="Arial" w:eastAsia="Arial" w:hAnsi="Arial"/>
                  <w:sz w:val="18"/>
                  <w:szCs w:val="18"/>
                  <w:color w:val="0000FF"/>
                </w:rPr>
                <w:t>Company</w:t>
              </w:r>
            </w:hyperlink>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6640" w:type="dxa"/>
            <w:vAlign w:val="bottom"/>
            <w:gridSpan w:val="30"/>
          </w:tcPr>
          <w:p>
            <w:pPr>
              <w:spacing w:after="0"/>
              <w:rPr>
                <w:rFonts w:ascii="Arial" w:cs="Arial" w:eastAsia="Arial" w:hAnsi="Arial"/>
                <w:sz w:val="18"/>
                <w:szCs w:val="18"/>
                <w:color w:val="0000FF"/>
              </w:rPr>
            </w:pPr>
            <w:hyperlink r:id="rId317">
              <w:r>
                <w:rPr>
                  <w:rFonts w:ascii="Arial" w:cs="Arial" w:eastAsia="Arial" w:hAnsi="Arial"/>
                  <w:sz w:val="18"/>
                  <w:szCs w:val="18"/>
                  <w:color w:val="0000FF"/>
                </w:rPr>
                <w:t>Specimen Class A Common Stock Certificate of Vivid Seats Inc.</w:t>
              </w:r>
            </w:hyperlink>
          </w:p>
        </w:tc>
        <w:tc>
          <w:tcPr>
            <w:tcW w:w="320" w:type="dxa"/>
            <w:vAlign w:val="bottom"/>
          </w:tcPr>
          <w:p>
            <w:pPr>
              <w:jc w:val="center"/>
              <w:ind w:right="51"/>
              <w:spacing w:after="0"/>
              <w:rPr>
                <w:sz w:val="20"/>
                <w:szCs w:val="20"/>
                <w:color w:val="auto"/>
              </w:rPr>
            </w:pPr>
            <w:r>
              <w:rPr>
                <w:rFonts w:ascii="Arial" w:cs="Arial" w:eastAsia="Arial" w:hAnsi="Arial"/>
                <w:sz w:val="13"/>
                <w:szCs w:val="13"/>
                <w:color w:val="auto"/>
                <w:w w:val="72"/>
              </w:rPr>
              <w:t>10-K</w:t>
            </w:r>
          </w:p>
        </w:tc>
        <w:tc>
          <w:tcPr>
            <w:tcW w:w="760" w:type="dxa"/>
            <w:vAlign w:val="bottom"/>
          </w:tcPr>
          <w:p>
            <w:pPr>
              <w:jc w:val="center"/>
              <w:spacing w:after="0"/>
              <w:rPr>
                <w:sz w:val="20"/>
                <w:szCs w:val="20"/>
                <w:color w:val="auto"/>
              </w:rPr>
            </w:pPr>
            <w:r>
              <w:rPr>
                <w:rFonts w:ascii="Arial" w:cs="Arial" w:eastAsia="Arial" w:hAnsi="Arial"/>
                <w:sz w:val="18"/>
                <w:szCs w:val="18"/>
                <w:color w:val="auto"/>
              </w:rPr>
              <w:t>4.2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3/15/2022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6640" w:type="dxa"/>
            <w:vAlign w:val="bottom"/>
            <w:gridSpan w:val="30"/>
          </w:tcPr>
          <w:p>
            <w:pPr>
              <w:spacing w:after="0"/>
              <w:rPr>
                <w:rFonts w:ascii="Arial" w:cs="Arial" w:eastAsia="Arial" w:hAnsi="Arial"/>
                <w:sz w:val="18"/>
                <w:szCs w:val="18"/>
                <w:color w:val="0000FF"/>
              </w:rPr>
            </w:pPr>
            <w:hyperlink r:id="rId318">
              <w:r>
                <w:rPr>
                  <w:rFonts w:ascii="Arial" w:cs="Arial" w:eastAsia="Arial" w:hAnsi="Arial"/>
                  <w:sz w:val="18"/>
                  <w:szCs w:val="18"/>
                  <w:color w:val="0000FF"/>
                </w:rPr>
                <w:t>Specimen Warrant Certificate of Vivid Seats Inc.</w:t>
              </w:r>
            </w:hyperlink>
          </w:p>
        </w:tc>
        <w:tc>
          <w:tcPr>
            <w:tcW w:w="320" w:type="dxa"/>
            <w:vAlign w:val="bottom"/>
          </w:tcPr>
          <w:p>
            <w:pPr>
              <w:jc w:val="center"/>
              <w:ind w:right="51"/>
              <w:spacing w:after="0"/>
              <w:rPr>
                <w:sz w:val="20"/>
                <w:szCs w:val="20"/>
                <w:color w:val="auto"/>
              </w:rPr>
            </w:pPr>
            <w:r>
              <w:rPr>
                <w:rFonts w:ascii="Arial" w:cs="Arial" w:eastAsia="Arial" w:hAnsi="Arial"/>
                <w:sz w:val="13"/>
                <w:szCs w:val="13"/>
                <w:color w:val="auto"/>
                <w:w w:val="72"/>
              </w:rPr>
              <w:t>10-K</w:t>
            </w:r>
          </w:p>
        </w:tc>
        <w:tc>
          <w:tcPr>
            <w:tcW w:w="760" w:type="dxa"/>
            <w:vAlign w:val="bottom"/>
          </w:tcPr>
          <w:p>
            <w:pPr>
              <w:jc w:val="center"/>
              <w:spacing w:after="0"/>
              <w:rPr>
                <w:sz w:val="20"/>
                <w:szCs w:val="20"/>
                <w:color w:val="auto"/>
              </w:rPr>
            </w:pPr>
            <w:r>
              <w:rPr>
                <w:rFonts w:ascii="Arial" w:cs="Arial" w:eastAsia="Arial" w:hAnsi="Arial"/>
                <w:sz w:val="18"/>
                <w:szCs w:val="18"/>
                <w:color w:val="auto"/>
              </w:rPr>
              <w:t>4.3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3/15/2022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10.1</w:t>
            </w:r>
          </w:p>
        </w:tc>
        <w:tc>
          <w:tcPr>
            <w:tcW w:w="6640" w:type="dxa"/>
            <w:vAlign w:val="bottom"/>
            <w:gridSpan w:val="30"/>
          </w:tcPr>
          <w:p>
            <w:pPr>
              <w:spacing w:after="0"/>
              <w:rPr>
                <w:rFonts w:ascii="Arial" w:cs="Arial" w:eastAsia="Arial" w:hAnsi="Arial"/>
                <w:sz w:val="18"/>
                <w:szCs w:val="18"/>
                <w:color w:val="0000FF"/>
              </w:rPr>
            </w:pPr>
            <w:hyperlink r:id="rId319">
              <w:r>
                <w:rPr>
                  <w:rFonts w:ascii="Arial" w:cs="Arial" w:eastAsia="Arial" w:hAnsi="Arial"/>
                  <w:sz w:val="18"/>
                  <w:szCs w:val="18"/>
                  <w:color w:val="0000FF"/>
                </w:rPr>
                <w:t>Amendment No. 6 to First Lien Credit Agreement, dated February 5, 2025,</w:t>
              </w:r>
            </w:hyperlink>
          </w:p>
        </w:tc>
        <w:tc>
          <w:tcPr>
            <w:tcW w:w="320" w:type="dxa"/>
            <w:vAlign w:val="bottom"/>
          </w:tcPr>
          <w:p>
            <w:pPr>
              <w:jc w:val="center"/>
              <w:ind w:right="91"/>
              <w:spacing w:after="0"/>
              <w:rPr>
                <w:sz w:val="20"/>
                <w:szCs w:val="20"/>
                <w:color w:val="auto"/>
              </w:rPr>
            </w:pPr>
            <w:r>
              <w:rPr>
                <w:rFonts w:ascii="Arial" w:cs="Arial" w:eastAsia="Arial" w:hAnsi="Arial"/>
                <w:sz w:val="13"/>
                <w:szCs w:val="13"/>
                <w:color w:val="auto"/>
                <w:w w:val="78"/>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2/11/2025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3360" w:type="dxa"/>
            <w:vAlign w:val="bottom"/>
            <w:tcBorders>
              <w:right w:val="single" w:sz="8" w:color="0000FF"/>
            </w:tcBorders>
            <w:gridSpan w:val="7"/>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0" w:type="dxa"/>
            <w:vAlign w:val="bottom"/>
            <w:gridSpan w:val="28"/>
          </w:tcPr>
          <w:p>
            <w:pPr>
              <w:spacing w:after="0" w:line="182" w:lineRule="exact"/>
              <w:rPr>
                <w:rFonts w:ascii="Arial" w:cs="Arial" w:eastAsia="Arial" w:hAnsi="Arial"/>
                <w:sz w:val="18"/>
                <w:szCs w:val="18"/>
                <w:color w:val="0000FF"/>
              </w:rPr>
            </w:pPr>
            <w:hyperlink r:id="rId319">
              <w:r>
                <w:rPr>
                  <w:rFonts w:ascii="Arial" w:cs="Arial" w:eastAsia="Arial" w:hAnsi="Arial"/>
                  <w:sz w:val="18"/>
                  <w:szCs w:val="18"/>
                  <w:color w:val="0000FF"/>
                </w:rPr>
                <w:t>among Hoya Midco, LLC, Hoya Intermediate, LLC, Barclays Bank PLC, and</w:t>
              </w:r>
            </w:hyperlink>
          </w:p>
        </w:tc>
        <w:tc>
          <w:tcPr>
            <w:tcW w:w="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3360" w:type="dxa"/>
            <w:vAlign w:val="bottom"/>
            <w:tcBorders>
              <w:right w:val="single" w:sz="8" w:color="0000FF"/>
            </w:tcBorders>
            <w:gridSpan w:val="7"/>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1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40" w:type="dxa"/>
            <w:vAlign w:val="bottom"/>
            <w:gridSpan w:val="30"/>
          </w:tcPr>
          <w:p>
            <w:pPr>
              <w:spacing w:after="0" w:line="182" w:lineRule="exact"/>
              <w:rPr>
                <w:rFonts w:ascii="Arial" w:cs="Arial" w:eastAsia="Arial" w:hAnsi="Arial"/>
                <w:sz w:val="18"/>
                <w:szCs w:val="18"/>
                <w:color w:val="0000FF"/>
              </w:rPr>
            </w:pPr>
            <w:hyperlink r:id="rId319">
              <w:r>
                <w:rPr>
                  <w:rFonts w:ascii="Arial" w:cs="Arial" w:eastAsia="Arial" w:hAnsi="Arial"/>
                  <w:sz w:val="18"/>
                  <w:szCs w:val="18"/>
                  <w:color w:val="0000FF"/>
                </w:rPr>
                <w:t>the lenders and loan parties from time to time party thereto</w:t>
              </w:r>
            </w:hyperlink>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3360" w:type="dxa"/>
            <w:vAlign w:val="bottom"/>
            <w:tcBorders>
              <w:right w:val="single" w:sz="8" w:color="0000EE"/>
            </w:tcBorders>
            <w:gridSpan w:val="7"/>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31.1</w:t>
            </w:r>
          </w:p>
        </w:tc>
        <w:tc>
          <w:tcPr>
            <w:tcW w:w="6640" w:type="dxa"/>
            <w:vAlign w:val="bottom"/>
            <w:gridSpan w:val="30"/>
          </w:tcPr>
          <w:p>
            <w:pPr>
              <w:spacing w:after="0"/>
              <w:rPr>
                <w:sz w:val="20"/>
                <w:szCs w:val="20"/>
                <w:color w:val="auto"/>
              </w:rPr>
            </w:pPr>
            <w:r>
              <w:rPr>
                <w:rFonts w:ascii="Arial" w:cs="Arial" w:eastAsia="Arial" w:hAnsi="Arial"/>
                <w:sz w:val="18"/>
                <w:szCs w:val="18"/>
                <w:color w:val="0000FF"/>
              </w:rPr>
              <w:t>Rule 13a-14(a)/15d-14(a) Certification of Principal Executive Officer</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4020" w:type="dxa"/>
            <w:vAlign w:val="bottom"/>
            <w:tcBorders>
              <w:right w:val="single" w:sz="8" w:color="0000FF"/>
            </w:tcBorders>
            <w:gridSpan w:val="9"/>
            <w:shd w:val="clear" w:color="auto" w:fill="0000FF"/>
          </w:tcPr>
          <w:p>
            <w:pPr>
              <w:spacing w:after="0" w:line="20" w:lineRule="exact"/>
              <w:rPr>
                <w:sz w:val="1"/>
                <w:szCs w:val="1"/>
                <w:color w:val="auto"/>
              </w:rPr>
            </w:pPr>
          </w:p>
        </w:tc>
        <w:tc>
          <w:tcPr>
            <w:tcW w:w="1040" w:type="dxa"/>
            <w:vAlign w:val="bottom"/>
            <w:tcBorders>
              <w:left w:val="single" w:sz="8" w:color="0000FF"/>
            </w:tcBorders>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31.2</w:t>
            </w:r>
          </w:p>
        </w:tc>
        <w:tc>
          <w:tcPr>
            <w:tcW w:w="6640" w:type="dxa"/>
            <w:vAlign w:val="bottom"/>
            <w:gridSpan w:val="30"/>
          </w:tcPr>
          <w:p>
            <w:pPr>
              <w:spacing w:after="0"/>
              <w:rPr>
                <w:sz w:val="20"/>
                <w:szCs w:val="20"/>
                <w:color w:val="auto"/>
              </w:rPr>
            </w:pPr>
            <w:r>
              <w:rPr>
                <w:rFonts w:ascii="Arial" w:cs="Arial" w:eastAsia="Arial" w:hAnsi="Arial"/>
                <w:sz w:val="18"/>
                <w:szCs w:val="18"/>
                <w:color w:val="0000FF"/>
              </w:rPr>
              <w:t>Rule 13a-14(a)/15d-14(a) Certification of Principal Financial Officer</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4020" w:type="dxa"/>
            <w:vAlign w:val="bottom"/>
            <w:tcBorders>
              <w:right w:val="single" w:sz="8" w:color="0000EE"/>
            </w:tcBorders>
            <w:gridSpan w:val="9"/>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6640" w:type="dxa"/>
            <w:vAlign w:val="bottom"/>
            <w:gridSpan w:val="30"/>
          </w:tcPr>
          <w:p>
            <w:pPr>
              <w:spacing w:after="0"/>
              <w:rPr>
                <w:sz w:val="20"/>
                <w:szCs w:val="20"/>
                <w:color w:val="auto"/>
              </w:rPr>
            </w:pPr>
            <w:r>
              <w:rPr>
                <w:rFonts w:ascii="Arial" w:cs="Arial" w:eastAsia="Arial" w:hAnsi="Arial"/>
                <w:sz w:val="18"/>
                <w:szCs w:val="18"/>
                <w:color w:val="0000FF"/>
              </w:rPr>
              <w:t>18 U.S.C. Section 1350 Certifications of Chief Executive Officer and Chief</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5060" w:type="dxa"/>
            <w:vAlign w:val="bottom"/>
            <w:gridSpan w:val="14"/>
            <w:shd w:val="clear" w:color="auto" w:fill="0000FF"/>
          </w:tcPr>
          <w:p>
            <w:pPr>
              <w:spacing w:after="0" w:line="20" w:lineRule="exact"/>
              <w:rPr>
                <w:sz w:val="1"/>
                <w:szCs w:val="1"/>
                <w:color w:val="auto"/>
              </w:rPr>
            </w:pPr>
          </w:p>
        </w:tc>
        <w:tc>
          <w:tcPr>
            <w:tcW w:w="280" w:type="dxa"/>
            <w:vAlign w:val="bottom"/>
            <w:gridSpan w:val="14"/>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360" w:type="dxa"/>
            <w:vAlign w:val="bottom"/>
            <w:gridSpan w:val="16"/>
          </w:tcPr>
          <w:p>
            <w:pPr>
              <w:spacing w:after="0" w:line="182" w:lineRule="exact"/>
              <w:rPr>
                <w:sz w:val="20"/>
                <w:szCs w:val="20"/>
                <w:color w:val="auto"/>
              </w:rPr>
            </w:pPr>
            <w:r>
              <w:rPr>
                <w:rFonts w:ascii="Arial" w:cs="Arial" w:eastAsia="Arial" w:hAnsi="Arial"/>
                <w:sz w:val="18"/>
                <w:szCs w:val="18"/>
                <w:color w:val="0000FF"/>
              </w:rPr>
              <w:t>Financial Officer</w:t>
            </w:r>
          </w:p>
        </w:tc>
        <w:tc>
          <w:tcPr>
            <w:tcW w:w="280" w:type="dxa"/>
            <w:vAlign w:val="bottom"/>
            <w:gridSpan w:val="14"/>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5340" w:type="dxa"/>
            <w:vAlign w:val="bottom"/>
            <w:gridSpan w:val="2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6640" w:type="dxa"/>
            <w:vAlign w:val="bottom"/>
            <w:gridSpan w:val="30"/>
          </w:tcPr>
          <w:p>
            <w:pPr>
              <w:spacing w:after="0"/>
              <w:rPr>
                <w:sz w:val="20"/>
                <w:szCs w:val="20"/>
                <w:color w:val="auto"/>
              </w:rPr>
            </w:pPr>
            <w:r>
              <w:rPr>
                <w:rFonts w:ascii="Arial" w:cs="Arial" w:eastAsia="Arial" w:hAnsi="Arial"/>
                <w:sz w:val="18"/>
                <w:szCs w:val="18"/>
                <w:color w:val="auto"/>
              </w:rPr>
              <w:t>Inline XBRL Instance Document – the instance document does not appear in</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40" w:type="dxa"/>
            <w:vAlign w:val="bottom"/>
            <w:gridSpan w:val="30"/>
          </w:tcPr>
          <w:p>
            <w:pPr>
              <w:spacing w:after="0" w:line="202" w:lineRule="exact"/>
              <w:rPr>
                <w:sz w:val="20"/>
                <w:szCs w:val="20"/>
                <w:color w:val="auto"/>
              </w:rPr>
            </w:pPr>
            <w:r>
              <w:rPr>
                <w:rFonts w:ascii="Arial" w:cs="Arial" w:eastAsia="Arial" w:hAnsi="Arial"/>
                <w:sz w:val="18"/>
                <w:szCs w:val="18"/>
                <w:color w:val="auto"/>
              </w:rPr>
              <w:t>the Interactive Data File because XBRL tags are embedded within the Inline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40" w:type="dxa"/>
            <w:vAlign w:val="bottom"/>
            <w:gridSpan w:val="30"/>
          </w:tcPr>
          <w:p>
            <w:pPr>
              <w:spacing w:after="0"/>
              <w:rPr>
                <w:sz w:val="20"/>
                <w:szCs w:val="20"/>
                <w:color w:val="auto"/>
              </w:rPr>
            </w:pPr>
            <w:r>
              <w:rPr>
                <w:rFonts w:ascii="Arial" w:cs="Arial" w:eastAsia="Arial" w:hAnsi="Arial"/>
                <w:sz w:val="18"/>
                <w:szCs w:val="18"/>
                <w:color w:val="auto"/>
              </w:rPr>
              <w:t>XBRL document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101.SCH</w:t>
            </w:r>
          </w:p>
        </w:tc>
        <w:tc>
          <w:tcPr>
            <w:tcW w:w="664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60" w:type="dxa"/>
            <w:vAlign w:val="bottom"/>
            <w:gridSpan w:val="9"/>
          </w:tcPr>
          <w:p>
            <w:pPr>
              <w:jc w:val="right"/>
              <w:ind w:right="10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101.CAL</w:t>
            </w:r>
          </w:p>
        </w:tc>
        <w:tc>
          <w:tcPr>
            <w:tcW w:w="790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rPr>
              <w:t>101.DEF</w:t>
            </w:r>
          </w:p>
        </w:tc>
        <w:tc>
          <w:tcPr>
            <w:tcW w:w="790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790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790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104</w:t>
            </w:r>
          </w:p>
        </w:tc>
        <w:tc>
          <w:tcPr>
            <w:tcW w:w="7900" w:type="dxa"/>
            <w:vAlign w:val="bottom"/>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2"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Vivid Seats Inc.</w:t>
      </w:r>
    </w:p>
    <w:p>
      <w:pPr>
        <w:spacing w:after="0" w:line="198"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Stanley Chia</w:t>
      </w:r>
    </w:p>
    <w:p>
      <w:pPr>
        <w:ind w:left="61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May 6, 2025</w:t>
      </w:r>
    </w:p>
    <w:p>
      <w:pPr>
        <w:spacing w:after="0" w:line="180"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ind w:left="6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May 6,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Stanley Chia, certify that:</w:t>
      </w:r>
    </w:p>
    <w:p>
      <w:pPr>
        <w:spacing w:after="0" w:line="104" w:lineRule="exact"/>
        <w:rPr>
          <w:sz w:val="20"/>
          <w:szCs w:val="20"/>
          <w:color w:val="auto"/>
        </w:rPr>
      </w:pPr>
    </w:p>
    <w:p>
      <w:pPr>
        <w:ind w:left="520" w:hanging="512"/>
        <w:spacing w:after="0"/>
        <w:tabs>
          <w:tab w:leader="none" w:pos="520" w:val="left"/>
        </w:tabs>
        <w:numPr>
          <w:ilvl w:val="0"/>
          <w:numId w:val="32"/>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2"/>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2"/>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2"/>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2"/>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2"/>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2"/>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020" w:right="20" w:hanging="503"/>
        <w:spacing w:after="0" w:line="245" w:lineRule="auto"/>
        <w:tabs>
          <w:tab w:leader="none" w:pos="1020" w:val="left"/>
        </w:tabs>
        <w:numPr>
          <w:ilvl w:val="1"/>
          <w:numId w:val="32"/>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2"/>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2"/>
          <w:numId w:val="32"/>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540" w:hanging="514"/>
        <w:spacing w:after="0" w:line="256" w:lineRule="auto"/>
        <w:tabs>
          <w:tab w:leader="none" w:pos="1540" w:val="left"/>
        </w:tabs>
        <w:numPr>
          <w:ilvl w:val="2"/>
          <w:numId w:val="32"/>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Stanley Chia</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104" w:lineRule="exact"/>
        <w:rPr>
          <w:sz w:val="20"/>
          <w:szCs w:val="20"/>
          <w:color w:val="auto"/>
        </w:rPr>
      </w:pPr>
    </w:p>
    <w:p>
      <w:pPr>
        <w:ind w:left="520" w:hanging="512"/>
        <w:spacing w:after="0"/>
        <w:tabs>
          <w:tab w:leader="none" w:pos="520" w:val="left"/>
        </w:tabs>
        <w:numPr>
          <w:ilvl w:val="0"/>
          <w:numId w:val="33"/>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3"/>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3"/>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3"/>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540" w:right="20" w:hanging="514"/>
        <w:spacing w:after="0" w:line="245" w:lineRule="auto"/>
        <w:tabs>
          <w:tab w:leader="none" w:pos="1540" w:val="left"/>
        </w:tabs>
        <w:numPr>
          <w:ilvl w:val="1"/>
          <w:numId w:val="33"/>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3"/>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3"/>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3"/>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3"/>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3"/>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540" w:hanging="514"/>
        <w:spacing w:after="0" w:line="256" w:lineRule="auto"/>
        <w:tabs>
          <w:tab w:leader="none" w:pos="1540" w:val="left"/>
        </w:tabs>
        <w:numPr>
          <w:ilvl w:val="1"/>
          <w:numId w:val="33"/>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Stanley Chia, certify pursuant to 18 U.S.C. Section 1350, as adopted pursuant to Section 906 of the Sarbanes-Oxley Act of 2002, that (i) the Quarterly Report on Form 10-Q of Vivid Seats Inc. for the period ended March 31, 2025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174"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Stanley Chia</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Lawrence Fey, certify pursuant to 18 U.S.C. Section 1350, as adopted pursuant to Section 906 of the Sarbanes-Oxley Act of 2002, that (i) the Quarterly Report on Form 10-Q of Vivid Seats Inc. for the period ended March 31, 2025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174"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Vivid Seats Inc. and will be retained by Vivid Seats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lowerRoman"/>
      <w:start w:val="2"/>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decimal"/>
      <w:start w:val="14"/>
    </w:lvl>
  </w:abstractNum>
  <w:abstractNum w:abstractNumId="18">
    <w:nsid w:val="B03E0C6"/>
    <w:multiLevelType w:val="hybridMultilevel"/>
    <w:lvl w:ilvl="0">
      <w:lvlJc w:val="left"/>
      <w:lvlText w:val="%1."/>
      <w:numFmt w:val="decimal"/>
      <w:start w:val="15"/>
    </w:lvl>
  </w:abstractNum>
  <w:abstractNum w:abstractNumId="19">
    <w:nsid w:val="189A769B"/>
    <w:multiLevelType w:val="hybridMultilevel"/>
    <w:lvl w:ilvl="0">
      <w:lvlJc w:val="left"/>
      <w:lvlText w:val="%1."/>
      <w:numFmt w:val="decimal"/>
      <w:start w:val="16"/>
    </w:lvl>
  </w:abstractNum>
  <w:abstractNum w:abstractNumId="20">
    <w:nsid w:val="54E49EB4"/>
    <w:multiLevelType w:val="hybridMultilevel"/>
    <w:lvl w:ilvl="0">
      <w:lvlJc w:val="left"/>
      <w:lvlText w:val="%1."/>
      <w:numFmt w:val="decimal"/>
      <w:start w:val="17"/>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8"/>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09" Type="http://schemas.openxmlformats.org/officeDocument/2006/relationships/hyperlink" Target="https://www.sec.gov/Archives/edgar/data/0001856031/000119312521175583/d447259ds4.htm#ii447259_10" TargetMode="External"/><Relationship Id="rId310" Type="http://schemas.openxmlformats.org/officeDocument/2006/relationships/hyperlink" Target="https://www.sec.gov/Archives/edgar/data/1856031/000119312521175583/d447259dex22.htm" TargetMode="External"/><Relationship Id="rId311" Type="http://schemas.openxmlformats.org/officeDocument/2006/relationships/hyperlink" Target="https://www.sec.gov/Archives/edgar/data/0001856031/000095017021004585/seat-ex2_3.htm" TargetMode="External"/><Relationship Id="rId312" Type="http://schemas.openxmlformats.org/officeDocument/2006/relationships/hyperlink" Target="https://www.sec.gov/Archives/edgar/data/1856031/000095017023059730/seat-ex2_1.htm" TargetMode="External"/><Relationship Id="rId313" Type="http://schemas.openxmlformats.org/officeDocument/2006/relationships/hyperlink" Target="https://www.sec.gov/Archives/edgar/data/0001856031/000119312521305506/d216055dex31.htm" TargetMode="External"/><Relationship Id="rId314" Type="http://schemas.openxmlformats.org/officeDocument/2006/relationships/hyperlink" Target="https://www.sec.gov/Archives/edgar/data/1856031/000095017022008705/seat-ex3_2.htm" TargetMode="External"/><Relationship Id="rId315" Type="http://schemas.openxmlformats.org/officeDocument/2006/relationships/hyperlink" Target="https://www.sec.gov/Archives/edgar/data/0001856031/000119312521305506/d216055dex32.htm" TargetMode="External"/><Relationship Id="rId316" Type="http://schemas.openxmlformats.org/officeDocument/2006/relationships/hyperlink" Target="https://www.sec.gov/Archives/edgar/data/0001856031/000119312521305506/d216055dex107.htm" TargetMode="External"/><Relationship Id="rId317" Type="http://schemas.openxmlformats.org/officeDocument/2006/relationships/hyperlink" Target="https://www.sec.gov/Archives/edgar/data/1856031/000095017022003749/seat-ex4_2.htm" TargetMode="External"/><Relationship Id="rId318" Type="http://schemas.openxmlformats.org/officeDocument/2006/relationships/hyperlink" Target="https://www.sec.gov/Archives/edgar/data/1856031/000095017022003749/seat-ex4_3.htm" TargetMode="External"/><Relationship Id="rId319" Type="http://schemas.openxmlformats.org/officeDocument/2006/relationships/hyperlink" Target="https://www.sec.gov/Archives/edgar/data/1856031/000114036125003838/ef2004296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2025-05-06T05:41:39Z</dcterms:created>
  <dcterms:modified xsi:type="dcterms:W3CDTF">2025-05-06T05:41:39Z</dcterms:modified>
</cp:coreProperties>
</file>