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seat-20230331.htm"/>
      <w:bookmarkStart w:id="1" w:name="ksseat20230331"/>
      <w:bookmarkEnd w:id="0"/>
      <w:bookmarkEnd w:id="1"/>
      <w:r>
        <w:rPr/>
        <w:t> </w:t>
      </w:r>
    </w:p>
    <w:p>
      <w:pPr>
        <w:pStyle w:val="TextBody"/>
        <w:spacing w:before="0" w:after="0"/>
        <w:jc w:val="left"/>
        <w:rPr/>
      </w:pPr>
      <w:r>
        <w:rPr/>
        <w:t> </w:t>
      </w:r>
    </w:p>
    <w:p>
      <w:pPr>
        <w:pStyle w:val="TextBody"/>
        <w:pBdr>
          <w:top w:val="double" w:sz="18" w:space="1" w:color="000000"/>
        </w:pBdr>
        <w:spacing w:before="0" w:after="0"/>
        <w:jc w:val="center"/>
        <w:rPr>
          <w:rFonts w:ascii="Calibri;sans-serif" w:hAnsi="Calibri;sans-serif"/>
          <w:b/>
          <w:sz w:val="32"/>
        </w:rPr>
      </w:pPr>
      <w:r>
        <w:rPr>
          <w:rFonts w:ascii="Calibri;sans-serif" w:hAnsi="Calibri;sans-serif"/>
          <w:b/>
          <w:sz w:val="32"/>
        </w:rPr>
        <w:t>UNITED STATES</w:t>
      </w:r>
    </w:p>
    <w:p>
      <w:pPr>
        <w:pStyle w:val="TextBody"/>
        <w:spacing w:before="0" w:after="0"/>
        <w:jc w:val="center"/>
        <w:rPr>
          <w:rFonts w:ascii="Calibri;sans-serif" w:hAnsi="Calibri;sans-serif"/>
          <w:b/>
          <w:sz w:val="32"/>
        </w:rPr>
      </w:pPr>
      <w:r>
        <w:rPr>
          <w:rFonts w:ascii="Calibri;sans-serif" w:hAnsi="Calibri;sans-serif"/>
          <w:b/>
          <w:sz w:val="32"/>
        </w:rPr>
        <w:t>SECURITIES AND EXCHANGE COMMISSION</w:t>
      </w:r>
    </w:p>
    <w:p>
      <w:pPr>
        <w:pStyle w:val="TextBody"/>
        <w:spacing w:before="0" w:after="0"/>
        <w:jc w:val="center"/>
        <w:rPr>
          <w:rFonts w:ascii="Calibri;sans-serif" w:hAnsi="Calibri;sans-serif"/>
          <w:b/>
          <w:sz w:val="24"/>
        </w:rPr>
      </w:pPr>
      <w:r>
        <w:rPr>
          <w:rFonts w:ascii="Calibri;sans-serif" w:hAnsi="Calibri;sans-serif"/>
          <w:b/>
          <w:sz w:val="24"/>
        </w:rPr>
        <w:t>WASHINGTON, DC 20549</w:t>
      </w:r>
    </w:p>
    <w:p>
      <w:pPr>
        <w:pStyle w:val="TextBody"/>
        <w:spacing w:before="0" w:after="0"/>
        <w:jc w:val="center"/>
        <w:rPr>
          <w:rFonts w:ascii="Calibri;sans-serif" w:hAnsi="Calibri;sans-serif"/>
          <w:b/>
          <w:sz w:val="32"/>
        </w:rPr>
      </w:pPr>
      <w:r>
        <w:rPr>
          <w:rFonts w:ascii="Calibri;sans-serif" w:hAnsi="Calibri;sans-serif"/>
          <w:b/>
          <w:sz w:val="32"/>
        </w:rPr>
        <w:t>FORM 10-Q</w:t>
      </w:r>
    </w:p>
    <w:p>
      <w:pPr>
        <w:pStyle w:val="TextBody"/>
        <w:spacing w:before="0" w:after="0"/>
        <w:jc w:val="left"/>
        <w:rPr>
          <w:rFonts w:ascii="Calibri;sans-serif" w:hAnsi="Calibri;sans-serif"/>
          <w:b/>
          <w:sz w:val="16"/>
        </w:rPr>
      </w:pPr>
      <w:r>
        <w:rPr>
          <w:rFonts w:ascii="Calibri;sans-serif" w:hAnsi="Calibri;sans-serif"/>
          <w:b/>
          <w:sz w:val="16"/>
        </w:rPr>
        <w:t>(Mark One)</w:t>
      </w:r>
    </w:p>
    <w:tbl>
      <w:tblPr>
        <w:tblW w:w="7232" w:type="dxa"/>
        <w:jc w:val="left"/>
        <w:tblInd w:w="0" w:type="dxa"/>
        <w:tblCellMar>
          <w:top w:w="28" w:type="dxa"/>
          <w:left w:w="28" w:type="dxa"/>
          <w:bottom w:w="28" w:type="dxa"/>
          <w:right w:w="28" w:type="dxa"/>
        </w:tblCellMar>
      </w:tblPr>
      <w:tblGrid>
        <w:gridCol w:w="331"/>
        <w:gridCol w:w="6901"/>
      </w:tblGrid>
      <w:tr>
        <w:trPr/>
        <w:tc>
          <w:tcPr>
            <w:tcW w:w="331" w:type="dxa"/>
            <w:tcBorders/>
            <w:shd w:fill="auto" w:val="clear"/>
            <w:vAlign w:val="center"/>
          </w:tcPr>
          <w:p>
            <w:pPr>
              <w:pStyle w:val="TableContents"/>
              <w:spacing w:before="0" w:after="283"/>
              <w:rPr>
                <w:sz w:val="4"/>
                <w:szCs w:val="4"/>
              </w:rPr>
            </w:pPr>
            <w:r>
              <w:rPr>
                <w:sz w:val="4"/>
                <w:szCs w:val="4"/>
              </w:rPr>
            </w:r>
          </w:p>
        </w:tc>
        <w:tc>
          <w:tcPr>
            <w:tcW w:w="690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690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sz w:val="16"/>
              </w:rPr>
            </w:pPr>
            <w:r>
              <w:rPr>
                <w:rFonts w:ascii="Calibri;sans-serif" w:hAnsi="Calibri;sans-serif"/>
                <w:b/>
                <w:sz w:val="16"/>
              </w:rPr>
              <w:t>QUARTERLY REPORT PURSUANT TO SECTION 13 OR 15(d) OF THE SECURITIES EXCHANGE ACT OF 1934</w:t>
            </w:r>
          </w:p>
        </w:tc>
      </w:tr>
    </w:tbl>
    <w:p>
      <w:pPr>
        <w:pStyle w:val="TextBody"/>
        <w:spacing w:before="0" w:after="0"/>
        <w:jc w:val="center"/>
        <w:rPr>
          <w:rFonts w:ascii="Times New Roman" w:hAnsi="Times New Roman"/>
          <w:sz w:val="20"/>
        </w:rPr>
      </w:pPr>
      <w:r>
        <w:rPr>
          <w:rFonts w:ascii="Calibri;sans-serif" w:hAnsi="Calibri;sans-serif"/>
          <w:b/>
          <w:sz w:val="16"/>
        </w:rPr>
        <w:t>For the quarterly period ended</w:t>
      </w:r>
      <w:r>
        <w:rPr>
          <w:rFonts w:ascii="Times New Roman" w:hAnsi="Times New Roman"/>
          <w:sz w:val="20"/>
        </w:rPr>
        <w:t xml:space="preserve"> </w:t>
      </w:r>
      <w:r>
        <w:rPr>
          <w:rFonts w:ascii="Calibri;sans-serif" w:hAnsi="Calibri;sans-serif"/>
          <w:b/>
          <w:sz w:val="16"/>
        </w:rPr>
        <w:t>March 31, 2023</w:t>
      </w:r>
    </w:p>
    <w:p>
      <w:pPr>
        <w:pStyle w:val="TextBody"/>
        <w:spacing w:before="0" w:after="0"/>
        <w:jc w:val="center"/>
        <w:rPr>
          <w:rFonts w:ascii="Calibri;sans-serif" w:hAnsi="Calibri;sans-serif"/>
          <w:b/>
          <w:sz w:val="16"/>
        </w:rPr>
      </w:pPr>
      <w:r>
        <w:rPr>
          <w:rFonts w:ascii="Calibri;sans-serif" w:hAnsi="Calibri;sans-serif"/>
          <w:b/>
          <w:sz w:val="16"/>
        </w:rPr>
        <w:t>OR</w:t>
      </w:r>
    </w:p>
    <w:tbl>
      <w:tblPr>
        <w:tblW w:w="7232" w:type="dxa"/>
        <w:jc w:val="left"/>
        <w:tblInd w:w="0" w:type="dxa"/>
        <w:tblCellMar>
          <w:top w:w="28" w:type="dxa"/>
          <w:left w:w="28" w:type="dxa"/>
          <w:bottom w:w="28" w:type="dxa"/>
          <w:right w:w="28" w:type="dxa"/>
        </w:tblCellMar>
      </w:tblPr>
      <w:tblGrid>
        <w:gridCol w:w="331"/>
        <w:gridCol w:w="6901"/>
      </w:tblGrid>
      <w:tr>
        <w:trPr/>
        <w:tc>
          <w:tcPr>
            <w:tcW w:w="331" w:type="dxa"/>
            <w:tcBorders/>
            <w:shd w:fill="auto" w:val="clear"/>
            <w:vAlign w:val="center"/>
          </w:tcPr>
          <w:p>
            <w:pPr>
              <w:pStyle w:val="TableContents"/>
              <w:spacing w:before="0" w:after="283"/>
              <w:rPr>
                <w:sz w:val="4"/>
                <w:szCs w:val="4"/>
              </w:rPr>
            </w:pPr>
            <w:r>
              <w:rPr>
                <w:sz w:val="4"/>
                <w:szCs w:val="4"/>
              </w:rPr>
            </w:r>
          </w:p>
        </w:tc>
        <w:tc>
          <w:tcPr>
            <w:tcW w:w="690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690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sz w:val="16"/>
              </w:rPr>
            </w:pPr>
            <w:r>
              <w:rPr>
                <w:rFonts w:ascii="Calibri;sans-serif" w:hAnsi="Calibri;sans-serif"/>
                <w:b/>
                <w:sz w:val="16"/>
              </w:rPr>
              <w:t>TRANSITION REPORT PURSUANT TO SECTION 13 OR 15(d) OF THE SECURITIES EXCHANGE ACT OF 1934</w:t>
            </w:r>
          </w:p>
        </w:tc>
      </w:tr>
    </w:tbl>
    <w:p>
      <w:pPr>
        <w:pStyle w:val="TextBody"/>
        <w:spacing w:before="0" w:after="0"/>
        <w:jc w:val="center"/>
        <w:rPr>
          <w:rFonts w:ascii="Calibri;sans-serif" w:hAnsi="Calibri;sans-serif"/>
          <w:b/>
          <w:sz w:val="16"/>
        </w:rPr>
      </w:pPr>
      <w:r>
        <w:rPr>
          <w:rFonts w:ascii="Calibri;sans-serif" w:hAnsi="Calibri;sans-serif"/>
          <w:b/>
          <w:sz w:val="16"/>
        </w:rPr>
        <w:t>For the transition period from __________ to __________</w:t>
      </w:r>
    </w:p>
    <w:p>
      <w:pPr>
        <w:pStyle w:val="TextBody"/>
        <w:spacing w:before="0" w:after="0"/>
        <w:jc w:val="center"/>
        <w:rPr>
          <w:rFonts w:ascii="Calibri;sans-serif" w:hAnsi="Calibri;sans-serif"/>
          <w:b/>
          <w:sz w:val="16"/>
        </w:rPr>
      </w:pPr>
      <w:r>
        <w:rPr>
          <w:rFonts w:ascii="Calibri;sans-serif" w:hAnsi="Calibri;sans-serif"/>
          <w:b/>
          <w:sz w:val="16"/>
        </w:rPr>
        <w:t>Commission File Number: 001-40926</w:t>
      </w:r>
    </w:p>
    <w:p>
      <w:pPr>
        <w:pStyle w:val="TextBody"/>
        <w:spacing w:before="0" w:after="0"/>
        <w:jc w:val="center"/>
        <w:rPr>
          <w:rFonts w:ascii="Calibri;sans-serif" w:hAnsi="Calibri;sans-serif"/>
          <w:b/>
          <w:sz w:val="40"/>
        </w:rPr>
      </w:pPr>
      <w:r>
        <w:rPr>
          <w:rFonts w:ascii="Calibri;sans-serif" w:hAnsi="Calibri;sans-serif"/>
          <w:b/>
          <w:sz w:val="40"/>
        </w:rPr>
        <w:t>Vivid Seats Inc.</w:t>
      </w:r>
    </w:p>
    <w:p>
      <w:pPr>
        <w:pStyle w:val="TextBody"/>
        <w:spacing w:before="0" w:after="0"/>
        <w:jc w:val="center"/>
        <w:rPr>
          <w:rFonts w:ascii="Calibri;sans-serif" w:hAnsi="Calibri;sans-serif"/>
          <w:b/>
          <w:sz w:val="16"/>
        </w:rPr>
      </w:pPr>
      <w:r>
        <w:rPr>
          <w:rFonts w:ascii="Calibri;sans-serif" w:hAnsi="Calibri;sans-serif"/>
          <w:b/>
          <w:sz w:val="16"/>
        </w:rPr>
        <w:t>(Exact Name of Registrant as Specified in its Charter)</w:t>
      </w:r>
    </w:p>
    <w:p>
      <w:pPr>
        <w:pStyle w:val="TextBody"/>
        <w:spacing w:before="0" w:after="0"/>
        <w:jc w:val="left"/>
        <w:rPr/>
      </w:pPr>
      <w:r>
        <w:rPr/>
        <w:t> </w:t>
      </w:r>
    </w:p>
    <w:tbl>
      <w:tblPr>
        <w:tblW w:w="4142" w:type="dxa"/>
        <w:jc w:val="left"/>
        <w:tblInd w:w="0" w:type="dxa"/>
        <w:tblCellMar>
          <w:top w:w="28" w:type="dxa"/>
          <w:left w:w="28" w:type="dxa"/>
          <w:bottom w:w="28" w:type="dxa"/>
          <w:right w:w="28" w:type="dxa"/>
        </w:tblCellMar>
      </w:tblPr>
      <w:tblGrid>
        <w:gridCol w:w="2761"/>
        <w:gridCol w:w="1381"/>
      </w:tblGrid>
      <w:tr>
        <w:trPr/>
        <w:tc>
          <w:tcPr>
            <w:tcW w:w="2761"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r>
      <w:tr>
        <w:trPr/>
        <w:tc>
          <w:tcPr>
            <w:tcW w:w="276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Delaware</w:t>
            </w:r>
          </w:p>
        </w:tc>
        <w:tc>
          <w:tcPr>
            <w:tcW w:w="138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86-3355184</w:t>
            </w:r>
          </w:p>
        </w:tc>
      </w:tr>
      <w:tr>
        <w:trPr/>
        <w:tc>
          <w:tcPr>
            <w:tcW w:w="276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(State or other jurisdiction of</w:t>
            </w:r>
          </w:p>
          <w:p>
            <w:pPr>
              <w:pStyle w:val="TableContents"/>
              <w:spacing w:before="0" w:after="0"/>
              <w:ind w:left="0" w:right="0" w:hanging="0"/>
              <w:jc w:val="center"/>
              <w:rPr>
                <w:rFonts w:ascii="Calibri;sans-serif" w:hAnsi="Calibri;sans-serif"/>
                <w:b/>
                <w:sz w:val="16"/>
              </w:rPr>
            </w:pPr>
            <w:r>
              <w:rPr>
                <w:rFonts w:ascii="Calibri;sans-serif" w:hAnsi="Calibri;sans-serif"/>
                <w:b/>
                <w:sz w:val="16"/>
              </w:rPr>
              <w:t>incorporation or organization)</w:t>
            </w:r>
          </w:p>
        </w:tc>
        <w:tc>
          <w:tcPr>
            <w:tcW w:w="138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(I.R.S. Employer</w:t>
              <w:br/>
              <w:t>Identification No.)</w:t>
            </w:r>
          </w:p>
        </w:tc>
      </w:tr>
      <w:tr>
        <w:trPr/>
        <w:tc>
          <w:tcPr>
            <w:tcW w:w="276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24 E. Washington Street</w:t>
            </w:r>
          </w:p>
          <w:p>
            <w:pPr>
              <w:pStyle w:val="TableContents"/>
              <w:spacing w:before="0" w:after="0"/>
              <w:ind w:left="0" w:right="0" w:hanging="0"/>
              <w:jc w:val="center"/>
              <w:rPr>
                <w:rFonts w:ascii="Calibri;sans-serif" w:hAnsi="Calibri;sans-serif"/>
                <w:b/>
                <w:sz w:val="16"/>
              </w:rPr>
            </w:pPr>
            <w:r>
              <w:rPr>
                <w:rFonts w:ascii="Calibri;sans-serif" w:hAnsi="Calibri;sans-serif"/>
                <w:b/>
                <w:sz w:val="16"/>
              </w:rPr>
              <w:t>Suite 900</w:t>
            </w:r>
          </w:p>
          <w:p>
            <w:pPr>
              <w:pStyle w:val="TableContents"/>
              <w:spacing w:before="0" w:after="0"/>
              <w:ind w:left="0" w:right="0" w:hanging="0"/>
              <w:jc w:val="center"/>
              <w:rPr>
                <w:rFonts w:ascii="Times New Roman" w:hAnsi="Times New Roman"/>
                <w:sz w:val="20"/>
              </w:rPr>
            </w:pPr>
            <w:r>
              <w:rPr>
                <w:rFonts w:ascii="Calibri;sans-serif" w:hAnsi="Calibri;sans-serif"/>
                <w:b/>
                <w:sz w:val="16"/>
              </w:rPr>
              <w:t>Chicago,</w:t>
            </w:r>
            <w:r>
              <w:rPr>
                <w:rFonts w:ascii="Times New Roman" w:hAnsi="Times New Roman"/>
                <w:sz w:val="20"/>
              </w:rPr>
              <w:t xml:space="preserve"> </w:t>
            </w:r>
            <w:r>
              <w:rPr>
                <w:rFonts w:ascii="Calibri;sans-serif" w:hAnsi="Calibri;sans-serif"/>
                <w:b/>
                <w:sz w:val="16"/>
              </w:rPr>
              <w:t>Illinois</w:t>
            </w:r>
          </w:p>
        </w:tc>
        <w:tc>
          <w:tcPr>
            <w:tcW w:w="138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rFonts w:ascii="Calibri;sans-serif" w:hAnsi="Calibri;sans-serif"/>
                <w:b/>
                <w:sz w:val="16"/>
              </w:rPr>
            </w:pPr>
            <w:r>
              <w:rPr>
                <w:rFonts w:ascii="Calibri;sans-serif" w:hAnsi="Calibri;sans-serif"/>
                <w:b/>
                <w:sz w:val="16"/>
              </w:rPr>
              <w:t>60602</w:t>
            </w:r>
          </w:p>
        </w:tc>
      </w:tr>
      <w:tr>
        <w:trPr/>
        <w:tc>
          <w:tcPr>
            <w:tcW w:w="276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(Address of principal executive offices)</w:t>
            </w:r>
          </w:p>
        </w:tc>
        <w:tc>
          <w:tcPr>
            <w:tcW w:w="138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(Zip Code)</w:t>
            </w:r>
          </w:p>
        </w:tc>
      </w:tr>
    </w:tbl>
    <w:p>
      <w:pPr>
        <w:pStyle w:val="TextBody"/>
        <w:spacing w:before="0" w:after="0"/>
        <w:jc w:val="center"/>
        <w:rPr>
          <w:rFonts w:ascii="Calibri;sans-serif" w:hAnsi="Calibri;sans-serif"/>
          <w:b/>
          <w:sz w:val="16"/>
        </w:rPr>
      </w:pPr>
      <w:r>
        <w:rPr>
          <w:rFonts w:ascii="Calibri;sans-serif" w:hAnsi="Calibri;sans-serif"/>
          <w:b/>
          <w:sz w:val="16"/>
        </w:rPr>
        <w:t>(312) 291-9966</w:t>
      </w:r>
    </w:p>
    <w:p>
      <w:pPr>
        <w:pStyle w:val="TextBody"/>
        <w:spacing w:before="0" w:after="0"/>
        <w:jc w:val="center"/>
        <w:rPr>
          <w:rFonts w:ascii="Calibri;sans-serif" w:hAnsi="Calibri;sans-serif"/>
          <w:b/>
          <w:sz w:val="16"/>
        </w:rPr>
      </w:pPr>
      <w:r>
        <w:rPr>
          <w:rFonts w:ascii="Calibri;sans-serif" w:hAnsi="Calibri;sans-serif"/>
          <w:b/>
          <w:sz w:val="16"/>
        </w:rPr>
        <w:t>Registrant’s telephone number, including area code</w:t>
      </w:r>
    </w:p>
    <w:p>
      <w:pPr>
        <w:pStyle w:val="TextBody"/>
        <w:spacing w:before="0" w:after="0"/>
        <w:jc w:val="left"/>
        <w:rPr>
          <w:rFonts w:ascii="Times New Roman" w:hAnsi="Times New Roman"/>
          <w:sz w:val="20"/>
        </w:rPr>
      </w:pPr>
      <w:r>
        <w:rPr>
          <w:rFonts w:ascii="Calibri;sans-serif" w:hAnsi="Calibri;sans-serif"/>
          <w:b w:val="false"/>
          <w:sz w:val="16"/>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8170" w:type="dxa"/>
        <w:jc w:val="left"/>
        <w:tblInd w:w="0" w:type="dxa"/>
        <w:tblCellMar>
          <w:top w:w="28" w:type="dxa"/>
          <w:left w:w="28" w:type="dxa"/>
          <w:bottom w:w="28" w:type="dxa"/>
          <w:right w:w="28" w:type="dxa"/>
        </w:tblCellMar>
      </w:tblPr>
      <w:tblGrid>
        <w:gridCol w:w="3931"/>
        <w:gridCol w:w="146"/>
        <w:gridCol w:w="766"/>
        <w:gridCol w:w="146"/>
        <w:gridCol w:w="3181"/>
      </w:tblGrid>
      <w:tr>
        <w:trPr/>
        <w:tc>
          <w:tcPr>
            <w:tcW w:w="3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81" w:type="dxa"/>
            <w:tcBorders/>
            <w:shd w:fill="auto" w:val="clear"/>
            <w:vAlign w:val="center"/>
          </w:tcPr>
          <w:p>
            <w:pPr>
              <w:pStyle w:val="TableContents"/>
              <w:spacing w:before="0" w:after="283"/>
              <w:rPr>
                <w:sz w:val="4"/>
                <w:szCs w:val="4"/>
              </w:rPr>
            </w:pPr>
            <w:r>
              <w:rPr>
                <w:sz w:val="4"/>
                <w:szCs w:val="4"/>
              </w:rPr>
            </w:r>
          </w:p>
        </w:tc>
      </w:tr>
      <w:tr>
        <w:trPr/>
        <w:tc>
          <w:tcPr>
            <w:tcW w:w="393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p>
            <w:pPr>
              <w:pStyle w:val="TableContents"/>
              <w:spacing w:before="0" w:after="0"/>
              <w:ind w:left="0" w:right="0" w:hanging="0"/>
              <w:jc w:val="center"/>
              <w:rPr>
                <w:rFonts w:ascii="Calibri;sans-serif" w:hAnsi="Calibri;sans-serif"/>
                <w:b/>
                <w:sz w:val="16"/>
              </w:rPr>
            </w:pPr>
            <w:r>
              <w:rPr>
                <w:rFonts w:ascii="Calibri;sans-serif" w:hAnsi="Calibri;sans-serif"/>
                <w:b/>
                <w:sz w:val="16"/>
              </w:rPr>
              <w:t>Title of each class</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76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Trading</w:t>
            </w:r>
          </w:p>
          <w:p>
            <w:pPr>
              <w:pStyle w:val="TableContents"/>
              <w:spacing w:before="0" w:after="0"/>
              <w:ind w:left="0" w:right="0" w:hanging="0"/>
              <w:jc w:val="center"/>
              <w:rPr>
                <w:rFonts w:ascii="Calibri;sans-serif" w:hAnsi="Calibri;sans-serif"/>
                <w:b/>
                <w:sz w:val="16"/>
              </w:rPr>
            </w:pPr>
            <w:r>
              <w:rPr>
                <w:rFonts w:ascii="Calibri;sans-serif" w:hAnsi="Calibri;sans-serif"/>
                <w:b/>
                <w:sz w:val="16"/>
              </w:rPr>
              <w:t>Symbol(s)</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318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p>
            <w:pPr>
              <w:pStyle w:val="TableContents"/>
              <w:spacing w:before="0" w:after="0"/>
              <w:ind w:left="0" w:right="0" w:hanging="0"/>
              <w:jc w:val="center"/>
              <w:rPr>
                <w:rFonts w:ascii="Calibri;sans-serif" w:hAnsi="Calibri;sans-serif"/>
                <w:b/>
                <w:sz w:val="16"/>
              </w:rPr>
            </w:pPr>
            <w:r>
              <w:rPr>
                <w:rFonts w:ascii="Calibri;sans-serif" w:hAnsi="Calibri;sans-serif"/>
                <w:b/>
                <w:sz w:val="16"/>
              </w:rPr>
              <w:t>Name of each exchange on which registered</w:t>
            </w:r>
          </w:p>
        </w:tc>
      </w:tr>
      <w:tr>
        <w:trPr/>
        <w:tc>
          <w:tcPr>
            <w:tcW w:w="39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16"/>
              </w:rPr>
            </w:pPr>
            <w:r>
              <w:rPr>
                <w:rFonts w:ascii="Calibri;sans-serif" w:hAnsi="Calibri;sans-serif"/>
                <w:b w:val="false"/>
                <w:sz w:val="16"/>
              </w:rPr>
              <w:t>Class A common stock, par value $0.0001 per share</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Calibri;sans-serif" w:hAnsi="Calibri;sans-serif"/>
                <w:b w:val="false"/>
                <w:sz w:val="16"/>
              </w:rPr>
              <w:t>SEAT</w:t>
            </w:r>
            <w:r>
              <w:rPr>
                <w:rFonts w:ascii="Times New Roman" w:hAnsi="Times New Roman"/>
                <w:sz w:val="20"/>
              </w:rPr>
              <w:t xml:space="preserve">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8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Calibri;sans-serif" w:hAnsi="Calibri;sans-serif"/>
                <w:b w:val="false"/>
                <w:sz w:val="16"/>
              </w:rPr>
              <w:t>The Nasdaq Stock Market LLC</w:t>
            </w:r>
            <w:r>
              <w:rPr>
                <w:rFonts w:ascii="Times New Roman" w:hAnsi="Times New Roman"/>
                <w:sz w:val="20"/>
              </w:rPr>
              <w:t xml:space="preserve"> </w:t>
            </w:r>
          </w:p>
        </w:tc>
      </w:tr>
      <w:tr>
        <w:trPr/>
        <w:tc>
          <w:tcPr>
            <w:tcW w:w="39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16"/>
              </w:rPr>
            </w:pPr>
            <w:r>
              <w:rPr>
                <w:rFonts w:ascii="Calibri;sans-serif" w:hAnsi="Calibri;sans-serif"/>
                <w:b w:val="false"/>
                <w:sz w:val="16"/>
              </w:rPr>
              <w:t>Warrants to purchase one share of Class A common stock</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76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16"/>
              </w:rPr>
            </w:pPr>
            <w:r>
              <w:rPr>
                <w:rFonts w:ascii="Calibri;sans-serif" w:hAnsi="Calibri;sans-serif"/>
                <w:b w:val="false"/>
                <w:sz w:val="16"/>
              </w:rPr>
              <w:t>SEATW</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318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Calibri;sans-serif" w:hAnsi="Calibri;sans-serif"/>
                <w:b w:val="false"/>
                <w:sz w:val="16"/>
              </w:rPr>
              <w:t>The Nasdaq Stock Market LLC</w:t>
            </w:r>
            <w:r>
              <w:rPr>
                <w:rFonts w:ascii="Times New Roman" w:hAnsi="Times New Roman"/>
                <w:sz w:val="20"/>
              </w:rPr>
              <w:t xml:space="preserve"> </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Calibri;sans-serif" w:hAnsi="Calibri;sans-serif"/>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w:t>
      </w:r>
      <w:r>
        <w:rPr>
          <w:rFonts w:ascii="Times New Roman" w:hAnsi="Times New Roman"/>
          <w:sz w:val="20"/>
        </w:rPr>
        <w:t xml:space="preserve"> ☐</w:t>
      </w:r>
    </w:p>
    <w:p>
      <w:pPr>
        <w:pStyle w:val="TextBody"/>
        <w:spacing w:before="120" w:after="0"/>
        <w:jc w:val="both"/>
        <w:rPr>
          <w:rFonts w:ascii="Times New Roman" w:hAnsi="Times New Roman"/>
          <w:sz w:val="20"/>
        </w:rPr>
      </w:pPr>
      <w:r>
        <w:rPr>
          <w:rFonts w:ascii="Calibri;sans-serif" w:hAnsi="Calibri;sans-serif"/>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Calibri;sans-serif" w:hAnsi="Calibri;sans-serif"/>
          <w:b w:val="false"/>
          <w:sz w:val="16"/>
        </w:rPr>
        <w:t>No ☐</w:t>
      </w:r>
    </w:p>
    <w:p>
      <w:pPr>
        <w:pStyle w:val="TextBody"/>
        <w:spacing w:before="120" w:after="0"/>
        <w:jc w:val="both"/>
        <w:rPr>
          <w:rFonts w:ascii="Calibri;sans-serif" w:hAnsi="Calibri;sans-serif"/>
          <w:b w:val="false"/>
          <w:sz w:val="16"/>
        </w:rPr>
      </w:pPr>
      <w:r>
        <w:rPr>
          <w:rFonts w:ascii="Calibri;sans-serif" w:hAnsi="Calibri;sans-serif"/>
          <w:b w:val="false"/>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876" w:type="dxa"/>
        <w:jc w:val="left"/>
        <w:tblInd w:w="0" w:type="dxa"/>
        <w:tblCellMar>
          <w:top w:w="28" w:type="dxa"/>
          <w:left w:w="28" w:type="dxa"/>
          <w:bottom w:w="28" w:type="dxa"/>
          <w:right w:w="28" w:type="dxa"/>
        </w:tblCellMar>
      </w:tblPr>
      <w:tblGrid>
        <w:gridCol w:w="1936"/>
        <w:gridCol w:w="109"/>
        <w:gridCol w:w="316"/>
        <w:gridCol w:w="109"/>
        <w:gridCol w:w="1936"/>
        <w:gridCol w:w="109"/>
        <w:gridCol w:w="361"/>
      </w:tblGrid>
      <w:tr>
        <w:trPr/>
        <w:tc>
          <w:tcPr>
            <w:tcW w:w="19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9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Large accelerated filer</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9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Accelerated filer</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19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Non-accelerated filer</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9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Smaller reporting company</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19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Emerging growth company</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9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bl>
    <w:p>
      <w:pPr>
        <w:pStyle w:val="TextBody"/>
        <w:spacing w:before="60" w:after="0"/>
        <w:jc w:val="both"/>
        <w:rPr>
          <w:rFonts w:ascii="Times New Roman" w:hAnsi="Times New Roman"/>
          <w:sz w:val="20"/>
        </w:rPr>
      </w:pPr>
      <w:r>
        <w:rPr>
          <w:rFonts w:ascii="Calibri;sans-serif" w:hAnsi="Calibri;sans-serif"/>
          <w:b w:val="false"/>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120" w:after="0"/>
        <w:jc w:val="both"/>
        <w:rPr>
          <w:rFonts w:ascii="Times New Roman" w:hAnsi="Times New Roman"/>
          <w:sz w:val="20"/>
        </w:rPr>
      </w:pPr>
      <w:r>
        <w:rPr>
          <w:rFonts w:ascii="Calibri;sans-serif" w:hAnsi="Calibri;sans-serif"/>
          <w:b w:val="false"/>
          <w:sz w:val="16"/>
        </w:rPr>
        <w:t xml:space="preserve">Indicate by check mark whether the registrant is a shell company (as defined in Rule 12b-2 of the Exchange Act). Yes </w:t>
      </w:r>
      <w:r>
        <w:rPr>
          <w:rFonts w:ascii="Times New Roman" w:hAnsi="Times New Roman"/>
          <w:sz w:val="20"/>
        </w:rPr>
        <w:t xml:space="preserve">☐ </w:t>
      </w:r>
      <w:r>
        <w:rPr>
          <w:rFonts w:ascii="Calibri;sans-serif" w:hAnsi="Calibri;sans-serif"/>
          <w:b w:val="false"/>
          <w:sz w:val="16"/>
        </w:rPr>
        <w:t>No ☒</w:t>
      </w:r>
    </w:p>
    <w:p>
      <w:pPr>
        <w:pStyle w:val="TextBody"/>
        <w:spacing w:before="160" w:after="0"/>
        <w:jc w:val="both"/>
        <w:rPr>
          <w:rFonts w:ascii="Times New Roman" w:hAnsi="Times New Roman"/>
          <w:sz w:val="20"/>
        </w:rPr>
      </w:pPr>
      <w:r>
        <w:rPr>
          <w:rFonts w:ascii="Calibri;sans-serif" w:hAnsi="Calibri;sans-serif"/>
          <w:b w:val="false"/>
          <w:sz w:val="16"/>
        </w:rPr>
        <w:t>As of April 30, 2023, the registrant had 77,676,300</w:t>
      </w:r>
      <w:r>
        <w:rPr>
          <w:rFonts w:ascii="Times New Roman" w:hAnsi="Times New Roman"/>
          <w:sz w:val="20"/>
        </w:rPr>
        <w:t xml:space="preserve"> </w:t>
      </w:r>
      <w:r>
        <w:rPr>
          <w:rFonts w:ascii="Calibri;sans-serif" w:hAnsi="Calibri;sans-serif"/>
          <w:b w:val="false"/>
          <w:sz w:val="16"/>
        </w:rPr>
        <w:t>shares of Class A common stock, $0.0001 par value per share, outstanding, net of treasury shares and 118,200,000</w:t>
      </w:r>
      <w:r>
        <w:rPr>
          <w:rFonts w:ascii="Times New Roman" w:hAnsi="Times New Roman"/>
          <w:sz w:val="20"/>
        </w:rPr>
        <w:t xml:space="preserve"> </w:t>
      </w:r>
      <w:r>
        <w:rPr>
          <w:rFonts w:ascii="Calibri;sans-serif" w:hAnsi="Calibri;sans-serif"/>
          <w:b w:val="false"/>
          <w:sz w:val="16"/>
        </w:rPr>
        <w:t>shares of Class B common stock, $0.0001 par value per share, outstanding.</w:t>
      </w:r>
    </w:p>
    <w:p>
      <w:pPr>
        <w:pStyle w:val="TextBody"/>
        <w:spacing w:before="0" w:after="0"/>
        <w:jc w:val="left"/>
        <w:rPr/>
      </w:pPr>
      <w:r>
        <w:rPr/>
        <w:t> </w:t>
      </w:r>
    </w:p>
    <w:p>
      <w:pPr>
        <w:pStyle w:val="TextBody"/>
        <w:spacing w:before="0" w:after="0"/>
        <w:jc w:val="center"/>
        <w:rPr/>
      </w:pPr>
      <w:r>
        <w:rPr/>
        <w:t> </w:t>
      </w:r>
    </w:p>
    <w:p>
      <w:pPr>
        <w:pStyle w:val="TextBody"/>
        <w:spacing w:before="0" w:after="0"/>
        <w:jc w:val="left"/>
        <w:rPr/>
      </w:pPr>
      <w:r>
        <w:rPr/>
        <w:t> </w:t>
      </w:r>
    </w:p>
    <w:p>
      <w:pPr>
        <w:pStyle w:val="HorizontalLine"/>
        <w:rPr/>
      </w:pPr>
      <w:r>
        <w:rPr/>
      </w:r>
    </w:p>
    <w:p>
      <w:pPr>
        <w:pStyle w:val="TextBody"/>
        <w:spacing w:before="0" w:after="0"/>
        <w:jc w:val="center"/>
        <w:rPr>
          <w:rFonts w:ascii="Calibri;sans-serif" w:hAnsi="Calibri;sans-serif"/>
          <w:b/>
          <w:caps/>
          <w:sz w:val="20"/>
        </w:rPr>
      </w:pPr>
      <w:r>
        <w:rPr>
          <w:rFonts w:ascii="Calibri;sans-serif" w:hAnsi="Calibri;sans-serif"/>
          <w:b/>
          <w:caps/>
          <w:sz w:val="20"/>
        </w:rPr>
        <w:t>table of contents</w:t>
      </w:r>
    </w:p>
    <w:p>
      <w:pPr>
        <w:pStyle w:val="TextBody"/>
        <w:spacing w:before="0" w:after="0"/>
        <w:jc w:val="left"/>
        <w:rPr/>
      </w:pPr>
      <w:r>
        <w:rPr/>
        <w:t> </w:t>
      </w:r>
    </w:p>
    <w:tbl>
      <w:tblPr>
        <w:tblW w:w="8343" w:type="dxa"/>
        <w:jc w:val="left"/>
        <w:tblInd w:w="0" w:type="dxa"/>
        <w:tblCellMar>
          <w:top w:w="28" w:type="dxa"/>
          <w:left w:w="28" w:type="dxa"/>
          <w:bottom w:w="28" w:type="dxa"/>
          <w:right w:w="28" w:type="dxa"/>
        </w:tblCellMar>
      </w:tblPr>
      <w:tblGrid>
        <w:gridCol w:w="781"/>
        <w:gridCol w:w="7021"/>
        <w:gridCol w:w="541"/>
      </w:tblGrid>
      <w:tr>
        <w:trPr/>
        <w:tc>
          <w:tcPr>
            <w:tcW w:w="781" w:type="dxa"/>
            <w:tcBorders/>
            <w:shd w:fill="auto" w:val="clear"/>
            <w:vAlign w:val="center"/>
          </w:tcPr>
          <w:p>
            <w:pPr>
              <w:pStyle w:val="TableContents"/>
              <w:spacing w:before="0" w:after="283"/>
              <w:rPr>
                <w:sz w:val="4"/>
                <w:szCs w:val="4"/>
              </w:rPr>
            </w:pPr>
            <w:r>
              <w:rPr>
                <w:sz w:val="4"/>
                <w:szCs w:val="4"/>
              </w:rPr>
            </w:r>
          </w:p>
        </w:tc>
        <w:tc>
          <w:tcPr>
            <w:tcW w:w="702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r>
      <w:tr>
        <w:trPr/>
        <w:tc>
          <w:tcPr>
            <w:tcW w:w="78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02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4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Page</w:t>
            </w:r>
          </w:p>
        </w:tc>
      </w:tr>
      <w:tr>
        <w:trPr/>
        <w:tc>
          <w:tcPr>
            <w:tcW w:w="78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02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orward_looking_statement">
              <w:r>
                <w:rPr>
                  <w:rStyle w:val="InternetLink"/>
                  <w:rFonts w:ascii="Calibri;sans-serif" w:hAnsi="Calibri;sans-serif"/>
                  <w:b w:val="false"/>
                  <w:sz w:val="20"/>
                  <w:u w:val="single"/>
                </w:rPr>
                <w:t>Forward-Looking Statements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PART I.</w:t>
            </w:r>
          </w:p>
        </w:tc>
        <w:tc>
          <w:tcPr>
            <w:tcW w:w="7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inancial_info">
              <w:r>
                <w:rPr>
                  <w:rStyle w:val="InternetLink"/>
                  <w:rFonts w:ascii="Calibri;sans-serif" w:hAnsi="Calibri;sans-serif"/>
                  <w:b w:val="false"/>
                  <w:sz w:val="20"/>
                  <w:u w:val="single"/>
                </w:rPr>
                <w:t>FINANCIAL INFORMATION</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Item 1.</w:t>
            </w:r>
          </w:p>
        </w:tc>
        <w:tc>
          <w:tcPr>
            <w:tcW w:w="7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inancial_statements">
              <w:r>
                <w:rPr>
                  <w:rStyle w:val="InternetLink"/>
                  <w:rFonts w:ascii="Calibri;sans-serif" w:hAnsi="Calibri;sans-serif"/>
                  <w:b w:val="false"/>
                  <w:sz w:val="20"/>
                  <w:u w:val="single"/>
                </w:rPr>
                <w:t>Financial Statements (Unaudited)</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w:t>
            </w:r>
          </w:p>
        </w:tc>
      </w:tr>
      <w:tr>
        <w:trPr/>
        <w:tc>
          <w:tcPr>
            <w:tcW w:w="78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balance_sheet">
              <w:r>
                <w:rPr>
                  <w:rStyle w:val="InternetLink"/>
                  <w:rFonts w:ascii="Calibri;sans-serif" w:hAnsi="Calibri;sans-serif"/>
                  <w:b w:val="false"/>
                  <w:sz w:val="20"/>
                  <w:u w:val="single"/>
                </w:rPr>
                <w:t>Condensed Consolidated Balance Sheets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w:t>
            </w:r>
          </w:p>
        </w:tc>
      </w:tr>
      <w:tr>
        <w:trPr/>
        <w:tc>
          <w:tcPr>
            <w:tcW w:w="78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tatement_of_operations">
              <w:r>
                <w:rPr>
                  <w:rStyle w:val="InternetLink"/>
                  <w:rFonts w:ascii="Calibri;sans-serif" w:hAnsi="Calibri;sans-serif"/>
                  <w:b w:val="false"/>
                  <w:sz w:val="20"/>
                  <w:u w:val="single"/>
                </w:rPr>
                <w:t>Condensed Consolidated Statements of Operations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oci">
              <w:r>
                <w:rPr>
                  <w:rStyle w:val="InternetLink"/>
                  <w:rFonts w:ascii="Calibri;sans-serif" w:hAnsi="Calibri;sans-serif"/>
                  <w:b w:val="false"/>
                  <w:sz w:val="20"/>
                  <w:u w:val="single"/>
                </w:rPr>
                <w:t>Condensed Consolidated Statements of Comprehensive Income</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w:t>
            </w:r>
          </w:p>
        </w:tc>
      </w:tr>
      <w:tr>
        <w:trPr/>
        <w:tc>
          <w:tcPr>
            <w:tcW w:w="78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oe">
              <w:r>
                <w:rPr>
                  <w:rStyle w:val="InternetLink"/>
                  <w:rFonts w:ascii="Calibri;sans-serif" w:hAnsi="Calibri;sans-serif"/>
                  <w:b w:val="false"/>
                  <w:sz w:val="20"/>
                  <w:u w:val="single"/>
                </w:rPr>
                <w:t>Condensed Consolidated Statements of Deficit</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w:t>
            </w:r>
          </w:p>
        </w:tc>
      </w:tr>
      <w:tr>
        <w:trPr/>
        <w:tc>
          <w:tcPr>
            <w:tcW w:w="78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ocf">
              <w:r>
                <w:rPr>
                  <w:rStyle w:val="InternetLink"/>
                  <w:rFonts w:ascii="Calibri;sans-serif" w:hAnsi="Calibri;sans-serif"/>
                  <w:b w:val="false"/>
                  <w:sz w:val="20"/>
                  <w:u w:val="single"/>
                </w:rPr>
                <w:t>Condensed Consolidated Statements of Cash Flows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w:t>
            </w:r>
          </w:p>
        </w:tc>
      </w:tr>
      <w:tr>
        <w:trPr/>
        <w:tc>
          <w:tcPr>
            <w:tcW w:w="78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_to_financials">
              <w:r>
                <w:rPr>
                  <w:rStyle w:val="InternetLink"/>
                  <w:rFonts w:ascii="Calibri;sans-serif" w:hAnsi="Calibri;sans-serif"/>
                  <w:b w:val="false"/>
                  <w:sz w:val="20"/>
                  <w:u w:val="single"/>
                </w:rPr>
                <w:t>Notes to Condensed Consolidated Financial Statements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Item 2.</w:t>
            </w:r>
          </w:p>
        </w:tc>
        <w:tc>
          <w:tcPr>
            <w:tcW w:w="7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management_discussion_analysis">
              <w:r>
                <w:rPr>
                  <w:rStyle w:val="InternetLink"/>
                  <w:rFonts w:ascii="Calibri;sans-serif" w:hAnsi="Calibri;sans-serif"/>
                  <w:b w:val="false"/>
                  <w:sz w:val="20"/>
                  <w:u w:val="single"/>
                </w:rPr>
                <w:t>Management’s Discussion and Analysis of Financial Condition and Results of Operations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21</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Item 3.</w:t>
            </w:r>
          </w:p>
        </w:tc>
        <w:tc>
          <w:tcPr>
            <w:tcW w:w="7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3_disclosures_about_marketrisk">
              <w:r>
                <w:rPr>
                  <w:rStyle w:val="InternetLink"/>
                  <w:rFonts w:ascii="Calibri;sans-serif" w:hAnsi="Calibri;sans-serif"/>
                  <w:b w:val="false"/>
                  <w:sz w:val="20"/>
                  <w:u w:val="single"/>
                </w:rPr>
                <w:t>Quantitative and Qualitative Disclosures About Market Risk</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29</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Item 4.</w:t>
            </w:r>
          </w:p>
        </w:tc>
        <w:tc>
          <w:tcPr>
            <w:tcW w:w="7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4_controls">
              <w:r>
                <w:rPr>
                  <w:rStyle w:val="InternetLink"/>
                  <w:rFonts w:ascii="Calibri;sans-serif" w:hAnsi="Calibri;sans-serif"/>
                  <w:b w:val="false"/>
                  <w:sz w:val="20"/>
                  <w:u w:val="single"/>
                </w:rPr>
                <w:t>Controls and Procedures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30</w:t>
            </w:r>
          </w:p>
        </w:tc>
      </w:tr>
      <w:tr>
        <w:trPr/>
        <w:tc>
          <w:tcPr>
            <w:tcW w:w="78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02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PART II.</w:t>
            </w:r>
          </w:p>
        </w:tc>
        <w:tc>
          <w:tcPr>
            <w:tcW w:w="7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_other_information">
              <w:r>
                <w:rPr>
                  <w:rStyle w:val="InternetLink"/>
                  <w:rFonts w:ascii="Calibri;sans-serif" w:hAnsi="Calibri;sans-serif"/>
                  <w:b w:val="false"/>
                  <w:sz w:val="20"/>
                  <w:u w:val="single"/>
                </w:rPr>
                <w:t>OTHER INFORMATION</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31</w:t>
            </w:r>
          </w:p>
        </w:tc>
      </w:tr>
      <w:tr>
        <w:trPr/>
        <w:tc>
          <w:tcPr>
            <w:tcW w:w="78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702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Item 1.</w:t>
            </w:r>
          </w:p>
        </w:tc>
        <w:tc>
          <w:tcPr>
            <w:tcW w:w="7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_item1">
              <w:r>
                <w:rPr>
                  <w:rStyle w:val="InternetLink"/>
                  <w:rFonts w:ascii="Calibri;sans-serif" w:hAnsi="Calibri;sans-serif"/>
                  <w:b w:val="false"/>
                  <w:sz w:val="20"/>
                  <w:u w:val="single"/>
                </w:rPr>
                <w:t>Legal Proceedings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31</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Item 1A.</w:t>
            </w:r>
          </w:p>
        </w:tc>
        <w:tc>
          <w:tcPr>
            <w:tcW w:w="7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1a_risk_factors">
              <w:r>
                <w:rPr>
                  <w:rStyle w:val="InternetLink"/>
                  <w:rFonts w:ascii="Calibri;sans-serif" w:hAnsi="Calibri;sans-serif"/>
                  <w:b w:val="false"/>
                  <w:sz w:val="20"/>
                  <w:u w:val="single"/>
                </w:rPr>
                <w:t>Risk Factors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31</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Item 2.</w:t>
            </w:r>
          </w:p>
        </w:tc>
        <w:tc>
          <w:tcPr>
            <w:tcW w:w="7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_item2">
              <w:r>
                <w:rPr>
                  <w:rStyle w:val="InternetLink"/>
                  <w:rFonts w:ascii="Calibri;sans-serif" w:hAnsi="Calibri;sans-serif"/>
                  <w:b w:val="false"/>
                  <w:sz w:val="20"/>
                  <w:u w:val="single"/>
                </w:rPr>
                <w:t>Unregistered Sales of Equity Securities and Use of Proceeds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31</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Item 3.</w:t>
            </w:r>
          </w:p>
        </w:tc>
        <w:tc>
          <w:tcPr>
            <w:tcW w:w="7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_item3">
              <w:r>
                <w:rPr>
                  <w:rStyle w:val="InternetLink"/>
                  <w:rFonts w:ascii="Calibri;sans-serif" w:hAnsi="Calibri;sans-serif"/>
                  <w:b w:val="false"/>
                  <w:sz w:val="20"/>
                  <w:u w:val="single"/>
                </w:rPr>
                <w:t>Defaults Upon Senior Securities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31</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Item 4.</w:t>
            </w:r>
          </w:p>
        </w:tc>
        <w:tc>
          <w:tcPr>
            <w:tcW w:w="7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_item4">
              <w:r>
                <w:rPr>
                  <w:rStyle w:val="InternetLink"/>
                  <w:rFonts w:ascii="Calibri;sans-serif" w:hAnsi="Calibri;sans-serif"/>
                  <w:b w:val="false"/>
                  <w:sz w:val="20"/>
                  <w:u w:val="single"/>
                </w:rPr>
                <w:t>Mine Safety Disclosures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31</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Item 5.</w:t>
            </w:r>
          </w:p>
        </w:tc>
        <w:tc>
          <w:tcPr>
            <w:tcW w:w="7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_item5">
              <w:r>
                <w:rPr>
                  <w:rStyle w:val="InternetLink"/>
                  <w:rFonts w:ascii="Calibri;sans-serif" w:hAnsi="Calibri;sans-serif"/>
                  <w:b w:val="false"/>
                  <w:sz w:val="20"/>
                  <w:u w:val="single"/>
                </w:rPr>
                <w:t>Other Information</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31</w:t>
            </w:r>
          </w:p>
        </w:tc>
      </w:tr>
      <w:tr>
        <w:trPr/>
        <w:tc>
          <w:tcPr>
            <w:tcW w:w="7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Item 6.</w:t>
            </w:r>
          </w:p>
        </w:tc>
        <w:tc>
          <w:tcPr>
            <w:tcW w:w="702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_item6">
              <w:r>
                <w:rPr>
                  <w:rStyle w:val="InternetLink"/>
                  <w:rFonts w:ascii="Calibri;sans-serif" w:hAnsi="Calibri;sans-serif"/>
                  <w:b w:val="false"/>
                  <w:sz w:val="20"/>
                  <w:u w:val="single"/>
                </w:rPr>
                <w:t>Exhibits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33</w:t>
            </w:r>
          </w:p>
        </w:tc>
      </w:tr>
      <w:tr>
        <w:trPr/>
        <w:tc>
          <w:tcPr>
            <w:tcW w:w="780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Calibri;sans-serif" w:hAnsi="Calibri;sans-serif"/>
                  <w:b w:val="false"/>
                  <w:sz w:val="20"/>
                  <w:u w:val="single"/>
                </w:rPr>
                <w:t>Signatures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35</w:t>
            </w:r>
          </w:p>
        </w:tc>
      </w:tr>
    </w:tbl>
    <w:p>
      <w:pPr>
        <w:pStyle w:val="TextBody"/>
        <w:spacing w:before="0" w:after="0"/>
        <w:jc w:val="left"/>
        <w:rPr/>
      </w:pPr>
      <w:r>
        <w:rPr/>
        <w:t> </w:t>
      </w:r>
    </w:p>
    <w:p>
      <w:pPr>
        <w:pStyle w:val="TextBody"/>
        <w:spacing w:before="0" w:after="0"/>
        <w:jc w:val="center"/>
        <w:rPr/>
      </w:pPr>
      <w:r>
        <w:rPr/>
        <w:t> </w:t>
      </w:r>
    </w:p>
    <w:p>
      <w:pPr>
        <w:pStyle w:val="HorizontalLine"/>
        <w:rPr/>
      </w:pPr>
      <w:r>
        <w:rPr/>
      </w:r>
    </w:p>
    <w:p>
      <w:pPr>
        <w:pStyle w:val="TextBody"/>
        <w:spacing w:before="0" w:after="0"/>
        <w:jc w:val="center"/>
        <w:rPr>
          <w:rFonts w:ascii="Calibri;sans-serif" w:hAnsi="Calibri;sans-serif"/>
          <w:b/>
          <w:caps/>
          <w:sz w:val="20"/>
        </w:rPr>
      </w:pPr>
      <w:r>
        <w:rPr>
          <w:rFonts w:ascii="Calibri;sans-serif" w:hAnsi="Calibri;sans-serif"/>
          <w:b/>
          <w:caps/>
          <w:sz w:val="20"/>
        </w:rPr>
        <w:t>forward-looking statements</w:t>
      </w:r>
    </w:p>
    <w:p>
      <w:pPr>
        <w:pStyle w:val="TextBody"/>
        <w:spacing w:before="0" w:after="0"/>
        <w:jc w:val="center"/>
        <w:rPr/>
      </w:pPr>
      <w:r>
        <w:rPr/>
        <w:t> </w:t>
      </w:r>
    </w:p>
    <w:p>
      <w:pPr>
        <w:pStyle w:val="TextBody"/>
        <w:spacing w:before="160" w:after="120"/>
        <w:jc w:val="both"/>
        <w:rPr>
          <w:rFonts w:ascii="Calibri;sans-serif" w:hAnsi="Calibri;sans-serif"/>
          <w:b w:val="false"/>
          <w:sz w:val="20"/>
        </w:rPr>
      </w:pPr>
      <w:bookmarkStart w:id="2" w:name="forward_looking_statement"/>
      <w:bookmarkEnd w:id="2"/>
      <w:r>
        <w:rPr>
          <w:rFonts w:ascii="Calibri;sans-serif" w:hAnsi="Calibri;sans-serif"/>
          <w:b w:val="false"/>
          <w:sz w:val="20"/>
        </w:rPr>
        <w:t>This Quarterly Report on Form 10-Q contains forward-looking statements regarding future events and the future results of Vivid Seats Inc. that are based on our current expectations, estimates, forecasts and projections about the industries in which we operate and the beliefs and assumptions of our management.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Words such as “expect,” “anticipate,” “target,” “goal,” “project,” “intend,” “plan,” “believe,” “seek,” “estimate,” “will,” “likely,” “may,” “designed,” “would,” “future,” “can,” “could,” and other similar expressions which are predictions of, indicate future events and trends or which do not relate to historical matters, are intended to identify such forward-looking statements. These statements are based on our current expectations and beliefs and involve a number of risks, uncertainties and assumptions that are difficult to predict.</w:t>
      </w:r>
    </w:p>
    <w:p>
      <w:pPr>
        <w:pStyle w:val="TextBody"/>
        <w:spacing w:before="160" w:after="120"/>
        <w:jc w:val="both"/>
        <w:rPr>
          <w:rFonts w:ascii="Times New Roman" w:hAnsi="Times New Roman"/>
          <w:sz w:val="20"/>
        </w:rPr>
      </w:pPr>
      <w:r>
        <w:rPr>
          <w:rFonts w:ascii="Calibri;sans-serif" w:hAnsi="Calibri;sans-serif"/>
          <w:b w:val="false"/>
          <w:sz w:val="20"/>
        </w:rPr>
        <w:t>For example, we may use forward-looking statements when addressing topics such as:</w:t>
      </w:r>
      <w:r>
        <w:rPr>
          <w:rFonts w:ascii="Times New Roman" w:hAnsi="Times New Roman"/>
          <w:sz w:val="20"/>
        </w:rPr>
        <w:t xml:space="preserve"> </w:t>
      </w:r>
    </w:p>
    <w:p>
      <w:pPr>
        <w:pStyle w:val="TextBody"/>
        <w:spacing w:before="160" w:after="120"/>
        <w:jc w:val="both"/>
        <w:rPr/>
      </w:pPr>
      <w:r>
        <w:rPr/>
        <w:t>•</w:t>
      </w:r>
    </w:p>
    <w:p>
      <w:pPr>
        <w:pStyle w:val="TextBody"/>
        <w:spacing w:before="160" w:after="120"/>
        <w:jc w:val="both"/>
        <w:rPr>
          <w:rFonts w:ascii="Calibri;sans-serif" w:hAnsi="Calibri;sans-serif"/>
          <w:b w:val="false"/>
          <w:sz w:val="20"/>
        </w:rPr>
      </w:pPr>
      <w:r>
        <w:rPr>
          <w:rFonts w:ascii="Calibri;sans-serif" w:hAnsi="Calibri;sans-serif"/>
          <w:b w:val="false"/>
          <w:sz w:val="20"/>
        </w:rPr>
        <w:t>our ability to raise financing in the future;</w:t>
      </w:r>
    </w:p>
    <w:p>
      <w:pPr>
        <w:pStyle w:val="TextBody"/>
        <w:spacing w:before="160" w:after="120"/>
        <w:jc w:val="both"/>
        <w:rPr/>
      </w:pPr>
      <w:r>
        <w:rPr/>
        <w:t>•</w:t>
      </w:r>
    </w:p>
    <w:p>
      <w:pPr>
        <w:pStyle w:val="TextBody"/>
        <w:spacing w:before="160" w:after="120"/>
        <w:jc w:val="both"/>
        <w:rPr>
          <w:rFonts w:ascii="Calibri;sans-serif" w:hAnsi="Calibri;sans-serif"/>
          <w:b w:val="false"/>
          <w:sz w:val="20"/>
        </w:rPr>
      </w:pPr>
      <w:r>
        <w:rPr>
          <w:rFonts w:ascii="Calibri;sans-serif" w:hAnsi="Calibri;sans-serif"/>
          <w:b w:val="false"/>
          <w:sz w:val="20"/>
        </w:rPr>
        <w:t>our future financial performance;</w:t>
      </w:r>
    </w:p>
    <w:p>
      <w:pPr>
        <w:pStyle w:val="TextBody"/>
        <w:spacing w:before="160" w:after="120"/>
        <w:jc w:val="both"/>
        <w:rPr/>
      </w:pPr>
      <w:r>
        <w:rPr/>
        <w:t>•</w:t>
      </w:r>
    </w:p>
    <w:p>
      <w:pPr>
        <w:pStyle w:val="TextBody"/>
        <w:spacing w:before="160" w:after="120"/>
        <w:jc w:val="both"/>
        <w:rPr>
          <w:rFonts w:ascii="Calibri;sans-serif" w:hAnsi="Calibri;sans-serif"/>
          <w:b w:val="false"/>
          <w:sz w:val="20"/>
        </w:rPr>
      </w:pPr>
      <w:r>
        <w:rPr>
          <w:rFonts w:ascii="Calibri;sans-serif" w:hAnsi="Calibri;sans-serif"/>
          <w:b w:val="false"/>
          <w:sz w:val="20"/>
        </w:rPr>
        <w:t>our success in retaining or recruiting, or changes required in, our officers, key employees or directors;</w:t>
      </w:r>
    </w:p>
    <w:p>
      <w:pPr>
        <w:pStyle w:val="TextBody"/>
        <w:spacing w:before="160" w:after="120"/>
        <w:jc w:val="both"/>
        <w:rPr/>
      </w:pPr>
      <w:r>
        <w:rPr/>
        <w:t>•</w:t>
      </w:r>
    </w:p>
    <w:p>
      <w:pPr>
        <w:pStyle w:val="TextBody"/>
        <w:spacing w:before="160" w:after="120"/>
        <w:jc w:val="both"/>
        <w:rPr>
          <w:rFonts w:ascii="Calibri;sans-serif" w:hAnsi="Calibri;sans-serif"/>
          <w:b w:val="false"/>
          <w:sz w:val="20"/>
        </w:rPr>
      </w:pPr>
      <w:r>
        <w:rPr>
          <w:rFonts w:ascii="Calibri;sans-serif" w:hAnsi="Calibri;sans-serif"/>
          <w:b w:val="false"/>
          <w:sz w:val="20"/>
        </w:rPr>
        <w:t>our ability to pay dividends on our Class A common stock on the terms currently contemplated or at all; and</w:t>
      </w:r>
    </w:p>
    <w:p>
      <w:pPr>
        <w:pStyle w:val="TextBody"/>
        <w:spacing w:before="160" w:after="120"/>
        <w:jc w:val="both"/>
        <w:rPr/>
      </w:pPr>
      <w:r>
        <w:rPr/>
        <w:t>•</w:t>
      </w:r>
    </w:p>
    <w:p>
      <w:pPr>
        <w:pStyle w:val="TextBody"/>
        <w:spacing w:before="160" w:after="120"/>
        <w:jc w:val="both"/>
        <w:rPr>
          <w:rFonts w:ascii="Calibri;sans-serif" w:hAnsi="Calibri;sans-serif"/>
          <w:b w:val="false"/>
          <w:sz w:val="20"/>
        </w:rPr>
      </w:pPr>
      <w:r>
        <w:rPr>
          <w:rFonts w:ascii="Calibri;sans-serif" w:hAnsi="Calibri;sans-serif"/>
          <w:b w:val="false"/>
          <w:sz w:val="20"/>
        </w:rPr>
        <w:t>factors relating to our business, operations and financial performance, including, but not limited to:</w:t>
      </w:r>
    </w:p>
    <w:p>
      <w:pPr>
        <w:pStyle w:val="TextBody"/>
        <w:spacing w:before="160" w:after="120"/>
        <w:jc w:val="both"/>
        <w:rPr>
          <w:rFonts w:ascii="Times New Roman" w:hAnsi="Times New Roman"/>
          <w:b w:val="false"/>
          <w:sz w:val="20"/>
        </w:rPr>
      </w:pPr>
      <w:r>
        <w:rPr>
          <w:rFonts w:ascii="Times New Roman" w:hAnsi="Times New Roman"/>
          <w:b w:val="false"/>
          <w:sz w:val="20"/>
        </w:rPr>
        <w:t>o</w:t>
      </w:r>
    </w:p>
    <w:p>
      <w:pPr>
        <w:pStyle w:val="TextBody"/>
        <w:spacing w:before="160" w:after="120"/>
        <w:jc w:val="both"/>
        <w:rPr>
          <w:rFonts w:ascii="Calibri;sans-serif" w:hAnsi="Calibri;sans-serif"/>
          <w:b w:val="false"/>
          <w:sz w:val="20"/>
        </w:rPr>
      </w:pPr>
      <w:r>
        <w:rPr>
          <w:rFonts w:ascii="Calibri;sans-serif" w:hAnsi="Calibri;sans-serif"/>
          <w:b w:val="false"/>
          <w:sz w:val="20"/>
        </w:rPr>
        <w:t>the impact of the pandemic on our business and the industries in which we operate;</w:t>
      </w:r>
    </w:p>
    <w:p>
      <w:pPr>
        <w:pStyle w:val="TextBody"/>
        <w:spacing w:before="160" w:after="120"/>
        <w:jc w:val="both"/>
        <w:rPr>
          <w:rFonts w:ascii="Times New Roman" w:hAnsi="Times New Roman"/>
          <w:b w:val="false"/>
          <w:sz w:val="20"/>
        </w:rPr>
      </w:pPr>
      <w:r>
        <w:rPr>
          <w:rFonts w:ascii="Times New Roman" w:hAnsi="Times New Roman"/>
          <w:b w:val="false"/>
          <w:sz w:val="20"/>
        </w:rPr>
        <w:t>o</w:t>
      </w:r>
    </w:p>
    <w:p>
      <w:pPr>
        <w:pStyle w:val="TextBody"/>
        <w:spacing w:before="160" w:after="120"/>
        <w:jc w:val="both"/>
        <w:rPr>
          <w:rFonts w:ascii="Calibri;sans-serif" w:hAnsi="Calibri;sans-serif"/>
          <w:b w:val="false"/>
          <w:sz w:val="20"/>
        </w:rPr>
      </w:pPr>
      <w:r>
        <w:rPr>
          <w:rFonts w:ascii="Calibri;sans-serif" w:hAnsi="Calibri;sans-serif"/>
          <w:b w:val="false"/>
          <w:sz w:val="20"/>
        </w:rPr>
        <w:t>our ability to compete in the ticketing industry;</w:t>
      </w:r>
    </w:p>
    <w:p>
      <w:pPr>
        <w:pStyle w:val="TextBody"/>
        <w:spacing w:before="160" w:after="120"/>
        <w:jc w:val="both"/>
        <w:rPr>
          <w:rFonts w:ascii="Times New Roman" w:hAnsi="Times New Roman"/>
          <w:b w:val="false"/>
          <w:sz w:val="20"/>
        </w:rPr>
      </w:pPr>
      <w:r>
        <w:rPr>
          <w:rFonts w:ascii="Times New Roman" w:hAnsi="Times New Roman"/>
          <w:b w:val="false"/>
          <w:sz w:val="20"/>
        </w:rPr>
        <w:t>o</w:t>
      </w:r>
    </w:p>
    <w:p>
      <w:pPr>
        <w:pStyle w:val="TextBody"/>
        <w:spacing w:before="160" w:after="120"/>
        <w:jc w:val="both"/>
        <w:rPr>
          <w:rFonts w:ascii="Calibri;sans-serif" w:hAnsi="Calibri;sans-serif"/>
          <w:b w:val="false"/>
          <w:sz w:val="20"/>
        </w:rPr>
      </w:pPr>
      <w:r>
        <w:rPr>
          <w:rFonts w:ascii="Calibri;sans-serif" w:hAnsi="Calibri;sans-serif"/>
          <w:b w:val="false"/>
          <w:sz w:val="20"/>
        </w:rPr>
        <w:t>our ability to maintain relationships with ticket buyers, sellers and distribution partners;</w:t>
      </w:r>
    </w:p>
    <w:p>
      <w:pPr>
        <w:pStyle w:val="TextBody"/>
        <w:spacing w:before="160" w:after="120"/>
        <w:jc w:val="both"/>
        <w:rPr>
          <w:rFonts w:ascii="Times New Roman" w:hAnsi="Times New Roman"/>
          <w:b w:val="false"/>
          <w:sz w:val="20"/>
        </w:rPr>
      </w:pPr>
      <w:r>
        <w:rPr>
          <w:rFonts w:ascii="Times New Roman" w:hAnsi="Times New Roman"/>
          <w:b w:val="false"/>
          <w:sz w:val="20"/>
        </w:rPr>
        <w:t>o</w:t>
      </w:r>
    </w:p>
    <w:p>
      <w:pPr>
        <w:pStyle w:val="TextBody"/>
        <w:spacing w:before="160" w:after="120"/>
        <w:jc w:val="both"/>
        <w:rPr>
          <w:rFonts w:ascii="Calibri;sans-serif" w:hAnsi="Calibri;sans-serif"/>
          <w:b w:val="false"/>
          <w:sz w:val="20"/>
        </w:rPr>
      </w:pPr>
      <w:r>
        <w:rPr>
          <w:rFonts w:ascii="Calibri;sans-serif" w:hAnsi="Calibri;sans-serif"/>
          <w:b w:val="false"/>
          <w:sz w:val="20"/>
        </w:rPr>
        <w:t>our ability to continue to improve our platform and maintain and enhance our brand;</w:t>
      </w:r>
    </w:p>
    <w:p>
      <w:pPr>
        <w:pStyle w:val="TextBody"/>
        <w:spacing w:before="160" w:after="120"/>
        <w:jc w:val="both"/>
        <w:rPr>
          <w:rFonts w:ascii="Times New Roman" w:hAnsi="Times New Roman"/>
          <w:b w:val="false"/>
          <w:sz w:val="20"/>
        </w:rPr>
      </w:pPr>
      <w:r>
        <w:rPr>
          <w:rFonts w:ascii="Times New Roman" w:hAnsi="Times New Roman"/>
          <w:b w:val="false"/>
          <w:sz w:val="20"/>
        </w:rPr>
        <w:t>o</w:t>
      </w:r>
    </w:p>
    <w:p>
      <w:pPr>
        <w:pStyle w:val="TextBody"/>
        <w:spacing w:before="160" w:after="120"/>
        <w:jc w:val="both"/>
        <w:rPr>
          <w:rFonts w:ascii="Calibri;sans-serif" w:hAnsi="Calibri;sans-serif"/>
          <w:b w:val="false"/>
          <w:sz w:val="20"/>
        </w:rPr>
      </w:pPr>
      <w:r>
        <w:rPr>
          <w:rFonts w:ascii="Calibri;sans-serif" w:hAnsi="Calibri;sans-serif"/>
          <w:b w:val="false"/>
          <w:sz w:val="20"/>
        </w:rPr>
        <w:t>the impact of extraordinary events or adverse economic conditions on discretionary consumer and corporate spending or on the supply and demand of live events;</w:t>
      </w:r>
    </w:p>
    <w:p>
      <w:pPr>
        <w:pStyle w:val="TextBody"/>
        <w:spacing w:before="160" w:after="120"/>
        <w:jc w:val="both"/>
        <w:rPr>
          <w:rFonts w:ascii="Times New Roman" w:hAnsi="Times New Roman"/>
          <w:b w:val="false"/>
          <w:sz w:val="20"/>
        </w:rPr>
      </w:pPr>
      <w:r>
        <w:rPr>
          <w:rFonts w:ascii="Times New Roman" w:hAnsi="Times New Roman"/>
          <w:b w:val="false"/>
          <w:sz w:val="20"/>
        </w:rPr>
        <w:t>o</w:t>
      </w:r>
    </w:p>
    <w:p>
      <w:pPr>
        <w:pStyle w:val="TextBody"/>
        <w:spacing w:before="160" w:after="120"/>
        <w:jc w:val="both"/>
        <w:rPr>
          <w:rFonts w:ascii="Calibri;sans-serif" w:hAnsi="Calibri;sans-serif"/>
          <w:b w:val="false"/>
          <w:sz w:val="20"/>
        </w:rPr>
      </w:pPr>
      <w:r>
        <w:rPr>
          <w:rFonts w:ascii="Calibri;sans-serif" w:hAnsi="Calibri;sans-serif"/>
          <w:b w:val="false"/>
          <w:sz w:val="20"/>
        </w:rPr>
        <w:t>our ability to comply with domestic regulatory regimes;</w:t>
      </w:r>
    </w:p>
    <w:p>
      <w:pPr>
        <w:pStyle w:val="TextBody"/>
        <w:spacing w:before="160" w:after="120"/>
        <w:jc w:val="both"/>
        <w:rPr>
          <w:rFonts w:ascii="Times New Roman" w:hAnsi="Times New Roman"/>
          <w:b w:val="false"/>
          <w:sz w:val="20"/>
        </w:rPr>
      </w:pPr>
      <w:r>
        <w:rPr>
          <w:rFonts w:ascii="Times New Roman" w:hAnsi="Times New Roman"/>
          <w:b w:val="false"/>
          <w:sz w:val="20"/>
        </w:rPr>
        <w:t>o</w:t>
      </w:r>
    </w:p>
    <w:p>
      <w:pPr>
        <w:pStyle w:val="TextBody"/>
        <w:spacing w:before="160" w:after="120"/>
        <w:jc w:val="both"/>
        <w:rPr>
          <w:rFonts w:ascii="Calibri;sans-serif" w:hAnsi="Calibri;sans-serif"/>
          <w:b w:val="false"/>
          <w:sz w:val="20"/>
        </w:rPr>
      </w:pPr>
      <w:r>
        <w:rPr>
          <w:rFonts w:ascii="Calibri;sans-serif" w:hAnsi="Calibri;sans-serif"/>
          <w:b w:val="false"/>
          <w:sz w:val="20"/>
        </w:rPr>
        <w:t>our ability to successfully defend against litigation;</w:t>
      </w:r>
    </w:p>
    <w:p>
      <w:pPr>
        <w:pStyle w:val="TextBody"/>
        <w:spacing w:before="160" w:after="120"/>
        <w:jc w:val="both"/>
        <w:rPr>
          <w:rFonts w:ascii="Times New Roman" w:hAnsi="Times New Roman"/>
          <w:b w:val="false"/>
          <w:sz w:val="20"/>
        </w:rPr>
      </w:pPr>
      <w:r>
        <w:rPr>
          <w:rFonts w:ascii="Times New Roman" w:hAnsi="Times New Roman"/>
          <w:b w:val="false"/>
          <w:sz w:val="20"/>
        </w:rPr>
        <w:t>o</w:t>
      </w:r>
    </w:p>
    <w:p>
      <w:pPr>
        <w:pStyle w:val="TextBody"/>
        <w:spacing w:before="160" w:after="120"/>
        <w:jc w:val="both"/>
        <w:rPr>
          <w:rFonts w:ascii="Calibri;sans-serif" w:hAnsi="Calibri;sans-serif"/>
          <w:b w:val="false"/>
          <w:sz w:val="20"/>
        </w:rPr>
      </w:pPr>
      <w:r>
        <w:rPr>
          <w:rFonts w:ascii="Calibri;sans-serif" w:hAnsi="Calibri;sans-serif"/>
          <w:b w:val="false"/>
          <w:sz w:val="20"/>
        </w:rPr>
        <w:t>our ability to maintain the integrity of our information systems and infrastructure, and to mitigate possible cyber security risks;</w:t>
      </w:r>
    </w:p>
    <w:p>
      <w:pPr>
        <w:pStyle w:val="TextBody"/>
        <w:spacing w:before="160" w:after="120"/>
        <w:jc w:val="both"/>
        <w:rPr>
          <w:rFonts w:ascii="Times New Roman" w:hAnsi="Times New Roman"/>
          <w:b w:val="false"/>
          <w:sz w:val="20"/>
        </w:rPr>
      </w:pPr>
      <w:r>
        <w:rPr>
          <w:rFonts w:ascii="Times New Roman" w:hAnsi="Times New Roman"/>
          <w:b w:val="false"/>
          <w:sz w:val="20"/>
        </w:rPr>
        <w:t>o</w:t>
      </w:r>
    </w:p>
    <w:p>
      <w:pPr>
        <w:pStyle w:val="TextBody"/>
        <w:spacing w:before="160" w:after="120"/>
        <w:jc w:val="both"/>
        <w:rPr>
          <w:rFonts w:ascii="Calibri;sans-serif" w:hAnsi="Calibri;sans-serif"/>
          <w:b w:val="false"/>
          <w:sz w:val="20"/>
        </w:rPr>
      </w:pPr>
      <w:r>
        <w:rPr>
          <w:rFonts w:ascii="Calibri;sans-serif" w:hAnsi="Calibri;sans-serif"/>
          <w:b w:val="false"/>
          <w:sz w:val="20"/>
        </w:rPr>
        <w:t>our ability to generate sufficient cash flows or raise additional capital necessary to fund our operations; and</w:t>
      </w:r>
    </w:p>
    <w:p>
      <w:pPr>
        <w:pStyle w:val="TextBody"/>
        <w:spacing w:before="160" w:after="120"/>
        <w:jc w:val="both"/>
        <w:rPr>
          <w:rFonts w:ascii="Times New Roman" w:hAnsi="Times New Roman"/>
          <w:b w:val="false"/>
          <w:sz w:val="20"/>
        </w:rPr>
      </w:pPr>
      <w:r>
        <w:rPr>
          <w:rFonts w:ascii="Times New Roman" w:hAnsi="Times New Roman"/>
          <w:b w:val="false"/>
          <w:sz w:val="20"/>
        </w:rPr>
        <w:t>o</w:t>
      </w:r>
    </w:p>
    <w:p>
      <w:pPr>
        <w:pStyle w:val="TextBody"/>
        <w:spacing w:before="160" w:after="120"/>
        <w:jc w:val="both"/>
        <w:rPr>
          <w:rFonts w:ascii="Calibri;sans-serif" w:hAnsi="Calibri;sans-serif"/>
          <w:b w:val="false"/>
          <w:sz w:val="20"/>
        </w:rPr>
      </w:pPr>
      <w:r>
        <w:rPr>
          <w:rFonts w:ascii="Calibri;sans-serif" w:hAnsi="Calibri;sans-serif"/>
          <w:b w:val="false"/>
          <w:sz w:val="20"/>
        </w:rPr>
        <w:t>other factors detailed under the section entitled “Risk Factors.”</w:t>
      </w:r>
    </w:p>
    <w:p>
      <w:pPr>
        <w:pStyle w:val="TextBody"/>
        <w:spacing w:before="160" w:after="120"/>
        <w:jc w:val="both"/>
        <w:rPr>
          <w:rFonts w:ascii="Times New Roman" w:hAnsi="Times New Roman"/>
          <w:sz w:val="20"/>
        </w:rPr>
      </w:pPr>
      <w:r>
        <w:rPr>
          <w:rFonts w:ascii="Calibri;sans-serif" w:hAnsi="Calibri;sans-serif"/>
          <w:b w:val="false"/>
          <w:sz w:val="20"/>
        </w:rPr>
        <w:t>We have based these forward-looking statements largely on our current expectations and projections about future events and financial trends that we believe may affect our business, financial condition and results of operations. Forward-looking statements are predictions and are subject to risks, uncertainties and assumptions that are difficult to predict. Therefore, actual results may differ materially and adversely from those expressed in any forward-looking statements. You are cautioned not to place undue reliance on these forward-looking statements, which speak only as of the date of this document, or in the case of statements incorporated by reference, on the date of the document incorporated by reference.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r>
        <w:rPr>
          <w:rFonts w:ascii="Times New Roman" w:hAnsi="Times New Roman"/>
          <w:sz w:val="20"/>
        </w:rPr>
        <w:t xml:space="preserve"> </w:t>
      </w:r>
    </w:p>
    <w:p>
      <w:pPr>
        <w:pStyle w:val="TextBody"/>
        <w:spacing w:before="0" w:after="0"/>
        <w:jc w:val="center"/>
        <w:rPr>
          <w:rFonts w:ascii="Calibri;sans-serif" w:hAnsi="Calibri;sans-serif"/>
          <w:b w:val="false"/>
          <w:sz w:val="20"/>
        </w:rPr>
      </w:pPr>
      <w:r>
        <w:rPr>
          <w:rFonts w:ascii="Calibri;sans-serif" w:hAnsi="Calibri;sans-serif"/>
          <w:b w:val="false"/>
          <w:sz w:val="20"/>
        </w:rPr>
        <w:t>1</w:t>
      </w:r>
    </w:p>
    <w:p>
      <w:pPr>
        <w:pStyle w:val="HorizontalLine"/>
        <w:rPr/>
      </w:pPr>
      <w:r>
        <w:rPr/>
      </w:r>
    </w:p>
    <w:p>
      <w:pPr>
        <w:pStyle w:val="TextBody"/>
        <w:spacing w:before="0" w:after="0"/>
        <w:jc w:val="center"/>
        <w:rPr/>
      </w:pPr>
      <w:r>
        <w:rPr/>
        <w:t> </w:t>
      </w:r>
    </w:p>
    <w:p>
      <w:pPr>
        <w:pStyle w:val="TextBody"/>
        <w:spacing w:before="160" w:after="120"/>
        <w:jc w:val="both"/>
        <w:rPr>
          <w:rFonts w:ascii="Calibri;sans-serif" w:hAnsi="Calibri;sans-serif"/>
          <w:b w:val="false"/>
          <w:sz w:val="20"/>
        </w:rPr>
      </w:pPr>
      <w:r>
        <w:rPr>
          <w:rFonts w:ascii="Calibri;sans-serif" w:hAnsi="Calibri;sans-serif"/>
          <w:b w:val="false"/>
          <w:sz w:val="20"/>
        </w:rPr>
        <w:t>Factors that might cause or contribute to such differences include, but are not limited to, those discussed in this Quarterly Report on Form 10-Q, under the sections entitled “Management’s Discussion and Analysis of Financial Condition and Results of Operations,” in our Annual Report on Form 10-K for the fiscal year ended December 31, 2022, which was filed with the Securities and Exchange Commission (the “SEC”) on March 7, 2023, under the section entitled “Risk Factors,” in our press releases, and in our other filings with the SEC.</w:t>
      </w:r>
    </w:p>
    <w:p>
      <w:pPr>
        <w:pStyle w:val="TextBody"/>
        <w:spacing w:before="160" w:after="120"/>
        <w:jc w:val="both"/>
        <w:rPr>
          <w:rFonts w:ascii="Calibri;sans-serif" w:hAnsi="Calibri;sans-serif"/>
          <w:b w:val="false"/>
          <w:sz w:val="20"/>
        </w:rPr>
      </w:pPr>
      <w:r>
        <w:rPr>
          <w:rFonts w:ascii="Calibri;sans-serif" w:hAnsi="Calibri;sans-serif"/>
          <w:b w:val="false"/>
          <w:sz w:val="20"/>
        </w:rPr>
        <w:t>Except as required by applicable law, we do not plan to publicly update or revise any forward-looking statements contained in this Quarterly Report on Form 10-Q, whether as a result of new information, future events, or risks. New information, future events, or risks may cause the forward-looking events we discuss in this report not to occur.</w:t>
      </w:r>
    </w:p>
    <w:p>
      <w:pPr>
        <w:pStyle w:val="TextBody"/>
        <w:spacing w:before="0" w:after="0"/>
        <w:jc w:val="center"/>
        <w:rPr>
          <w:rFonts w:ascii="Calibri;sans-serif" w:hAnsi="Calibri;sans-serif"/>
          <w:b w:val="false"/>
          <w:sz w:val="20"/>
        </w:rPr>
      </w:pPr>
      <w:r>
        <w:rPr>
          <w:rFonts w:ascii="Calibri;sans-serif" w:hAnsi="Calibri;sans-serif"/>
          <w:b w:val="false"/>
          <w:sz w:val="20"/>
        </w:rPr>
        <w:t>2</w:t>
      </w:r>
    </w:p>
    <w:p>
      <w:pPr>
        <w:pStyle w:val="HorizontalLine"/>
        <w:rPr/>
      </w:pPr>
      <w:r>
        <w:rPr/>
      </w:r>
    </w:p>
    <w:p>
      <w:pPr>
        <w:pStyle w:val="TextBody"/>
        <w:spacing w:before="0" w:after="0"/>
        <w:jc w:val="center"/>
        <w:rPr>
          <w:rFonts w:ascii="Calibri;sans-serif" w:hAnsi="Calibri;sans-serif"/>
          <w:b/>
          <w:smallCaps/>
          <w:sz w:val="20"/>
        </w:rPr>
      </w:pPr>
      <w:r>
        <w:rPr>
          <w:rFonts w:ascii="Calibri;sans-serif" w:hAnsi="Calibri;sans-serif"/>
          <w:b/>
          <w:smallCaps/>
          <w:sz w:val="20"/>
        </w:rPr>
        <w:t>VIVID SEATS INC.</w:t>
      </w:r>
    </w:p>
    <w:p>
      <w:pPr>
        <w:pStyle w:val="TextBody"/>
        <w:spacing w:before="0" w:after="0"/>
        <w:jc w:val="center"/>
        <w:rPr>
          <w:rFonts w:ascii="Calibri;sans-serif" w:hAnsi="Calibri;sans-serif"/>
          <w:b/>
          <w:smallCaps/>
          <w:sz w:val="20"/>
        </w:rPr>
      </w:pPr>
      <w:r>
        <w:rPr>
          <w:rFonts w:ascii="Calibri;sans-serif" w:hAnsi="Calibri;sans-serif"/>
          <w:b/>
          <w:smallCaps/>
          <w:sz w:val="20"/>
        </w:rPr>
        <w:t>CONDENSED CONSOLIDATED BALANCE SHEETS</w:t>
      </w:r>
    </w:p>
    <w:p>
      <w:pPr>
        <w:pStyle w:val="TextBody"/>
        <w:spacing w:before="0" w:after="120"/>
        <w:jc w:val="center"/>
        <w:rPr>
          <w:rFonts w:ascii="Calibri;sans-serif" w:hAnsi="Calibri;sans-serif"/>
          <w:b/>
          <w:sz w:val="20"/>
        </w:rPr>
      </w:pPr>
      <w:r>
        <w:rPr>
          <w:rFonts w:ascii="Calibri;sans-serif" w:hAnsi="Calibri;sans-serif"/>
          <w:b/>
          <w:sz w:val="20"/>
        </w:rPr>
        <w:t>(in thousands, except per share data) (Unaudited)</w:t>
      </w:r>
    </w:p>
    <w:p>
      <w:pPr>
        <w:pStyle w:val="TextBody"/>
        <w:spacing w:before="0" w:after="120"/>
        <w:jc w:val="center"/>
        <w:rPr/>
      </w:pPr>
      <w:r>
        <w:rPr/>
        <w:t> </w:t>
      </w:r>
    </w:p>
    <w:p>
      <w:pPr>
        <w:pStyle w:val="TextBody"/>
        <w:spacing w:before="0" w:after="0"/>
        <w:jc w:val="left"/>
        <w:rPr/>
      </w:pPr>
      <w:bookmarkStart w:id="3" w:name="financial_statements"/>
      <w:bookmarkStart w:id="4" w:name="financial_info"/>
      <w:bookmarkStart w:id="5" w:name="balance_sheet"/>
      <w:bookmarkEnd w:id="3"/>
      <w:bookmarkEnd w:id="4"/>
      <w:bookmarkEnd w:id="5"/>
      <w:r>
        <w:rPr/>
        <w:t> </w:t>
      </w:r>
    </w:p>
    <w:tbl>
      <w:tblPr>
        <w:tblW w:w="10205" w:type="dxa"/>
        <w:jc w:val="left"/>
        <w:tblInd w:w="0" w:type="dxa"/>
        <w:tblCellMar>
          <w:top w:w="28" w:type="dxa"/>
          <w:left w:w="28" w:type="dxa"/>
          <w:bottom w:w="28" w:type="dxa"/>
          <w:right w:w="28" w:type="dxa"/>
        </w:tblCellMar>
      </w:tblPr>
      <w:tblGrid>
        <w:gridCol w:w="7013"/>
        <w:gridCol w:w="146"/>
        <w:gridCol w:w="211"/>
        <w:gridCol w:w="991"/>
        <w:gridCol w:w="166"/>
        <w:gridCol w:w="146"/>
        <w:gridCol w:w="214"/>
        <w:gridCol w:w="1006"/>
        <w:gridCol w:w="312"/>
      </w:tblGrid>
      <w:tr>
        <w:trPr/>
        <w:tc>
          <w:tcPr>
            <w:tcW w:w="70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r>
      <w:tr>
        <w:trPr/>
        <w:tc>
          <w:tcPr>
            <w:tcW w:w="701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2" w:type="dxa"/>
            <w:gridSpan w:val="2"/>
            <w:tcBorders/>
            <w:shd w:fill="auto" w:val="cle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0" w:type="dxa"/>
            <w:gridSpan w:val="2"/>
            <w:tcBorders/>
            <w:shd w:fill="auto" w:val="cle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December 31,</w:t>
            </w:r>
          </w:p>
        </w:tc>
        <w:tc>
          <w:tcPr>
            <w:tcW w:w="312" w:type="dxa"/>
            <w:tcBorders/>
            <w:shd w:fill="auto" w:val="clear"/>
            <w:vAlign w:val="center"/>
          </w:tcPr>
          <w:p>
            <w:pPr>
              <w:pStyle w:val="TableContents"/>
              <w:spacing w:before="0" w:after="0"/>
              <w:ind w:left="0" w:right="0" w:hanging="0"/>
              <w:jc w:val="center"/>
              <w:rPr/>
            </w:pPr>
            <w:r>
              <w:rPr/>
              <w:t> </w:t>
            </w:r>
          </w:p>
        </w:tc>
      </w:tr>
      <w:tr>
        <w:trPr/>
        <w:tc>
          <w:tcPr>
            <w:tcW w:w="701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2022</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013"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202"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0" w:type="dxa"/>
            <w:gridSpan w:val="2"/>
            <w:tcBorders/>
            <w:shd w:fill="auto" w:val="clear"/>
            <w:vAlign w:val="center"/>
          </w:tcPr>
          <w:p>
            <w:pPr>
              <w:pStyle w:val="TableContents"/>
              <w:spacing w:before="0" w:after="283"/>
              <w:ind w:left="0" w:right="0" w:hanging="0"/>
              <w:rPr>
                <w:sz w:val="4"/>
                <w:szCs w:val="4"/>
              </w:rPr>
            </w:pPr>
            <w:r>
              <w:rPr>
                <w:sz w:val="4"/>
                <w:szCs w:val="4"/>
              </w:rPr>
            </w:r>
          </w:p>
        </w:tc>
        <w:tc>
          <w:tcPr>
            <w:tcW w:w="312" w:type="dxa"/>
            <w:tcBorders/>
            <w:shd w:fill="auto" w:val="clear"/>
            <w:vAlign w:val="center"/>
          </w:tcPr>
          <w:p>
            <w:pPr>
              <w:pStyle w:val="TableContents"/>
              <w:spacing w:before="0" w:after="0"/>
              <w:ind w:left="0" w:right="0" w:hanging="0"/>
              <w:jc w:val="center"/>
              <w:rPr/>
            </w:pPr>
            <w:r>
              <w:rPr/>
              <w:t> </w:t>
            </w:r>
          </w:p>
        </w:tc>
      </w:tr>
      <w:tr>
        <w:trPr/>
        <w:tc>
          <w:tcPr>
            <w:tcW w:w="7013"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20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0" w:type="dxa"/>
            <w:gridSpan w:val="2"/>
            <w:tcBorders/>
            <w:shd w:fill="auto" w:val="clear"/>
            <w:vAlign w:val="center"/>
          </w:tcPr>
          <w:p>
            <w:pPr>
              <w:pStyle w:val="TableContents"/>
              <w:spacing w:before="0" w:after="0"/>
              <w:ind w:left="0" w:right="0" w:hanging="0"/>
              <w:jc w:val="right"/>
              <w:rPr/>
            </w:pPr>
            <w:r>
              <w:rPr/>
              <w:t> </w:t>
            </w:r>
          </w:p>
        </w:tc>
        <w:tc>
          <w:tcPr>
            <w:tcW w:w="312" w:type="dxa"/>
            <w:tcBorders/>
            <w:shd w:fill="auto" w:val="clear"/>
            <w:vAlign w:val="center"/>
          </w:tcPr>
          <w:p>
            <w:pPr>
              <w:pStyle w:val="TableContents"/>
              <w:spacing w:before="0" w:after="0"/>
              <w:ind w:left="0" w:right="0" w:firstLine="100"/>
              <w:jc w:val="right"/>
              <w:rPr/>
            </w:pPr>
            <w:r>
              <w:rPr/>
              <w:t> </w:t>
            </w:r>
          </w:p>
        </w:tc>
      </w:tr>
      <w:tr>
        <w:trPr/>
        <w:tc>
          <w:tcPr>
            <w:tcW w:w="7013"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303,319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00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251,542</w:t>
            </w:r>
          </w:p>
        </w:tc>
        <w:tc>
          <w:tcPr>
            <w:tcW w:w="312" w:type="dxa"/>
            <w:tcBorders/>
            <w:shd w:fill="auto" w:val="clear"/>
            <w:vAlign w:val="center"/>
          </w:tcPr>
          <w:p>
            <w:pPr>
              <w:pStyle w:val="TableContents"/>
              <w:spacing w:before="0" w:after="0"/>
              <w:ind w:left="0" w:right="0" w:firstLine="100"/>
              <w:jc w:val="left"/>
              <w:rPr/>
            </w:pPr>
            <w:r>
              <w:rPr/>
              <w:t> </w:t>
            </w:r>
          </w:p>
        </w:tc>
      </w:tr>
      <w:tr>
        <w:trPr/>
        <w:tc>
          <w:tcPr>
            <w:tcW w:w="7013"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748</w:t>
            </w:r>
          </w:p>
        </w:tc>
        <w:tc>
          <w:tcPr>
            <w:tcW w:w="312" w:type="dxa"/>
            <w:tcBorders/>
            <w:shd w:fill="auto" w:val="clear"/>
            <w:vAlign w:val="center"/>
          </w:tcPr>
          <w:p>
            <w:pPr>
              <w:pStyle w:val="TableContents"/>
              <w:spacing w:before="0" w:after="0"/>
              <w:ind w:left="0" w:right="0" w:firstLine="100"/>
              <w:jc w:val="left"/>
              <w:rPr/>
            </w:pPr>
            <w:r>
              <w:rPr/>
              <w:t> </w:t>
            </w:r>
          </w:p>
        </w:tc>
      </w:tr>
      <w:tr>
        <w:trPr/>
        <w:tc>
          <w:tcPr>
            <w:tcW w:w="7013"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Accounts receivable –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46,531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36,531</w:t>
            </w:r>
          </w:p>
        </w:tc>
        <w:tc>
          <w:tcPr>
            <w:tcW w:w="312" w:type="dxa"/>
            <w:tcBorders/>
            <w:shd w:fill="auto" w:val="clear"/>
            <w:vAlign w:val="center"/>
          </w:tcPr>
          <w:p>
            <w:pPr>
              <w:pStyle w:val="TableContents"/>
              <w:spacing w:before="0" w:after="0"/>
              <w:ind w:left="0" w:right="0" w:firstLine="100"/>
              <w:jc w:val="left"/>
              <w:rPr/>
            </w:pPr>
            <w:r>
              <w:rPr/>
              <w:t> </w:t>
            </w:r>
          </w:p>
        </w:tc>
      </w:tr>
      <w:tr>
        <w:trPr/>
        <w:tc>
          <w:tcPr>
            <w:tcW w:w="7013"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Inventory –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24,153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12,783</w:t>
            </w:r>
          </w:p>
        </w:tc>
        <w:tc>
          <w:tcPr>
            <w:tcW w:w="312" w:type="dxa"/>
            <w:tcBorders/>
            <w:shd w:fill="auto" w:val="clear"/>
            <w:vAlign w:val="center"/>
          </w:tcPr>
          <w:p>
            <w:pPr>
              <w:pStyle w:val="TableContents"/>
              <w:spacing w:before="0" w:after="0"/>
              <w:ind w:left="0" w:right="0" w:firstLine="100"/>
              <w:jc w:val="left"/>
              <w:rPr/>
            </w:pPr>
            <w:r>
              <w:rPr/>
              <w:t> </w:t>
            </w:r>
          </w:p>
        </w:tc>
      </w:tr>
      <w:tr>
        <w:trPr/>
        <w:tc>
          <w:tcPr>
            <w:tcW w:w="7013"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33,329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29,912</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13"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408,007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331,516</w:t>
            </w:r>
          </w:p>
        </w:tc>
        <w:tc>
          <w:tcPr>
            <w:tcW w:w="312" w:type="dxa"/>
            <w:tcBorders/>
            <w:shd w:fill="auto" w:val="clear"/>
            <w:vAlign w:val="center"/>
          </w:tcPr>
          <w:p>
            <w:pPr>
              <w:pStyle w:val="TableContents"/>
              <w:spacing w:before="0" w:after="0"/>
              <w:ind w:left="0" w:right="0" w:hanging="0"/>
              <w:jc w:val="left"/>
              <w:rPr/>
            </w:pPr>
            <w:r>
              <w:rPr/>
              <w:t> </w:t>
            </w:r>
          </w:p>
        </w:tc>
      </w:tr>
      <w:tr>
        <w:trPr/>
        <w:tc>
          <w:tcPr>
            <w:tcW w:w="7013"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Property and equipment –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10,308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10,431</w:t>
            </w:r>
          </w:p>
        </w:tc>
        <w:tc>
          <w:tcPr>
            <w:tcW w:w="312" w:type="dxa"/>
            <w:tcBorders/>
            <w:shd w:fill="auto" w:val="clear"/>
            <w:vAlign w:val="center"/>
          </w:tcPr>
          <w:p>
            <w:pPr>
              <w:pStyle w:val="TableContents"/>
              <w:spacing w:before="0" w:after="0"/>
              <w:ind w:left="0" w:right="0" w:hanging="0"/>
              <w:jc w:val="left"/>
              <w:rPr/>
            </w:pPr>
            <w:r>
              <w:rPr/>
              <w:t> </w:t>
            </w:r>
          </w:p>
        </w:tc>
      </w:tr>
      <w:tr>
        <w:trPr/>
        <w:tc>
          <w:tcPr>
            <w:tcW w:w="7013"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Right-of-use assets –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7,710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7,859</w:t>
            </w:r>
          </w:p>
        </w:tc>
        <w:tc>
          <w:tcPr>
            <w:tcW w:w="312" w:type="dxa"/>
            <w:tcBorders/>
            <w:shd w:fill="auto" w:val="clear"/>
            <w:vAlign w:val="center"/>
          </w:tcPr>
          <w:p>
            <w:pPr>
              <w:pStyle w:val="TableContents"/>
              <w:spacing w:before="0" w:after="0"/>
              <w:ind w:left="0" w:right="0" w:hanging="0"/>
              <w:jc w:val="left"/>
              <w:rPr/>
            </w:pPr>
            <w:r>
              <w:rPr/>
              <w:t> </w:t>
            </w:r>
          </w:p>
        </w:tc>
      </w:tr>
      <w:tr>
        <w:trPr/>
        <w:tc>
          <w:tcPr>
            <w:tcW w:w="7013"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Intangible assets –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81,800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81,976</w:t>
            </w:r>
          </w:p>
        </w:tc>
        <w:tc>
          <w:tcPr>
            <w:tcW w:w="312" w:type="dxa"/>
            <w:tcBorders/>
            <w:shd w:fill="auto" w:val="clear"/>
            <w:vAlign w:val="center"/>
          </w:tcPr>
          <w:p>
            <w:pPr>
              <w:pStyle w:val="TableContents"/>
              <w:spacing w:before="0" w:after="0"/>
              <w:ind w:left="0" w:right="0" w:hanging="0"/>
              <w:jc w:val="left"/>
              <w:rPr/>
            </w:pPr>
            <w:r>
              <w:rPr/>
              <w:t> </w:t>
            </w:r>
          </w:p>
        </w:tc>
      </w:tr>
      <w:tr>
        <w:trPr/>
        <w:tc>
          <w:tcPr>
            <w:tcW w:w="7013"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715,258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715,258</w:t>
            </w:r>
          </w:p>
        </w:tc>
        <w:tc>
          <w:tcPr>
            <w:tcW w:w="312" w:type="dxa"/>
            <w:tcBorders/>
            <w:shd w:fill="auto" w:val="clear"/>
            <w:vAlign w:val="center"/>
          </w:tcPr>
          <w:p>
            <w:pPr>
              <w:pStyle w:val="TableContents"/>
              <w:spacing w:before="0" w:after="0"/>
              <w:ind w:left="0" w:right="0" w:hanging="0"/>
              <w:jc w:val="left"/>
              <w:rPr/>
            </w:pPr>
            <w:r>
              <w:rPr/>
              <w:t> </w:t>
            </w:r>
          </w:p>
        </w:tc>
      </w:tr>
      <w:tr>
        <w:trPr/>
        <w:tc>
          <w:tcPr>
            <w:tcW w:w="7013"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Other non-current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4,432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4,391</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13"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9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1,227,515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10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1,151,431</w:t>
            </w:r>
          </w:p>
        </w:tc>
        <w:tc>
          <w:tcPr>
            <w:tcW w:w="3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13"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Liabilities and shareholders’ deficit</w:t>
            </w:r>
          </w:p>
        </w:tc>
        <w:tc>
          <w:tcPr>
            <w:tcW w:w="146" w:type="dxa"/>
            <w:tcBorders/>
            <w:shd w:fill="auto" w:val="clear"/>
            <w:vAlign w:val="center"/>
          </w:tcPr>
          <w:p>
            <w:pPr>
              <w:pStyle w:val="TableContents"/>
              <w:spacing w:before="0" w:after="0"/>
              <w:ind w:left="0" w:right="0" w:hanging="0"/>
              <w:jc w:val="left"/>
              <w:rPr/>
            </w:pPr>
            <w:r>
              <w:rPr/>
              <w:t> </w:t>
            </w:r>
          </w:p>
        </w:tc>
        <w:tc>
          <w:tcPr>
            <w:tcW w:w="120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0" w:type="dxa"/>
            <w:gridSpan w:val="2"/>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r>
      <w:tr>
        <w:trPr/>
        <w:tc>
          <w:tcPr>
            <w:tcW w:w="7013"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20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0" w:type="dxa"/>
            <w:gridSpan w:val="2"/>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firstLine="100"/>
              <w:jc w:val="left"/>
              <w:rPr/>
            </w:pPr>
            <w:r>
              <w:rPr/>
              <w:t> </w:t>
            </w:r>
          </w:p>
        </w:tc>
      </w:tr>
      <w:tr>
        <w:trPr/>
        <w:tc>
          <w:tcPr>
            <w:tcW w:w="7013"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218,138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00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161,312</w:t>
            </w:r>
          </w:p>
        </w:tc>
        <w:tc>
          <w:tcPr>
            <w:tcW w:w="312" w:type="dxa"/>
            <w:tcBorders/>
            <w:shd w:fill="auto" w:val="clear"/>
            <w:vAlign w:val="center"/>
          </w:tcPr>
          <w:p>
            <w:pPr>
              <w:pStyle w:val="TableContents"/>
              <w:spacing w:before="0" w:after="0"/>
              <w:ind w:left="0" w:right="0" w:firstLine="100"/>
              <w:jc w:val="left"/>
              <w:rPr/>
            </w:pPr>
            <w:r>
              <w:rPr/>
              <w:t> </w:t>
            </w:r>
          </w:p>
        </w:tc>
      </w:tr>
      <w:tr>
        <w:trPr/>
        <w:tc>
          <w:tcPr>
            <w:tcW w:w="7013"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Accrued expenses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183,765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181,970</w:t>
            </w:r>
          </w:p>
        </w:tc>
        <w:tc>
          <w:tcPr>
            <w:tcW w:w="312" w:type="dxa"/>
            <w:tcBorders/>
            <w:shd w:fill="auto" w:val="clear"/>
            <w:vAlign w:val="center"/>
          </w:tcPr>
          <w:p>
            <w:pPr>
              <w:pStyle w:val="TableContents"/>
              <w:spacing w:before="0" w:after="0"/>
              <w:ind w:left="0" w:right="0" w:firstLine="100"/>
              <w:jc w:val="left"/>
              <w:rPr/>
            </w:pPr>
            <w:r>
              <w:rPr/>
              <w:t> </w:t>
            </w:r>
          </w:p>
        </w:tc>
      </w:tr>
      <w:tr>
        <w:trPr/>
        <w:tc>
          <w:tcPr>
            <w:tcW w:w="7013"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25,920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31,983</w:t>
            </w:r>
          </w:p>
        </w:tc>
        <w:tc>
          <w:tcPr>
            <w:tcW w:w="312" w:type="dxa"/>
            <w:tcBorders/>
            <w:shd w:fill="auto" w:val="clear"/>
            <w:vAlign w:val="center"/>
          </w:tcPr>
          <w:p>
            <w:pPr>
              <w:pStyle w:val="TableContents"/>
              <w:spacing w:before="0" w:after="0"/>
              <w:ind w:left="0" w:right="0" w:firstLine="100"/>
              <w:jc w:val="left"/>
              <w:rPr/>
            </w:pPr>
            <w:r>
              <w:rPr/>
              <w:t> </w:t>
            </w:r>
          </w:p>
        </w:tc>
      </w:tr>
      <w:tr>
        <w:trPr/>
        <w:tc>
          <w:tcPr>
            <w:tcW w:w="7013"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Current maturities of long-term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2,750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2,750</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13"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430,573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378,015</w:t>
            </w:r>
          </w:p>
        </w:tc>
        <w:tc>
          <w:tcPr>
            <w:tcW w:w="312" w:type="dxa"/>
            <w:tcBorders/>
            <w:shd w:fill="auto" w:val="clear"/>
            <w:vAlign w:val="center"/>
          </w:tcPr>
          <w:p>
            <w:pPr>
              <w:pStyle w:val="TableContents"/>
              <w:spacing w:before="0" w:after="0"/>
              <w:ind w:left="0" w:right="0" w:hanging="0"/>
              <w:jc w:val="left"/>
              <w:rPr/>
            </w:pPr>
            <w:r>
              <w:rPr/>
              <w:t> </w:t>
            </w:r>
          </w:p>
        </w:tc>
      </w:tr>
      <w:tr>
        <w:trPr/>
        <w:tc>
          <w:tcPr>
            <w:tcW w:w="7013"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Long-term debt –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264,384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264,898</w:t>
            </w:r>
          </w:p>
        </w:tc>
        <w:tc>
          <w:tcPr>
            <w:tcW w:w="312" w:type="dxa"/>
            <w:tcBorders/>
            <w:shd w:fill="auto" w:val="clear"/>
            <w:vAlign w:val="center"/>
          </w:tcPr>
          <w:p>
            <w:pPr>
              <w:pStyle w:val="TableContents"/>
              <w:spacing w:before="0" w:after="0"/>
              <w:ind w:left="0" w:right="0" w:hanging="0"/>
              <w:jc w:val="left"/>
              <w:rPr/>
            </w:pPr>
            <w:r>
              <w:rPr/>
              <w:t> </w:t>
            </w:r>
          </w:p>
        </w:tc>
      </w:tr>
      <w:tr>
        <w:trPr/>
        <w:tc>
          <w:tcPr>
            <w:tcW w:w="7013"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Long-term 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14,850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14,911</w:t>
            </w:r>
          </w:p>
        </w:tc>
        <w:tc>
          <w:tcPr>
            <w:tcW w:w="312" w:type="dxa"/>
            <w:tcBorders/>
            <w:shd w:fill="auto" w:val="clear"/>
            <w:vAlign w:val="center"/>
          </w:tcPr>
          <w:p>
            <w:pPr>
              <w:pStyle w:val="TableContents"/>
              <w:spacing w:before="0" w:after="0"/>
              <w:ind w:left="0" w:right="0" w:hanging="0"/>
              <w:jc w:val="left"/>
              <w:rPr/>
            </w:pPr>
            <w:r>
              <w:rPr/>
              <w:t> </w:t>
            </w:r>
          </w:p>
        </w:tc>
      </w:tr>
      <w:tr>
        <w:trPr/>
        <w:tc>
          <w:tcPr>
            <w:tcW w:w="7013"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Other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13,118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13,445</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013"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Total long-term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292,352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293,254</w:t>
            </w:r>
          </w:p>
        </w:tc>
        <w:tc>
          <w:tcPr>
            <w:tcW w:w="312" w:type="dxa"/>
            <w:tcBorders/>
            <w:shd w:fill="auto" w:val="clear"/>
            <w:vAlign w:val="center"/>
          </w:tcPr>
          <w:p>
            <w:pPr>
              <w:pStyle w:val="TableContents"/>
              <w:spacing w:before="0" w:after="0"/>
              <w:ind w:left="0" w:right="0" w:hanging="0"/>
              <w:jc w:val="left"/>
              <w:rPr/>
            </w:pPr>
            <w:r>
              <w:rPr/>
              <w:t> </w:t>
            </w:r>
          </w:p>
        </w:tc>
      </w:tr>
      <w:tr>
        <w:trPr/>
        <w:tc>
          <w:tcPr>
            <w:tcW w:w="7013"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Commitments and contingencies (Note 11)</w:t>
            </w:r>
          </w:p>
        </w:tc>
        <w:tc>
          <w:tcPr>
            <w:tcW w:w="146" w:type="dxa"/>
            <w:tcBorders/>
            <w:shd w:fill="auto" w:val="clear"/>
            <w:vAlign w:val="center"/>
          </w:tcPr>
          <w:p>
            <w:pPr>
              <w:pStyle w:val="TableContents"/>
              <w:spacing w:before="0" w:after="0"/>
              <w:ind w:left="0" w:right="0" w:hanging="0"/>
              <w:jc w:val="left"/>
              <w:rPr/>
            </w:pPr>
            <w:r>
              <w:rPr/>
              <w:t> </w:t>
            </w:r>
          </w:p>
        </w:tc>
        <w:tc>
          <w:tcPr>
            <w:tcW w:w="120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0" w:type="dxa"/>
            <w:gridSpan w:val="2"/>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r>
      <w:tr>
        <w:trPr/>
        <w:tc>
          <w:tcPr>
            <w:tcW w:w="7013"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Redeemable 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901,866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862,860</w:t>
            </w:r>
          </w:p>
        </w:tc>
        <w:tc>
          <w:tcPr>
            <w:tcW w:w="312" w:type="dxa"/>
            <w:tcBorders/>
            <w:shd w:fill="auto" w:val="clear"/>
            <w:vAlign w:val="center"/>
          </w:tcPr>
          <w:p>
            <w:pPr>
              <w:pStyle w:val="TableContents"/>
              <w:spacing w:before="0" w:after="0"/>
              <w:ind w:left="0" w:right="0" w:hanging="0"/>
              <w:jc w:val="left"/>
              <w:rPr/>
            </w:pPr>
            <w:r>
              <w:rPr/>
              <w:t> </w:t>
            </w:r>
          </w:p>
        </w:tc>
      </w:tr>
      <w:tr>
        <w:trPr/>
        <w:tc>
          <w:tcPr>
            <w:tcW w:w="701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0" w:type="dxa"/>
            <w:gridSpan w:val="2"/>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hanging="0"/>
              <w:jc w:val="left"/>
              <w:rPr/>
            </w:pPr>
            <w:r>
              <w:rPr/>
              <w:t> </w:t>
            </w:r>
          </w:p>
        </w:tc>
      </w:tr>
      <w:tr>
        <w:trPr/>
        <w:tc>
          <w:tcPr>
            <w:tcW w:w="7013"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Shareholders' deficit</w:t>
            </w:r>
          </w:p>
        </w:tc>
        <w:tc>
          <w:tcPr>
            <w:tcW w:w="146" w:type="dxa"/>
            <w:tcBorders/>
            <w:shd w:fill="auto" w:val="clear"/>
            <w:vAlign w:val="center"/>
          </w:tcPr>
          <w:p>
            <w:pPr>
              <w:pStyle w:val="TableContents"/>
              <w:spacing w:before="0" w:after="0"/>
              <w:ind w:left="0" w:right="0" w:hanging="0"/>
              <w:jc w:val="left"/>
              <w:rPr/>
            </w:pPr>
            <w:r>
              <w:rPr/>
              <w:t> </w:t>
            </w:r>
          </w:p>
        </w:tc>
        <w:tc>
          <w:tcPr>
            <w:tcW w:w="120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20" w:type="dxa"/>
            <w:gridSpan w:val="2"/>
            <w:tcBorders/>
            <w:shd w:fill="auto" w:val="clear"/>
            <w:vAlign w:val="center"/>
          </w:tcPr>
          <w:p>
            <w:pPr>
              <w:pStyle w:val="TableContents"/>
              <w:spacing w:before="0" w:after="0"/>
              <w:ind w:left="0" w:right="0" w:hanging="0"/>
              <w:jc w:val="left"/>
              <w:rPr/>
            </w:pPr>
            <w:r>
              <w:rPr/>
              <w:t> </w:t>
            </w:r>
          </w:p>
        </w:tc>
        <w:tc>
          <w:tcPr>
            <w:tcW w:w="312" w:type="dxa"/>
            <w:tcBorders/>
            <w:shd w:fill="auto" w:val="clear"/>
            <w:vAlign w:val="center"/>
          </w:tcPr>
          <w:p>
            <w:pPr>
              <w:pStyle w:val="TableContents"/>
              <w:spacing w:before="0" w:after="0"/>
              <w:ind w:left="0" w:right="0" w:firstLine="100"/>
              <w:jc w:val="left"/>
              <w:rPr/>
            </w:pPr>
            <w:r>
              <w:rPr/>
              <w:t> </w:t>
            </w:r>
          </w:p>
        </w:tc>
      </w:tr>
      <w:tr>
        <w:trPr/>
        <w:tc>
          <w:tcPr>
            <w:tcW w:w="7013" w:type="dxa"/>
            <w:tcBorders/>
            <w:shd w:fill="auto" w:val="clear"/>
            <w:vAlign w:val="center"/>
          </w:tcPr>
          <w:p>
            <w:pPr>
              <w:pStyle w:val="TableContents"/>
              <w:spacing w:before="0" w:after="0"/>
              <w:ind w:left="100" w:right="0" w:hanging="0"/>
              <w:jc w:val="left"/>
              <w:rPr>
                <w:rFonts w:ascii="Times New Roman" w:hAnsi="Times New Roman"/>
                <w:sz w:val="20"/>
              </w:rPr>
            </w:pPr>
            <w:r>
              <w:rPr>
                <w:rFonts w:ascii="Calibri;sans-serif" w:hAnsi="Calibri;sans-serif"/>
                <w:b w:val="false"/>
                <w:sz w:val="20"/>
              </w:rPr>
              <w:t>Class A common stock, $0.0001</w:t>
            </w:r>
            <w:r>
              <w:rPr>
                <w:rFonts w:ascii="Times New Roman" w:hAnsi="Times New Roman"/>
                <w:sz w:val="20"/>
              </w:rPr>
              <w:t> </w:t>
            </w:r>
            <w:r>
              <w:rPr>
                <w:rFonts w:ascii="Calibri;sans-serif" w:hAnsi="Calibri;sans-serif"/>
                <w:b w:val="false"/>
                <w:sz w:val="20"/>
              </w:rPr>
              <w:t>par value; 500,000,000</w:t>
            </w:r>
            <w:r>
              <w:rPr>
                <w:rFonts w:ascii="Times New Roman" w:hAnsi="Times New Roman"/>
                <w:sz w:val="20"/>
              </w:rPr>
              <w:t> </w:t>
            </w:r>
            <w:r>
              <w:rPr>
                <w:rFonts w:ascii="Calibri;sans-serif" w:hAnsi="Calibri;sans-serif"/>
                <w:b w:val="false"/>
                <w:sz w:val="20"/>
              </w:rPr>
              <w:t>shares authorized at March 31, 2023 and December 31, 2022; 82,902,276</w:t>
            </w:r>
            <w:r>
              <w:rPr>
                <w:rFonts w:ascii="Times New Roman" w:hAnsi="Times New Roman"/>
                <w:sz w:val="20"/>
              </w:rPr>
              <w:t> </w:t>
            </w:r>
            <w:r>
              <w:rPr>
                <w:rFonts w:ascii="Calibri;sans-serif" w:hAnsi="Calibri;sans-serif"/>
                <w:b w:val="false"/>
                <w:sz w:val="20"/>
              </w:rPr>
              <w:t>and 82,410,774</w:t>
            </w:r>
            <w:r>
              <w:rPr>
                <w:rFonts w:ascii="Times New Roman" w:hAnsi="Times New Roman"/>
                <w:sz w:val="20"/>
              </w:rPr>
              <w:t> </w:t>
            </w:r>
            <w:r>
              <w:rPr>
                <w:rFonts w:ascii="Calibri;sans-serif" w:hAnsi="Calibri;sans-serif"/>
                <w:b w:val="false"/>
                <w:sz w:val="20"/>
              </w:rPr>
              <w:t>issued and outstanding at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w:t>
            </w:r>
          </w:p>
        </w:tc>
        <w:tc>
          <w:tcPr>
            <w:tcW w:w="312" w:type="dxa"/>
            <w:tcBorders/>
            <w:shd w:fill="auto" w:val="clear"/>
            <w:vAlign w:val="center"/>
          </w:tcPr>
          <w:p>
            <w:pPr>
              <w:pStyle w:val="TableContents"/>
              <w:spacing w:before="0" w:after="0"/>
              <w:ind w:left="0" w:right="0" w:firstLine="100"/>
              <w:jc w:val="left"/>
              <w:rPr/>
            </w:pPr>
            <w:r>
              <w:rPr/>
              <w:t> </w:t>
            </w:r>
          </w:p>
        </w:tc>
      </w:tr>
      <w:tr>
        <w:trPr/>
        <w:tc>
          <w:tcPr>
            <w:tcW w:w="7013" w:type="dxa"/>
            <w:tcBorders/>
            <w:shd w:fill="auto" w:val="clear"/>
            <w:vAlign w:val="center"/>
          </w:tcPr>
          <w:p>
            <w:pPr>
              <w:pStyle w:val="TableContents"/>
              <w:spacing w:before="0" w:after="0"/>
              <w:ind w:left="100" w:right="0" w:hanging="0"/>
              <w:jc w:val="left"/>
              <w:rPr>
                <w:rFonts w:ascii="Times New Roman" w:hAnsi="Times New Roman"/>
                <w:sz w:val="20"/>
              </w:rPr>
            </w:pPr>
            <w:r>
              <w:rPr>
                <w:rFonts w:ascii="Calibri;sans-serif" w:hAnsi="Calibri;sans-serif"/>
                <w:b w:val="false"/>
                <w:sz w:val="20"/>
              </w:rPr>
              <w:t>Class B common stock, $0.0001</w:t>
            </w:r>
            <w:r>
              <w:rPr>
                <w:rFonts w:ascii="Times New Roman" w:hAnsi="Times New Roman"/>
                <w:sz w:val="20"/>
              </w:rPr>
              <w:t> </w:t>
            </w:r>
            <w:r>
              <w:rPr>
                <w:rFonts w:ascii="Calibri;sans-serif" w:hAnsi="Calibri;sans-serif"/>
                <w:b w:val="false"/>
                <w:sz w:val="20"/>
              </w:rPr>
              <w:t>par value; 250,000,000</w:t>
            </w:r>
            <w:r>
              <w:rPr>
                <w:rFonts w:ascii="Times New Roman" w:hAnsi="Times New Roman"/>
                <w:sz w:val="20"/>
              </w:rPr>
              <w:t> </w:t>
            </w:r>
            <w:r>
              <w:rPr>
                <w:rFonts w:ascii="Calibri;sans-serif" w:hAnsi="Calibri;sans-serif"/>
                <w:b w:val="false"/>
                <w:sz w:val="20"/>
              </w:rPr>
              <w:t>shares authorized, 118,200,000</w:t>
            </w:r>
            <w:r>
              <w:rPr>
                <w:rFonts w:ascii="Times New Roman" w:hAnsi="Times New Roman"/>
                <w:sz w:val="20"/>
              </w:rPr>
              <w:t> </w:t>
            </w:r>
            <w:r>
              <w:rPr>
                <w:rFonts w:ascii="Calibri;sans-serif" w:hAnsi="Calibri;sans-serif"/>
                <w:b w:val="false"/>
                <w:sz w:val="20"/>
              </w:rPr>
              <w:t>issued and outstanding at March 31, 2023 and December 31, 2022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w:t>
            </w:r>
          </w:p>
        </w:tc>
        <w:tc>
          <w:tcPr>
            <w:tcW w:w="312" w:type="dxa"/>
            <w:tcBorders/>
            <w:shd w:fill="auto" w:val="clear"/>
            <w:vAlign w:val="center"/>
          </w:tcPr>
          <w:p>
            <w:pPr>
              <w:pStyle w:val="TableContents"/>
              <w:spacing w:before="0" w:after="0"/>
              <w:ind w:left="0" w:right="0" w:firstLine="100"/>
              <w:jc w:val="left"/>
              <w:rPr/>
            </w:pPr>
            <w:r>
              <w:rPr/>
              <w:t> </w:t>
            </w:r>
          </w:p>
        </w:tc>
      </w:tr>
      <w:tr>
        <w:trPr/>
        <w:tc>
          <w:tcPr>
            <w:tcW w:w="7013"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644,759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663,908</w:t>
            </w:r>
          </w:p>
        </w:tc>
        <w:tc>
          <w:tcPr>
            <w:tcW w:w="312" w:type="dxa"/>
            <w:tcBorders/>
            <w:shd w:fill="auto" w:val="clear"/>
            <w:vAlign w:val="center"/>
          </w:tcPr>
          <w:p>
            <w:pPr>
              <w:pStyle w:val="TableContents"/>
              <w:spacing w:before="0" w:after="0"/>
              <w:ind w:left="0" w:right="0" w:firstLine="100"/>
              <w:jc w:val="left"/>
              <w:rPr/>
            </w:pPr>
            <w:r>
              <w:rPr/>
              <w:t> </w:t>
            </w:r>
          </w:p>
        </w:tc>
      </w:tr>
      <w:tr>
        <w:trPr/>
        <w:tc>
          <w:tcPr>
            <w:tcW w:w="7013" w:type="dxa"/>
            <w:tcBorders/>
            <w:shd w:fill="auto" w:val="clear"/>
            <w:vAlign w:val="center"/>
          </w:tcPr>
          <w:p>
            <w:pPr>
              <w:pStyle w:val="TableContents"/>
              <w:spacing w:before="0" w:after="0"/>
              <w:ind w:left="100" w:right="0" w:hanging="0"/>
              <w:jc w:val="left"/>
              <w:rPr>
                <w:rFonts w:ascii="Times New Roman" w:hAnsi="Times New Roman"/>
                <w:sz w:val="20"/>
              </w:rPr>
            </w:pPr>
            <w:r>
              <w:rPr>
                <w:rFonts w:ascii="Calibri;sans-serif" w:hAnsi="Calibri;sans-serif"/>
                <w:b w:val="false"/>
                <w:sz w:val="20"/>
              </w:rPr>
              <w:t>Treasury stock, at cost, 5,291,497</w:t>
            </w:r>
            <w:r>
              <w:rPr>
                <w:rFonts w:ascii="Times New Roman" w:hAnsi="Times New Roman"/>
                <w:sz w:val="20"/>
              </w:rPr>
              <w:t> </w:t>
            </w:r>
            <w:r>
              <w:rPr>
                <w:rFonts w:ascii="Calibri;sans-serif" w:hAnsi="Calibri;sans-serif"/>
                <w:b w:val="false"/>
                <w:sz w:val="20"/>
              </w:rPr>
              <w:t>and 4,342,477</w:t>
            </w:r>
            <w:r>
              <w:rPr>
                <w:rFonts w:ascii="Times New Roman" w:hAnsi="Times New Roman"/>
                <w:sz w:val="20"/>
              </w:rPr>
              <w:t> </w:t>
            </w:r>
            <w:r>
              <w:rPr>
                <w:rFonts w:ascii="Calibri;sans-serif" w:hAnsi="Calibri;sans-serif"/>
                <w:b w:val="false"/>
                <w:sz w:val="20"/>
              </w:rPr>
              <w:t>shares at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(40,106</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(32,494</w:t>
            </w:r>
          </w:p>
        </w:tc>
        <w:tc>
          <w:tcPr>
            <w:tcW w:w="312" w:type="dxa"/>
            <w:tcBorders/>
            <w:shd w:fill="auto" w:val="clear"/>
            <w:vAlign w:val="center"/>
          </w:tcPr>
          <w:p>
            <w:pPr>
              <w:pStyle w:val="TableContents"/>
              <w:spacing w:before="0" w:after="0"/>
              <w:ind w:left="0" w:right="0" w:firstLine="100"/>
              <w:jc w:val="left"/>
              <w:rPr>
                <w:rFonts w:ascii="Calibri;sans-serif" w:hAnsi="Calibri;sans-serif"/>
                <w:b w:val="false"/>
                <w:sz w:val="20"/>
              </w:rPr>
            </w:pPr>
            <w:r>
              <w:rPr>
                <w:rFonts w:ascii="Calibri;sans-serif" w:hAnsi="Calibri;sans-serif"/>
                <w:b w:val="false"/>
                <w:sz w:val="20"/>
              </w:rPr>
              <w:t>)</w:t>
            </w:r>
          </w:p>
        </w:tc>
      </w:tr>
      <w:tr>
        <w:trPr/>
        <w:tc>
          <w:tcPr>
            <w:tcW w:w="7013"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(1,001,950</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(1,014,132</w:t>
            </w:r>
          </w:p>
        </w:tc>
        <w:tc>
          <w:tcPr>
            <w:tcW w:w="312" w:type="dxa"/>
            <w:tcBorders/>
            <w:shd w:fill="auto" w:val="clear"/>
            <w:vAlign w:val="center"/>
          </w:tcPr>
          <w:p>
            <w:pPr>
              <w:pStyle w:val="TableContents"/>
              <w:spacing w:before="0" w:after="0"/>
              <w:ind w:left="0" w:right="0" w:firstLine="100"/>
              <w:jc w:val="left"/>
              <w:rPr>
                <w:rFonts w:ascii="Calibri;sans-serif" w:hAnsi="Calibri;sans-serif"/>
                <w:b w:val="false"/>
                <w:sz w:val="20"/>
              </w:rPr>
            </w:pPr>
            <w:r>
              <w:rPr>
                <w:rFonts w:ascii="Calibri;sans-serif" w:hAnsi="Calibri;sans-serif"/>
                <w:b w:val="false"/>
                <w:sz w:val="20"/>
              </w:rPr>
              <w:t>)</w:t>
            </w:r>
          </w:p>
        </w:tc>
      </w:tr>
      <w:tr>
        <w:trPr/>
        <w:tc>
          <w:tcPr>
            <w:tcW w:w="7013"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Total Shareholders' deficit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99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(397,276</w:t>
            </w:r>
          </w:p>
        </w:tc>
        <w:tc>
          <w:tcPr>
            <w:tcW w:w="16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00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(382,698</w:t>
            </w:r>
          </w:p>
        </w:tc>
        <w:tc>
          <w:tcPr>
            <w:tcW w:w="312"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7013"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Total liabilities, Redeemable noncontrolling interests, and Shareholders' deficit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9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1,227,515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10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1,151,431</w:t>
            </w:r>
          </w:p>
        </w:tc>
        <w:tc>
          <w:tcPr>
            <w:tcW w:w="3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60" w:after="120"/>
        <w:jc w:val="center"/>
        <w:rPr>
          <w:rFonts w:ascii="Calibri;sans-serif" w:hAnsi="Calibri;sans-serif"/>
          <w:b w:val="false"/>
          <w:sz w:val="20"/>
        </w:rPr>
      </w:pPr>
      <w:r>
        <w:rPr>
          <w:rFonts w:ascii="Calibri;sans-serif" w:hAnsi="Calibri;sans-serif"/>
          <w:b w:val="false"/>
          <w:sz w:val="20"/>
        </w:rPr>
        <w:t>The accompanying notes are an integral part of these financial statements.</w:t>
      </w:r>
    </w:p>
    <w:p>
      <w:pPr>
        <w:pStyle w:val="TextBody"/>
        <w:spacing w:before="0" w:after="0"/>
        <w:jc w:val="center"/>
        <w:rPr>
          <w:rFonts w:ascii="Calibri;sans-serif" w:hAnsi="Calibri;sans-serif"/>
          <w:b w:val="false"/>
          <w:sz w:val="20"/>
        </w:rPr>
      </w:pPr>
      <w:r>
        <w:rPr>
          <w:rFonts w:ascii="Calibri;sans-serif" w:hAnsi="Calibri;sans-serif"/>
          <w:b w:val="false"/>
          <w:sz w:val="20"/>
        </w:rPr>
        <w:t>3</w:t>
      </w:r>
    </w:p>
    <w:p>
      <w:pPr>
        <w:pStyle w:val="HorizontalLine"/>
        <w:rPr/>
      </w:pPr>
      <w:r>
        <w:rPr/>
      </w:r>
    </w:p>
    <w:p>
      <w:pPr>
        <w:pStyle w:val="TextBody"/>
        <w:spacing w:before="0" w:after="0"/>
        <w:jc w:val="center"/>
        <w:rPr>
          <w:rFonts w:ascii="Calibri;sans-serif" w:hAnsi="Calibri;sans-serif"/>
          <w:b/>
          <w:smallCaps/>
          <w:sz w:val="20"/>
        </w:rPr>
      </w:pPr>
      <w:r>
        <w:rPr>
          <w:rFonts w:ascii="Calibri;sans-serif" w:hAnsi="Calibri;sans-serif"/>
          <w:b/>
          <w:smallCaps/>
          <w:sz w:val="20"/>
        </w:rPr>
        <w:t>VIVID SEATS INC.</w:t>
      </w:r>
    </w:p>
    <w:p>
      <w:pPr>
        <w:pStyle w:val="TextBody"/>
        <w:spacing w:before="0" w:after="0"/>
        <w:jc w:val="center"/>
        <w:rPr>
          <w:rFonts w:ascii="Calibri;sans-serif" w:hAnsi="Calibri;sans-serif"/>
          <w:b/>
          <w:sz w:val="20"/>
        </w:rPr>
      </w:pPr>
      <w:r>
        <w:rPr>
          <w:rFonts w:ascii="Calibri;sans-serif" w:hAnsi="Calibri;sans-serif"/>
          <w:b/>
          <w:sz w:val="20"/>
        </w:rPr>
        <w:t>CONDENSED CONSOLIDATED STATEMENTS OF OPERATIONS</w:t>
      </w:r>
    </w:p>
    <w:p>
      <w:pPr>
        <w:pStyle w:val="TextBody"/>
        <w:spacing w:before="0" w:after="0"/>
        <w:jc w:val="center"/>
        <w:rPr>
          <w:rFonts w:ascii="Calibri;sans-serif" w:hAnsi="Calibri;sans-serif"/>
          <w:b/>
          <w:sz w:val="20"/>
        </w:rPr>
      </w:pPr>
      <w:r>
        <w:rPr>
          <w:rFonts w:ascii="Calibri;sans-serif" w:hAnsi="Calibri;sans-serif"/>
          <w:b/>
          <w:sz w:val="20"/>
        </w:rPr>
        <w:t>(in thousands, except for per share data) (Unaudited)</w:t>
      </w:r>
    </w:p>
    <w:p>
      <w:pPr>
        <w:pStyle w:val="TextBody"/>
        <w:spacing w:before="0" w:after="0"/>
        <w:jc w:val="center"/>
        <w:rPr/>
      </w:pPr>
      <w:r>
        <w:rPr/>
        <w:t> </w:t>
      </w:r>
    </w:p>
    <w:p>
      <w:pPr>
        <w:pStyle w:val="TextBody"/>
        <w:spacing w:before="0" w:after="0"/>
        <w:jc w:val="left"/>
        <w:rPr/>
      </w:pPr>
      <w:bookmarkStart w:id="6" w:name="statement_of_operations"/>
      <w:bookmarkEnd w:id="6"/>
      <w:r>
        <w:rPr/>
        <w:t> </w:t>
      </w:r>
    </w:p>
    <w:tbl>
      <w:tblPr>
        <w:tblW w:w="10205" w:type="dxa"/>
        <w:jc w:val="left"/>
        <w:tblInd w:w="0" w:type="dxa"/>
        <w:tblCellMar>
          <w:top w:w="28" w:type="dxa"/>
          <w:left w:w="28" w:type="dxa"/>
          <w:bottom w:w="28" w:type="dxa"/>
          <w:right w:w="28" w:type="dxa"/>
        </w:tblCellMar>
      </w:tblPr>
      <w:tblGrid>
        <w:gridCol w:w="6752"/>
        <w:gridCol w:w="146"/>
        <w:gridCol w:w="211"/>
        <w:gridCol w:w="1141"/>
        <w:gridCol w:w="166"/>
        <w:gridCol w:w="146"/>
        <w:gridCol w:w="211"/>
        <w:gridCol w:w="1141"/>
        <w:gridCol w:w="291"/>
      </w:tblGrid>
      <w:tr>
        <w:trPr/>
        <w:tc>
          <w:tcPr>
            <w:tcW w:w="67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67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Three Months Ended March 31,</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52"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Revenues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161,063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130,772</w:t>
            </w:r>
          </w:p>
        </w:tc>
        <w:tc>
          <w:tcPr>
            <w:tcW w:w="291" w:type="dxa"/>
            <w:tcBorders/>
            <w:shd w:fill="auto" w:val="clear"/>
            <w:vAlign w:val="center"/>
          </w:tcPr>
          <w:p>
            <w:pPr>
              <w:pStyle w:val="TableContents"/>
              <w:spacing w:before="0" w:after="0"/>
              <w:ind w:left="0" w:right="0" w:hanging="0"/>
              <w:jc w:val="left"/>
              <w:rPr/>
            </w:pPr>
            <w:r>
              <w:rPr/>
              <w:t> </w:t>
            </w:r>
          </w:p>
        </w:tc>
      </w:tr>
      <w:tr>
        <w:trPr/>
        <w:tc>
          <w:tcPr>
            <w:tcW w:w="6752"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Costs and expenses:</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6752" w:type="dxa"/>
            <w:tcBorders/>
            <w:shd w:fill="auto" w:val="clear"/>
            <w:vAlign w:val="center"/>
          </w:tcPr>
          <w:p>
            <w:pPr>
              <w:pStyle w:val="TableContents"/>
              <w:spacing w:before="0" w:after="0"/>
              <w:ind w:left="0" w:right="0" w:firstLine="100"/>
              <w:jc w:val="left"/>
              <w:rPr>
                <w:rFonts w:ascii="Calibri;sans-serif" w:hAnsi="Calibri;sans-serif"/>
                <w:b w:val="false"/>
                <w:sz w:val="20"/>
              </w:rPr>
            </w:pPr>
            <w:r>
              <w:rPr>
                <w:rFonts w:ascii="Calibri;sans-serif" w:hAnsi="Calibri;sans-serif"/>
                <w:b w:val="false"/>
                <w:sz w:val="20"/>
              </w:rPr>
              <w:t>Cost of revenues (exclusive of depreciation and amortization shown separately below)</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37,760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32,164</w:t>
            </w:r>
          </w:p>
        </w:tc>
        <w:tc>
          <w:tcPr>
            <w:tcW w:w="291" w:type="dxa"/>
            <w:tcBorders/>
            <w:shd w:fill="auto" w:val="clear"/>
            <w:vAlign w:val="center"/>
          </w:tcPr>
          <w:p>
            <w:pPr>
              <w:pStyle w:val="TableContents"/>
              <w:spacing w:before="0" w:after="0"/>
              <w:ind w:left="0" w:right="0" w:firstLine="100"/>
              <w:jc w:val="left"/>
              <w:rPr/>
            </w:pPr>
            <w:r>
              <w:rPr/>
              <w:t> </w:t>
            </w:r>
          </w:p>
        </w:tc>
      </w:tr>
      <w:tr>
        <w:trPr/>
        <w:tc>
          <w:tcPr>
            <w:tcW w:w="6752" w:type="dxa"/>
            <w:tcBorders/>
            <w:shd w:fill="auto" w:val="clear"/>
            <w:vAlign w:val="center"/>
          </w:tcPr>
          <w:p>
            <w:pPr>
              <w:pStyle w:val="TableContents"/>
              <w:spacing w:before="0" w:after="0"/>
              <w:ind w:left="0" w:right="0" w:firstLine="100"/>
              <w:jc w:val="left"/>
              <w:rPr>
                <w:rFonts w:ascii="Calibri;sans-serif" w:hAnsi="Calibri;sans-serif"/>
                <w:b w:val="false"/>
                <w:sz w:val="20"/>
              </w:rPr>
            </w:pPr>
            <w:r>
              <w:rPr>
                <w:rFonts w:ascii="Calibri;sans-serif" w:hAnsi="Calibri;sans-serif"/>
                <w:b w:val="false"/>
                <w:sz w:val="20"/>
              </w:rPr>
              <w:t>Marketing and selling</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54,772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54,228</w:t>
            </w:r>
          </w:p>
        </w:tc>
        <w:tc>
          <w:tcPr>
            <w:tcW w:w="291" w:type="dxa"/>
            <w:tcBorders/>
            <w:shd w:fill="auto" w:val="clear"/>
            <w:vAlign w:val="center"/>
          </w:tcPr>
          <w:p>
            <w:pPr>
              <w:pStyle w:val="TableContents"/>
              <w:spacing w:before="0" w:after="0"/>
              <w:ind w:left="0" w:right="0" w:firstLine="100"/>
              <w:jc w:val="left"/>
              <w:rPr/>
            </w:pPr>
            <w:r>
              <w:rPr/>
              <w:t> </w:t>
            </w:r>
          </w:p>
        </w:tc>
      </w:tr>
      <w:tr>
        <w:trPr/>
        <w:tc>
          <w:tcPr>
            <w:tcW w:w="6752" w:type="dxa"/>
            <w:tcBorders/>
            <w:shd w:fill="auto" w:val="clear"/>
            <w:vAlign w:val="center"/>
          </w:tcPr>
          <w:p>
            <w:pPr>
              <w:pStyle w:val="TableContents"/>
              <w:spacing w:before="0" w:after="0"/>
              <w:ind w:left="0" w:right="0" w:firstLine="100"/>
              <w:jc w:val="left"/>
              <w:rPr>
                <w:rFonts w:ascii="Calibri;sans-serif" w:hAnsi="Calibri;sans-serif"/>
                <w:b w:val="false"/>
                <w:sz w:val="20"/>
              </w:rPr>
            </w:pPr>
            <w:r>
              <w:rPr>
                <w:rFonts w:ascii="Calibri;sans-serif" w:hAnsi="Calibri;sans-serif"/>
                <w:b w:val="false"/>
                <w:sz w:val="20"/>
              </w:rPr>
              <w:t>General and administrative</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32,389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29,275</w:t>
            </w:r>
          </w:p>
        </w:tc>
        <w:tc>
          <w:tcPr>
            <w:tcW w:w="291" w:type="dxa"/>
            <w:tcBorders/>
            <w:shd w:fill="auto" w:val="clear"/>
            <w:vAlign w:val="center"/>
          </w:tcPr>
          <w:p>
            <w:pPr>
              <w:pStyle w:val="TableContents"/>
              <w:spacing w:before="0" w:after="0"/>
              <w:ind w:left="0" w:right="0" w:firstLine="100"/>
              <w:jc w:val="left"/>
              <w:rPr/>
            </w:pPr>
            <w:r>
              <w:rPr/>
              <w:t> </w:t>
            </w:r>
          </w:p>
        </w:tc>
      </w:tr>
      <w:tr>
        <w:trPr/>
        <w:tc>
          <w:tcPr>
            <w:tcW w:w="6752" w:type="dxa"/>
            <w:tcBorders/>
            <w:shd w:fill="auto" w:val="clear"/>
            <w:vAlign w:val="center"/>
          </w:tcPr>
          <w:p>
            <w:pPr>
              <w:pStyle w:val="TableContents"/>
              <w:spacing w:before="0" w:after="0"/>
              <w:ind w:left="0" w:right="0" w:firstLine="100"/>
              <w:jc w:val="left"/>
              <w:rPr>
                <w:rFonts w:ascii="Calibri;sans-serif" w:hAnsi="Calibri;sans-serif"/>
                <w:b w:val="false"/>
                <w:sz w:val="20"/>
              </w:rPr>
            </w:pPr>
            <w:r>
              <w:rPr>
                <w:rFonts w:ascii="Calibri;sans-serif" w:hAnsi="Calibri;sans-serif"/>
                <w:b w:val="false"/>
                <w:sz w:val="20"/>
              </w:rPr>
              <w:t>Depreciation and amortization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2,598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1,385</w:t>
            </w:r>
          </w:p>
        </w:tc>
        <w:tc>
          <w:tcPr>
            <w:tcW w:w="291" w:type="dxa"/>
            <w:tcBorders/>
            <w:shd w:fill="auto" w:val="clear"/>
            <w:vAlign w:val="center"/>
          </w:tcPr>
          <w:p>
            <w:pPr>
              <w:pStyle w:val="TableContents"/>
              <w:spacing w:before="0" w:after="0"/>
              <w:ind w:left="0" w:right="0" w:firstLine="100"/>
              <w:jc w:val="left"/>
              <w:rPr/>
            </w:pPr>
            <w:r>
              <w:rPr/>
              <w:t> </w:t>
            </w:r>
          </w:p>
        </w:tc>
      </w:tr>
      <w:tr>
        <w:trPr/>
        <w:tc>
          <w:tcPr>
            <w:tcW w:w="6752" w:type="dxa"/>
            <w:tcBorders/>
            <w:shd w:fill="auto" w:val="clear"/>
            <w:vAlign w:val="center"/>
          </w:tcPr>
          <w:p>
            <w:pPr>
              <w:pStyle w:val="TableContents"/>
              <w:spacing w:before="0" w:after="0"/>
              <w:ind w:left="0" w:right="0" w:firstLine="100"/>
              <w:jc w:val="left"/>
              <w:rPr>
                <w:rFonts w:ascii="Calibri;sans-serif" w:hAnsi="Calibri;sans-serif"/>
                <w:b w:val="false"/>
                <w:sz w:val="20"/>
              </w:rPr>
            </w:pPr>
            <w:r>
              <w:rPr>
                <w:rFonts w:ascii="Calibri;sans-serif" w:hAnsi="Calibri;sans-serif"/>
                <w:b w:val="false"/>
                <w:sz w:val="20"/>
              </w:rPr>
              <w:t>Change in fair value of contingent consideration</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52"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Income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33,510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13,720</w:t>
            </w:r>
          </w:p>
        </w:tc>
        <w:tc>
          <w:tcPr>
            <w:tcW w:w="291" w:type="dxa"/>
            <w:tcBorders/>
            <w:shd w:fill="auto" w:val="clear"/>
            <w:vAlign w:val="center"/>
          </w:tcPr>
          <w:p>
            <w:pPr>
              <w:pStyle w:val="TableContents"/>
              <w:spacing w:before="0" w:after="0"/>
              <w:ind w:left="0" w:right="0" w:hanging="0"/>
              <w:jc w:val="left"/>
              <w:rPr/>
            </w:pPr>
            <w:r>
              <w:rPr/>
              <w:t> </w:t>
            </w:r>
          </w:p>
        </w:tc>
      </w:tr>
      <w:tr>
        <w:trPr/>
        <w:tc>
          <w:tcPr>
            <w:tcW w:w="6752"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Other (income) expense:</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6752" w:type="dxa"/>
            <w:tcBorders/>
            <w:shd w:fill="auto" w:val="clear"/>
            <w:vAlign w:val="center"/>
          </w:tcPr>
          <w:p>
            <w:pPr>
              <w:pStyle w:val="TableContents"/>
              <w:spacing w:before="0" w:after="0"/>
              <w:ind w:left="0" w:right="0" w:firstLine="100"/>
              <w:jc w:val="left"/>
              <w:rPr>
                <w:rFonts w:ascii="Calibri;sans-serif" w:hAnsi="Calibri;sans-serif"/>
                <w:b w:val="false"/>
                <w:sz w:val="20"/>
              </w:rPr>
            </w:pPr>
            <w:r>
              <w:rPr>
                <w:rFonts w:ascii="Calibri;sans-serif" w:hAnsi="Calibri;sans-serif"/>
                <w:b w:val="false"/>
                <w:sz w:val="20"/>
              </w:rPr>
              <w:t>Interest expense – net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3,280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3,942</w:t>
            </w:r>
          </w:p>
        </w:tc>
        <w:tc>
          <w:tcPr>
            <w:tcW w:w="291" w:type="dxa"/>
            <w:tcBorders/>
            <w:shd w:fill="auto" w:val="clear"/>
            <w:vAlign w:val="center"/>
          </w:tcPr>
          <w:p>
            <w:pPr>
              <w:pStyle w:val="TableContents"/>
              <w:spacing w:before="0" w:after="0"/>
              <w:ind w:left="0" w:right="0" w:firstLine="100"/>
              <w:jc w:val="left"/>
              <w:rPr/>
            </w:pPr>
            <w:r>
              <w:rPr/>
              <w:t> </w:t>
            </w:r>
          </w:p>
        </w:tc>
      </w:tr>
      <w:tr>
        <w:trPr/>
        <w:tc>
          <w:tcPr>
            <w:tcW w:w="6752" w:type="dxa"/>
            <w:tcBorders/>
            <w:shd w:fill="auto" w:val="clear"/>
            <w:vAlign w:val="center"/>
          </w:tcPr>
          <w:p>
            <w:pPr>
              <w:pStyle w:val="TableContents"/>
              <w:spacing w:before="0" w:after="0"/>
              <w:ind w:left="0" w:right="0" w:firstLine="100"/>
              <w:jc w:val="left"/>
              <w:rPr>
                <w:rFonts w:ascii="Calibri;sans-serif" w:hAnsi="Calibri;sans-serif"/>
                <w:b w:val="false"/>
                <w:sz w:val="20"/>
              </w:rPr>
            </w:pPr>
            <w:r>
              <w:rPr>
                <w:rFonts w:ascii="Calibri;sans-serif" w:hAnsi="Calibri;sans-serif"/>
                <w:b w:val="false"/>
                <w:sz w:val="20"/>
              </w:rPr>
              <w:t>Loss on extinguishment of debt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4,285</w:t>
            </w:r>
          </w:p>
        </w:tc>
        <w:tc>
          <w:tcPr>
            <w:tcW w:w="291" w:type="dxa"/>
            <w:tcBorders/>
            <w:shd w:fill="auto" w:val="clear"/>
            <w:vAlign w:val="center"/>
          </w:tcPr>
          <w:p>
            <w:pPr>
              <w:pStyle w:val="TableContents"/>
              <w:spacing w:before="0" w:after="0"/>
              <w:ind w:left="0" w:right="0" w:firstLine="100"/>
              <w:jc w:val="left"/>
              <w:rPr/>
            </w:pPr>
            <w:r>
              <w:rPr/>
              <w:t> </w:t>
            </w:r>
          </w:p>
        </w:tc>
      </w:tr>
      <w:tr>
        <w:trPr/>
        <w:tc>
          <w:tcPr>
            <w:tcW w:w="6752" w:type="dxa"/>
            <w:tcBorders/>
            <w:shd w:fill="auto" w:val="clear"/>
            <w:vAlign w:val="center"/>
          </w:tcPr>
          <w:p>
            <w:pPr>
              <w:pStyle w:val="TableContents"/>
              <w:spacing w:before="0" w:after="0"/>
              <w:ind w:left="0" w:right="0" w:firstLine="100"/>
              <w:jc w:val="left"/>
              <w:rPr>
                <w:rFonts w:ascii="Calibri;sans-serif" w:hAnsi="Calibri;sans-serif"/>
                <w:b w:val="false"/>
                <w:sz w:val="20"/>
              </w:rPr>
            </w:pPr>
            <w:r>
              <w:rPr>
                <w:rFonts w:ascii="Calibri;sans-serif" w:hAnsi="Calibri;sans-serif"/>
                <w:b w:val="false"/>
                <w:sz w:val="20"/>
              </w:rPr>
              <w:t>Other (income) expense</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(327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2,279</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52"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Income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30,557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3,214</w:t>
            </w:r>
          </w:p>
        </w:tc>
        <w:tc>
          <w:tcPr>
            <w:tcW w:w="291" w:type="dxa"/>
            <w:tcBorders/>
            <w:shd w:fill="auto" w:val="clear"/>
            <w:vAlign w:val="center"/>
          </w:tcPr>
          <w:p>
            <w:pPr>
              <w:pStyle w:val="TableContents"/>
              <w:spacing w:before="0" w:after="0"/>
              <w:ind w:left="0" w:right="0" w:hanging="0"/>
              <w:jc w:val="left"/>
              <w:rPr/>
            </w:pPr>
            <w:r>
              <w:rPr/>
              <w:t> </w:t>
            </w:r>
          </w:p>
        </w:tc>
      </w:tr>
      <w:tr>
        <w:trPr/>
        <w:tc>
          <w:tcPr>
            <w:tcW w:w="6752"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Income tax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76</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52"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30,272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3,138</w:t>
            </w:r>
          </w:p>
        </w:tc>
        <w:tc>
          <w:tcPr>
            <w:tcW w:w="291" w:type="dxa"/>
            <w:tcBorders/>
            <w:shd w:fill="auto" w:val="clear"/>
            <w:vAlign w:val="center"/>
          </w:tcPr>
          <w:p>
            <w:pPr>
              <w:pStyle w:val="TableContents"/>
              <w:spacing w:before="0" w:after="0"/>
              <w:ind w:left="0" w:right="0" w:hanging="0"/>
              <w:jc w:val="left"/>
              <w:rPr/>
            </w:pPr>
            <w:r>
              <w:rPr/>
              <w:t> </w:t>
            </w:r>
          </w:p>
        </w:tc>
      </w:tr>
      <w:tr>
        <w:trPr/>
        <w:tc>
          <w:tcPr>
            <w:tcW w:w="6752"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Net income attributable to redeemable 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18,090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1,879</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52"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Net income attributable to Class A Common Stockholders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12,182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1,259</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52"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6752" w:type="dxa"/>
            <w:tcBorders/>
            <w:shd w:fill="auto" w:val="clear"/>
            <w:vAlign w:val="center"/>
          </w:tcPr>
          <w:p>
            <w:pPr>
              <w:pStyle w:val="TableContents"/>
              <w:spacing w:before="0" w:after="0"/>
              <w:ind w:left="0" w:right="0" w:firstLine="100"/>
              <w:jc w:val="left"/>
              <w:rPr>
                <w:rFonts w:ascii="Calibri;sans-serif" w:hAnsi="Calibri;sans-serif"/>
                <w:b/>
                <w:sz w:val="20"/>
              </w:rPr>
            </w:pPr>
            <w:r>
              <w:rPr>
                <w:rFonts w:ascii="Calibri;sans-serif" w:hAnsi="Calibri;sans-serif"/>
                <w:b/>
                <w:sz w:val="20"/>
              </w:rPr>
              <w:t>Income per Class A common stock:</w:t>
            </w:r>
          </w:p>
        </w:tc>
        <w:tc>
          <w:tcPr>
            <w:tcW w:w="146" w:type="dxa"/>
            <w:tcBorders/>
            <w:shd w:fill="auto" w:val="clear"/>
            <w:vAlign w:val="center"/>
          </w:tcPr>
          <w:p>
            <w:pPr>
              <w:pStyle w:val="TableContents"/>
              <w:spacing w:before="0" w:after="0"/>
              <w:ind w:left="10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6752"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0.16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0.02</w:t>
            </w:r>
          </w:p>
        </w:tc>
        <w:tc>
          <w:tcPr>
            <w:tcW w:w="291" w:type="dxa"/>
            <w:tcBorders/>
            <w:shd w:fill="auto" w:val="clear"/>
            <w:vAlign w:val="center"/>
          </w:tcPr>
          <w:p>
            <w:pPr>
              <w:pStyle w:val="TableContents"/>
              <w:spacing w:before="0" w:after="0"/>
              <w:ind w:left="0" w:right="0" w:hanging="0"/>
              <w:jc w:val="left"/>
              <w:rPr/>
            </w:pPr>
            <w:r>
              <w:rPr/>
              <w:t> </w:t>
            </w:r>
          </w:p>
        </w:tc>
      </w:tr>
      <w:tr>
        <w:trPr/>
        <w:tc>
          <w:tcPr>
            <w:tcW w:w="6752"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0.15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0.02</w:t>
            </w:r>
          </w:p>
        </w:tc>
        <w:tc>
          <w:tcPr>
            <w:tcW w:w="291" w:type="dxa"/>
            <w:tcBorders/>
            <w:shd w:fill="auto" w:val="clear"/>
            <w:vAlign w:val="center"/>
          </w:tcPr>
          <w:p>
            <w:pPr>
              <w:pStyle w:val="TableContents"/>
              <w:spacing w:before="0" w:after="0"/>
              <w:ind w:left="0" w:right="0" w:hanging="0"/>
              <w:jc w:val="left"/>
              <w:rPr/>
            </w:pPr>
            <w:r>
              <w:rPr/>
              <w:t> </w:t>
            </w:r>
          </w:p>
        </w:tc>
      </w:tr>
      <w:tr>
        <w:trPr/>
        <w:tc>
          <w:tcPr>
            <w:tcW w:w="6752"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Weighted average Class A common stock outstanding:</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6752"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77,410,820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79,151,929</w:t>
            </w:r>
          </w:p>
        </w:tc>
        <w:tc>
          <w:tcPr>
            <w:tcW w:w="291" w:type="dxa"/>
            <w:tcBorders/>
            <w:shd w:fill="auto" w:val="clear"/>
            <w:vAlign w:val="center"/>
          </w:tcPr>
          <w:p>
            <w:pPr>
              <w:pStyle w:val="TableContents"/>
              <w:spacing w:before="0" w:after="0"/>
              <w:ind w:left="0" w:right="0" w:hanging="0"/>
              <w:jc w:val="left"/>
              <w:rPr/>
            </w:pPr>
            <w:r>
              <w:rPr/>
              <w:t> </w:t>
            </w:r>
          </w:p>
        </w:tc>
      </w:tr>
      <w:tr>
        <w:trPr/>
        <w:tc>
          <w:tcPr>
            <w:tcW w:w="6752"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195,823,982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198,414,147</w:t>
            </w:r>
          </w:p>
        </w:tc>
        <w:tc>
          <w:tcPr>
            <w:tcW w:w="291" w:type="dxa"/>
            <w:tcBorders/>
            <w:shd w:fill="auto" w:val="clear"/>
            <w:vAlign w:val="center"/>
          </w:tcPr>
          <w:p>
            <w:pPr>
              <w:pStyle w:val="TableContents"/>
              <w:spacing w:before="0" w:after="0"/>
              <w:ind w:left="0" w:right="0" w:hanging="0"/>
              <w:jc w:val="left"/>
              <w:rPr/>
            </w:pPr>
            <w:r>
              <w:rPr/>
              <w:t> </w:t>
            </w:r>
          </w:p>
        </w:tc>
      </w:tr>
    </w:tbl>
    <w:p>
      <w:pPr>
        <w:pStyle w:val="TextBody"/>
        <w:spacing w:before="160" w:after="120"/>
        <w:jc w:val="center"/>
        <w:rPr>
          <w:rFonts w:ascii="Calibri;sans-serif" w:hAnsi="Calibri;sans-serif"/>
          <w:b w:val="false"/>
          <w:sz w:val="20"/>
        </w:rPr>
      </w:pPr>
      <w:r>
        <w:rPr>
          <w:rFonts w:ascii="Calibri;sans-serif" w:hAnsi="Calibri;sans-serif"/>
          <w:b w:val="false"/>
          <w:sz w:val="20"/>
        </w:rPr>
        <w:t>The accompanying notes are an integral part of these financial statements.</w:t>
      </w:r>
    </w:p>
    <w:p>
      <w:pPr>
        <w:pStyle w:val="TextBody"/>
        <w:spacing w:before="0" w:after="0"/>
        <w:jc w:val="center"/>
        <w:rPr>
          <w:rFonts w:ascii="Calibri;sans-serif" w:hAnsi="Calibri;sans-serif"/>
          <w:b w:val="false"/>
          <w:sz w:val="20"/>
        </w:rPr>
      </w:pPr>
      <w:r>
        <w:rPr>
          <w:rFonts w:ascii="Calibri;sans-serif" w:hAnsi="Calibri;sans-serif"/>
          <w:b w:val="false"/>
          <w:sz w:val="20"/>
        </w:rPr>
        <w:t>4</w:t>
      </w:r>
    </w:p>
    <w:p>
      <w:pPr>
        <w:pStyle w:val="HorizontalLine"/>
        <w:rPr/>
      </w:pPr>
      <w:r>
        <w:rPr/>
      </w:r>
    </w:p>
    <w:p>
      <w:pPr>
        <w:pStyle w:val="TextBody"/>
        <w:spacing w:before="0" w:after="0"/>
        <w:jc w:val="center"/>
        <w:rPr>
          <w:rFonts w:ascii="Calibri;sans-serif" w:hAnsi="Calibri;sans-serif"/>
          <w:b/>
          <w:sz w:val="20"/>
        </w:rPr>
      </w:pPr>
      <w:r>
        <w:rPr>
          <w:rFonts w:ascii="Calibri;sans-serif" w:hAnsi="Calibri;sans-serif"/>
          <w:b/>
          <w:sz w:val="20"/>
        </w:rPr>
        <w:t>VIVID SEATS INC.</w:t>
      </w:r>
    </w:p>
    <w:p>
      <w:pPr>
        <w:pStyle w:val="TextBody"/>
        <w:spacing w:before="0" w:after="0"/>
        <w:jc w:val="center"/>
        <w:rPr>
          <w:rFonts w:ascii="Calibri;sans-serif" w:hAnsi="Calibri;sans-serif"/>
          <w:b/>
          <w:sz w:val="20"/>
        </w:rPr>
      </w:pPr>
      <w:r>
        <w:rPr>
          <w:rFonts w:ascii="Calibri;sans-serif" w:hAnsi="Calibri;sans-serif"/>
          <w:b/>
          <w:sz w:val="20"/>
        </w:rPr>
        <w:t>CONDENSED CONSOLIDATED STATEMENTS OF COMPREHENSIVE INCOME</w:t>
      </w:r>
    </w:p>
    <w:p>
      <w:pPr>
        <w:pStyle w:val="TextBody"/>
        <w:spacing w:before="0" w:after="0"/>
        <w:jc w:val="center"/>
        <w:rPr>
          <w:rFonts w:ascii="Calibri;sans-serif" w:hAnsi="Calibri;sans-serif"/>
          <w:b/>
          <w:sz w:val="20"/>
        </w:rPr>
      </w:pPr>
      <w:r>
        <w:rPr>
          <w:rFonts w:ascii="Calibri;sans-serif" w:hAnsi="Calibri;sans-serif"/>
          <w:b/>
          <w:sz w:val="20"/>
        </w:rPr>
        <w:t>(in thousands) (Unaudited)</w:t>
      </w:r>
    </w:p>
    <w:p>
      <w:pPr>
        <w:pStyle w:val="TextBody"/>
        <w:spacing w:before="0" w:after="0"/>
        <w:jc w:val="center"/>
        <w:rPr/>
      </w:pPr>
      <w:r>
        <w:rPr/>
        <w:t> </w:t>
      </w:r>
    </w:p>
    <w:p>
      <w:pPr>
        <w:pStyle w:val="TextBody"/>
        <w:spacing w:before="0" w:after="0"/>
        <w:jc w:val="left"/>
        <w:rPr/>
      </w:pPr>
      <w:bookmarkStart w:id="7" w:name="soci"/>
      <w:bookmarkEnd w:id="7"/>
      <w:r>
        <w:rPr/>
        <w:t> </w:t>
      </w:r>
    </w:p>
    <w:tbl>
      <w:tblPr>
        <w:tblW w:w="9165" w:type="dxa"/>
        <w:jc w:val="left"/>
        <w:tblInd w:w="0" w:type="dxa"/>
        <w:tblCellMar>
          <w:top w:w="28" w:type="dxa"/>
          <w:left w:w="28" w:type="dxa"/>
          <w:bottom w:w="28" w:type="dxa"/>
          <w:right w:w="28" w:type="dxa"/>
        </w:tblCellMar>
      </w:tblPr>
      <w:tblGrid>
        <w:gridCol w:w="6061"/>
        <w:gridCol w:w="146"/>
        <w:gridCol w:w="287"/>
        <w:gridCol w:w="920"/>
        <w:gridCol w:w="198"/>
        <w:gridCol w:w="198"/>
        <w:gridCol w:w="287"/>
        <w:gridCol w:w="777"/>
        <w:gridCol w:w="291"/>
      </w:tblGrid>
      <w:tr>
        <w:trPr/>
        <w:tc>
          <w:tcPr>
            <w:tcW w:w="60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60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7" w:type="dxa"/>
            <w:gridSpan w:val="6"/>
            <w:tcBorders/>
            <w:shd w:fill="auto" w:val="cle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Three Months Ended March 31,</w:t>
            </w:r>
          </w:p>
        </w:tc>
        <w:tc>
          <w:tcPr>
            <w:tcW w:w="291" w:type="dxa"/>
            <w:tcBorders/>
            <w:shd w:fill="auto" w:val="clear"/>
            <w:vAlign w:val="center"/>
          </w:tcPr>
          <w:p>
            <w:pPr>
              <w:pStyle w:val="TableContents"/>
              <w:spacing w:before="0" w:after="0"/>
              <w:ind w:left="0" w:right="0" w:hanging="0"/>
              <w:jc w:val="center"/>
              <w:rPr/>
            </w:pPr>
            <w:r>
              <w:rPr/>
              <w:t> </w:t>
            </w:r>
          </w:p>
        </w:tc>
      </w:tr>
      <w:tr>
        <w:trPr/>
        <w:tc>
          <w:tcPr>
            <w:tcW w:w="60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2023</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8" w:type="dxa"/>
            <w:tcBorders/>
            <w:shd w:fill="auto" w:val="clear"/>
            <w:vAlign w:val="center"/>
          </w:tcPr>
          <w:p>
            <w:pPr>
              <w:pStyle w:val="TableContents"/>
              <w:spacing w:before="0" w:after="0"/>
              <w:ind w:left="0" w:right="0" w:hanging="0"/>
              <w:jc w:val="center"/>
              <w:rPr/>
            </w:pPr>
            <w:r>
              <w:rPr/>
              <w:t> </w:t>
            </w:r>
          </w:p>
        </w:tc>
        <w:tc>
          <w:tcPr>
            <w:tcW w:w="106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2022</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6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87"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20"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30,272</w:t>
            </w:r>
          </w:p>
        </w:tc>
        <w:tc>
          <w:tcPr>
            <w:tcW w:w="198"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287"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77"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3,138</w:t>
            </w:r>
          </w:p>
        </w:tc>
        <w:tc>
          <w:tcPr>
            <w:tcW w:w="291" w:type="dxa"/>
            <w:tcBorders/>
            <w:shd w:fill="auto" w:val="clear"/>
            <w:vAlign w:val="center"/>
          </w:tcPr>
          <w:p>
            <w:pPr>
              <w:pStyle w:val="TableContents"/>
              <w:spacing w:before="0" w:after="0"/>
              <w:ind w:left="0" w:right="0" w:hanging="0"/>
              <w:jc w:val="left"/>
              <w:rPr/>
            </w:pPr>
            <w:r>
              <w:rPr/>
              <w:t> </w:t>
            </w:r>
          </w:p>
        </w:tc>
      </w:tr>
      <w:tr>
        <w:trPr/>
        <w:tc>
          <w:tcPr>
            <w:tcW w:w="606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Other comprehensive income:</w:t>
            </w:r>
          </w:p>
        </w:tc>
        <w:tc>
          <w:tcPr>
            <w:tcW w:w="146" w:type="dxa"/>
            <w:tcBorders/>
            <w:shd w:fill="auto" w:val="clear"/>
            <w:vAlign w:val="center"/>
          </w:tcPr>
          <w:p>
            <w:pPr>
              <w:pStyle w:val="TableContents"/>
              <w:spacing w:before="0" w:after="0"/>
              <w:ind w:left="0" w:right="0" w:hanging="0"/>
              <w:jc w:val="left"/>
              <w:rPr/>
            </w:pPr>
            <w:r>
              <w:rPr/>
              <w:t> </w:t>
            </w:r>
          </w:p>
        </w:tc>
        <w:tc>
          <w:tcPr>
            <w:tcW w:w="1207" w:type="dxa"/>
            <w:gridSpan w:val="2"/>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1064" w:type="dxa"/>
            <w:gridSpan w:val="2"/>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606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Comprehensive income, net of taxes</w:t>
            </w:r>
          </w:p>
        </w:tc>
        <w:tc>
          <w:tcPr>
            <w:tcW w:w="146" w:type="dxa"/>
            <w:tcBorders/>
            <w:shd w:fill="auto" w:val="clear"/>
            <w:vAlign w:val="center"/>
          </w:tcPr>
          <w:p>
            <w:pPr>
              <w:pStyle w:val="TableContents"/>
              <w:spacing w:before="0" w:after="0"/>
              <w:ind w:left="0" w:right="0" w:hanging="0"/>
              <w:jc w:val="left"/>
              <w:rPr/>
            </w:pPr>
            <w:r>
              <w:rPr/>
              <w:t> </w:t>
            </w:r>
          </w:p>
        </w:tc>
        <w:tc>
          <w:tcPr>
            <w:tcW w:w="287"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920"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30,272</w:t>
            </w:r>
          </w:p>
        </w:tc>
        <w:tc>
          <w:tcPr>
            <w:tcW w:w="198"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287"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777"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3,138</w:t>
            </w:r>
          </w:p>
        </w:tc>
        <w:tc>
          <w:tcPr>
            <w:tcW w:w="291" w:type="dxa"/>
            <w:tcBorders/>
            <w:shd w:fill="auto" w:val="clear"/>
            <w:vAlign w:val="center"/>
          </w:tcPr>
          <w:p>
            <w:pPr>
              <w:pStyle w:val="TableContents"/>
              <w:spacing w:before="0" w:after="0"/>
              <w:ind w:left="0" w:right="0" w:firstLine="100"/>
              <w:jc w:val="left"/>
              <w:rPr/>
            </w:pPr>
            <w:r>
              <w:rPr/>
              <w:t> </w:t>
            </w:r>
          </w:p>
        </w:tc>
      </w:tr>
      <w:tr>
        <w:trPr/>
        <w:tc>
          <w:tcPr>
            <w:tcW w:w="606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Comprehensive income attributable to redeemable 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18,090</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2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1,879</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6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Comprehensive income attributable to Class A Common Stockholders</w:t>
            </w:r>
          </w:p>
        </w:tc>
        <w:tc>
          <w:tcPr>
            <w:tcW w:w="146" w:type="dxa"/>
            <w:tcBorders/>
            <w:shd w:fill="auto" w:val="clear"/>
            <w:vAlign w:val="center"/>
          </w:tcPr>
          <w:p>
            <w:pPr>
              <w:pStyle w:val="TableContents"/>
              <w:spacing w:before="0" w:after="0"/>
              <w:ind w:left="0" w:right="0" w:hanging="0"/>
              <w:jc w:val="left"/>
              <w:rPr/>
            </w:pPr>
            <w:r>
              <w:rPr/>
              <w:t> </w:t>
            </w:r>
          </w:p>
        </w:tc>
        <w:tc>
          <w:tcPr>
            <w:tcW w:w="2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9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12,182</w:t>
            </w:r>
          </w:p>
        </w:tc>
        <w:tc>
          <w:tcPr>
            <w:tcW w:w="1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2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7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1,259</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60" w:after="120"/>
        <w:jc w:val="center"/>
        <w:rPr>
          <w:rFonts w:ascii="Calibri;sans-serif" w:hAnsi="Calibri;sans-serif"/>
          <w:b w:val="false"/>
          <w:sz w:val="20"/>
        </w:rPr>
      </w:pPr>
      <w:r>
        <w:rPr>
          <w:rFonts w:ascii="Calibri;sans-serif" w:hAnsi="Calibri;sans-serif"/>
          <w:b w:val="false"/>
          <w:sz w:val="20"/>
        </w:rPr>
        <w:t>The accompanying notes are an integral part of these financial statements.</w:t>
      </w:r>
    </w:p>
    <w:p>
      <w:pPr>
        <w:pStyle w:val="TextBody"/>
        <w:spacing w:before="0" w:after="0"/>
        <w:jc w:val="center"/>
        <w:rPr>
          <w:rFonts w:ascii="Calibri;sans-serif" w:hAnsi="Calibri;sans-serif"/>
          <w:b w:val="false"/>
          <w:sz w:val="20"/>
        </w:rPr>
      </w:pPr>
      <w:r>
        <w:rPr>
          <w:rFonts w:ascii="Calibri;sans-serif" w:hAnsi="Calibri;sans-serif"/>
          <w:b w:val="false"/>
          <w:sz w:val="20"/>
        </w:rPr>
        <w:t>5</w:t>
      </w:r>
    </w:p>
    <w:p>
      <w:pPr>
        <w:pStyle w:val="HorizontalLine"/>
        <w:rPr/>
      </w:pPr>
      <w:r>
        <w:rPr/>
      </w:r>
    </w:p>
    <w:p>
      <w:pPr>
        <w:pStyle w:val="TextBody"/>
        <w:spacing w:before="0" w:after="0"/>
        <w:jc w:val="center"/>
        <w:rPr>
          <w:rFonts w:ascii="Calibri;sans-serif" w:hAnsi="Calibri;sans-serif"/>
          <w:b/>
          <w:sz w:val="20"/>
        </w:rPr>
      </w:pPr>
      <w:r>
        <w:rPr>
          <w:rFonts w:ascii="Calibri;sans-serif" w:hAnsi="Calibri;sans-serif"/>
          <w:b/>
          <w:sz w:val="20"/>
        </w:rPr>
        <w:t>VIVID SEATS INC.</w:t>
      </w:r>
    </w:p>
    <w:p>
      <w:pPr>
        <w:pStyle w:val="TextBody"/>
        <w:spacing w:before="0" w:after="0"/>
        <w:jc w:val="center"/>
        <w:rPr>
          <w:rFonts w:ascii="Calibri;sans-serif" w:hAnsi="Calibri;sans-serif"/>
          <w:b/>
          <w:sz w:val="20"/>
        </w:rPr>
      </w:pPr>
      <w:r>
        <w:rPr>
          <w:rFonts w:ascii="Calibri;sans-serif" w:hAnsi="Calibri;sans-serif"/>
          <w:b/>
          <w:sz w:val="20"/>
        </w:rPr>
        <w:t>CONDENSED CONSOLIDATED STATEMENTS OF DEFICIT</w:t>
      </w:r>
    </w:p>
    <w:p>
      <w:pPr>
        <w:pStyle w:val="TextBody"/>
        <w:spacing w:before="0" w:after="0"/>
        <w:jc w:val="center"/>
        <w:rPr>
          <w:rFonts w:ascii="Times New Roman" w:hAnsi="Times New Roman"/>
          <w:sz w:val="20"/>
        </w:rPr>
      </w:pPr>
      <w:r>
        <w:rPr>
          <w:rFonts w:ascii="Calibri;sans-serif" w:hAnsi="Calibri;sans-serif"/>
          <w:b/>
          <w:sz w:val="20"/>
        </w:rPr>
        <w:t>(in thousands, except for share data) (Unaudited)</w:t>
        <w:br/>
      </w:r>
      <w:r>
        <w:rPr>
          <w:rFonts w:ascii="Times New Roman" w:hAnsi="Times New Roman"/>
          <w:sz w:val="20"/>
        </w:rPr>
        <w:t> </w:t>
      </w:r>
    </w:p>
    <w:p>
      <w:pPr>
        <w:pStyle w:val="TextBody"/>
        <w:spacing w:before="0" w:after="0"/>
        <w:jc w:val="left"/>
        <w:rPr/>
      </w:pPr>
      <w:bookmarkStart w:id="8" w:name="soe"/>
      <w:bookmarkEnd w:id="8"/>
      <w:r>
        <w:rPr/>
        <w:t> </w:t>
      </w:r>
    </w:p>
    <w:tbl>
      <w:tblPr>
        <w:tblW w:w="14550" w:type="dxa"/>
        <w:jc w:val="left"/>
        <w:tblInd w:w="0" w:type="dxa"/>
        <w:tblCellMar>
          <w:top w:w="28" w:type="dxa"/>
          <w:left w:w="28" w:type="dxa"/>
          <w:bottom w:w="28" w:type="dxa"/>
          <w:right w:w="28" w:type="dxa"/>
        </w:tblCellMar>
      </w:tblPr>
      <w:tblGrid>
        <w:gridCol w:w="1366"/>
        <w:gridCol w:w="146"/>
        <w:gridCol w:w="238"/>
        <w:gridCol w:w="1053"/>
        <w:gridCol w:w="146"/>
        <w:gridCol w:w="146"/>
        <w:gridCol w:w="146"/>
        <w:gridCol w:w="1036"/>
        <w:gridCol w:w="146"/>
        <w:gridCol w:w="146"/>
        <w:gridCol w:w="295"/>
        <w:gridCol w:w="486"/>
        <w:gridCol w:w="146"/>
        <w:gridCol w:w="146"/>
        <w:gridCol w:w="146"/>
        <w:gridCol w:w="1141"/>
        <w:gridCol w:w="146"/>
        <w:gridCol w:w="146"/>
        <w:gridCol w:w="295"/>
        <w:gridCol w:w="486"/>
        <w:gridCol w:w="146"/>
        <w:gridCol w:w="146"/>
        <w:gridCol w:w="211"/>
        <w:gridCol w:w="781"/>
        <w:gridCol w:w="166"/>
        <w:gridCol w:w="146"/>
        <w:gridCol w:w="191"/>
        <w:gridCol w:w="455"/>
        <w:gridCol w:w="146"/>
        <w:gridCol w:w="146"/>
        <w:gridCol w:w="295"/>
        <w:gridCol w:w="486"/>
        <w:gridCol w:w="146"/>
        <w:gridCol w:w="146"/>
        <w:gridCol w:w="211"/>
        <w:gridCol w:w="991"/>
        <w:gridCol w:w="166"/>
        <w:gridCol w:w="146"/>
        <w:gridCol w:w="243"/>
        <w:gridCol w:w="973"/>
        <w:gridCol w:w="211"/>
      </w:tblGrid>
      <w:tr>
        <w:trPr/>
        <w:tc>
          <w:tcPr>
            <w:tcW w:w="1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5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Class A 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Class B 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1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Treasury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1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Redeemable noncontrolling interests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Additional paid-in 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Accumulated 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Total shareholders' deficit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Balances at January 1, 2022</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0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1,286,016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79,091,871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48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118,200,000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95"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48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182,091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95"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(1,042,794</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7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(860,683</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13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1,879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1,259</w:t>
            </w:r>
          </w:p>
        </w:tc>
        <w:tc>
          <w:tcPr>
            <w:tcW w:w="211" w:type="dxa"/>
            <w:tcBorders/>
            <w:shd w:fill="auto" w:val="clear"/>
            <w:vAlign w:val="center"/>
          </w:tcPr>
          <w:p>
            <w:pPr>
              <w:pStyle w:val="TableContents"/>
              <w:spacing w:before="0" w:after="0"/>
              <w:ind w:left="0" w:right="0" w:hanging="0"/>
              <w:jc w:val="left"/>
              <w:rPr/>
            </w:pPr>
            <w:r>
              <w:rPr/>
              <w:t> </w:t>
            </w:r>
          </w:p>
        </w:tc>
      </w:tr>
      <w:tr>
        <w:trPr/>
        <w:tc>
          <w:tcPr>
            <w:tcW w:w="13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Issuance of shares</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75,072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13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Deemed contribution from former parent</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463</w:t>
            </w:r>
          </w:p>
        </w:tc>
        <w:tc>
          <w:tcPr>
            <w:tcW w:w="211" w:type="dxa"/>
            <w:tcBorders/>
            <w:shd w:fill="auto" w:val="clear"/>
            <w:vAlign w:val="center"/>
          </w:tcPr>
          <w:p>
            <w:pPr>
              <w:pStyle w:val="TableContents"/>
              <w:spacing w:before="0" w:after="0"/>
              <w:ind w:left="0" w:right="0" w:hanging="0"/>
              <w:jc w:val="left"/>
              <w:rPr/>
            </w:pPr>
            <w:r>
              <w:rPr/>
              <w:t> </w:t>
            </w:r>
          </w:p>
        </w:tc>
      </w:tr>
      <w:tr>
        <w:trPr/>
        <w:tc>
          <w:tcPr>
            <w:tcW w:w="13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Equity-based compensation</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2,443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2,443</w:t>
            </w:r>
          </w:p>
        </w:tc>
        <w:tc>
          <w:tcPr>
            <w:tcW w:w="211" w:type="dxa"/>
            <w:tcBorders/>
            <w:shd w:fill="auto" w:val="clear"/>
            <w:vAlign w:val="center"/>
          </w:tcPr>
          <w:p>
            <w:pPr>
              <w:pStyle w:val="TableContents"/>
              <w:spacing w:before="0" w:after="0"/>
              <w:ind w:left="0" w:right="0" w:hanging="0"/>
              <w:jc w:val="left"/>
              <w:rPr/>
            </w:pPr>
            <w:r>
              <w:rPr/>
              <w:t> </w:t>
            </w:r>
          </w:p>
        </w:tc>
      </w:tr>
      <w:tr>
        <w:trPr/>
        <w:tc>
          <w:tcPr>
            <w:tcW w:w="13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Subsequent remeasurement of Redeemable 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18,706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(18,706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(18,706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1366"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Balances at March 31, 2022</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10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1,307,292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79,166,943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4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118,200,000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4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166,291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4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9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(1,041,535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9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(875,224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r>
    </w:tbl>
    <w:p>
      <w:pPr>
        <w:pStyle w:val="TextBody"/>
        <w:spacing w:before="160" w:after="120"/>
        <w:jc w:val="center"/>
        <w:rPr/>
      </w:pPr>
      <w:r>
        <w:rPr/>
        <w:t> </w:t>
      </w:r>
    </w:p>
    <w:tbl>
      <w:tblPr>
        <w:tblW w:w="15267" w:type="dxa"/>
        <w:jc w:val="left"/>
        <w:tblInd w:w="0" w:type="dxa"/>
        <w:tblCellMar>
          <w:top w:w="28" w:type="dxa"/>
          <w:left w:w="28" w:type="dxa"/>
          <w:bottom w:w="28" w:type="dxa"/>
          <w:right w:w="28" w:type="dxa"/>
        </w:tblCellMar>
      </w:tblPr>
      <w:tblGrid>
        <w:gridCol w:w="1366"/>
        <w:gridCol w:w="146"/>
        <w:gridCol w:w="274"/>
        <w:gridCol w:w="1017"/>
        <w:gridCol w:w="166"/>
        <w:gridCol w:w="146"/>
        <w:gridCol w:w="146"/>
        <w:gridCol w:w="1036"/>
        <w:gridCol w:w="146"/>
        <w:gridCol w:w="146"/>
        <w:gridCol w:w="295"/>
        <w:gridCol w:w="486"/>
        <w:gridCol w:w="146"/>
        <w:gridCol w:w="146"/>
        <w:gridCol w:w="146"/>
        <w:gridCol w:w="1141"/>
        <w:gridCol w:w="146"/>
        <w:gridCol w:w="146"/>
        <w:gridCol w:w="295"/>
        <w:gridCol w:w="486"/>
        <w:gridCol w:w="146"/>
        <w:gridCol w:w="146"/>
        <w:gridCol w:w="211"/>
        <w:gridCol w:w="781"/>
        <w:gridCol w:w="166"/>
        <w:gridCol w:w="146"/>
        <w:gridCol w:w="146"/>
        <w:gridCol w:w="991"/>
        <w:gridCol w:w="166"/>
        <w:gridCol w:w="146"/>
        <w:gridCol w:w="211"/>
        <w:gridCol w:w="736"/>
        <w:gridCol w:w="166"/>
        <w:gridCol w:w="146"/>
        <w:gridCol w:w="211"/>
        <w:gridCol w:w="991"/>
        <w:gridCol w:w="166"/>
        <w:gridCol w:w="146"/>
        <w:gridCol w:w="243"/>
        <w:gridCol w:w="973"/>
        <w:gridCol w:w="211"/>
      </w:tblGrid>
      <w:tr>
        <w:trPr/>
        <w:tc>
          <w:tcPr>
            <w:tcW w:w="1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3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5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Class A 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Class B 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Treasury Stock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13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Redeemable noncontrolling interests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Additional paid-in 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Accumulated 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Total shareholders' deficit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Balances at January 1, 2023</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017"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862,860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82,410,774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48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118,200,000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95"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48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663,908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(4,342,477</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3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(32,494</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(1,014,132</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7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(382,698</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13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18,090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12,182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12,182</w:t>
            </w:r>
          </w:p>
        </w:tc>
        <w:tc>
          <w:tcPr>
            <w:tcW w:w="211" w:type="dxa"/>
            <w:tcBorders/>
            <w:shd w:fill="auto" w:val="clear"/>
            <w:vAlign w:val="center"/>
          </w:tcPr>
          <w:p>
            <w:pPr>
              <w:pStyle w:val="TableContents"/>
              <w:spacing w:before="0" w:after="0"/>
              <w:ind w:left="0" w:right="0" w:hanging="0"/>
              <w:jc w:val="left"/>
              <w:rPr/>
            </w:pPr>
            <w:r>
              <w:rPr/>
              <w:t> </w:t>
            </w:r>
          </w:p>
        </w:tc>
      </w:tr>
      <w:tr>
        <w:trPr/>
        <w:tc>
          <w:tcPr>
            <w:tcW w:w="13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Issuance of shares</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491,502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w:t>
            </w:r>
          </w:p>
        </w:tc>
        <w:tc>
          <w:tcPr>
            <w:tcW w:w="211" w:type="dxa"/>
            <w:tcBorders/>
            <w:shd w:fill="auto" w:val="clear"/>
            <w:vAlign w:val="center"/>
          </w:tcPr>
          <w:p>
            <w:pPr>
              <w:pStyle w:val="TableContents"/>
              <w:spacing w:before="0" w:after="0"/>
              <w:ind w:left="0" w:right="0" w:hanging="0"/>
              <w:jc w:val="left"/>
              <w:rPr/>
            </w:pPr>
            <w:r>
              <w:rPr/>
              <w:t> </w:t>
            </w:r>
          </w:p>
        </w:tc>
      </w:tr>
      <w:tr>
        <w:trPr/>
        <w:tc>
          <w:tcPr>
            <w:tcW w:w="13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Deemed contribution from former parent</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391</w:t>
            </w:r>
          </w:p>
        </w:tc>
        <w:tc>
          <w:tcPr>
            <w:tcW w:w="211" w:type="dxa"/>
            <w:tcBorders/>
            <w:shd w:fill="auto" w:val="clear"/>
            <w:vAlign w:val="center"/>
          </w:tcPr>
          <w:p>
            <w:pPr>
              <w:pStyle w:val="TableContents"/>
              <w:spacing w:before="0" w:after="0"/>
              <w:ind w:left="0" w:right="0" w:hanging="0"/>
              <w:jc w:val="left"/>
              <w:rPr/>
            </w:pPr>
            <w:r>
              <w:rPr/>
              <w:t> </w:t>
            </w:r>
          </w:p>
        </w:tc>
      </w:tr>
      <w:tr>
        <w:trPr/>
        <w:tc>
          <w:tcPr>
            <w:tcW w:w="13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Equity-based compensation</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4,615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4,615</w:t>
            </w:r>
          </w:p>
        </w:tc>
        <w:tc>
          <w:tcPr>
            <w:tcW w:w="211" w:type="dxa"/>
            <w:tcBorders/>
            <w:shd w:fill="auto" w:val="clear"/>
            <w:vAlign w:val="center"/>
          </w:tcPr>
          <w:p>
            <w:pPr>
              <w:pStyle w:val="TableContents"/>
              <w:spacing w:before="0" w:after="0"/>
              <w:ind w:left="0" w:right="0" w:hanging="0"/>
              <w:jc w:val="left"/>
              <w:rPr/>
            </w:pPr>
            <w:r>
              <w:rPr/>
              <w:t> </w:t>
            </w:r>
          </w:p>
        </w:tc>
      </w:tr>
      <w:tr>
        <w:trPr/>
        <w:tc>
          <w:tcPr>
            <w:tcW w:w="13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Repurchases of common stock</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(949,020</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(7,612</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(7,612</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13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Distributions to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(3,816</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973"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13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Subsequent remeasurement of Redeemable 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24,155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(24,155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(24,155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1366"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Balances at March 31, 2023</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10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901,866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82,902,276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4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118,200,000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4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644,759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(5,291,497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(40,106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9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(1,001,950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9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(397,276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r>
    </w:tbl>
    <w:p>
      <w:pPr>
        <w:pStyle w:val="TextBody"/>
        <w:spacing w:before="160" w:after="120"/>
        <w:jc w:val="center"/>
        <w:rPr>
          <w:rFonts w:ascii="Calibri;sans-serif" w:hAnsi="Calibri;sans-serif"/>
          <w:b w:val="false"/>
          <w:sz w:val="20"/>
        </w:rPr>
      </w:pPr>
      <w:r>
        <w:rPr>
          <w:rFonts w:ascii="Calibri;sans-serif" w:hAnsi="Calibri;sans-serif"/>
          <w:b w:val="false"/>
          <w:sz w:val="20"/>
        </w:rPr>
        <w:t>The accompanying notes are an integral part of these financial statements.</w:t>
      </w:r>
    </w:p>
    <w:p>
      <w:pPr>
        <w:pStyle w:val="TextBody"/>
        <w:spacing w:before="0" w:after="0"/>
        <w:jc w:val="center"/>
        <w:rPr>
          <w:rFonts w:ascii="Calibri;sans-serif" w:hAnsi="Calibri;sans-serif"/>
          <w:b w:val="false"/>
          <w:sz w:val="20"/>
        </w:rPr>
      </w:pPr>
      <w:r>
        <w:rPr>
          <w:rFonts w:ascii="Calibri;sans-serif" w:hAnsi="Calibri;sans-serif"/>
          <w:b w:val="false"/>
          <w:sz w:val="20"/>
        </w:rPr>
        <w:t>6</w:t>
      </w:r>
    </w:p>
    <w:p>
      <w:pPr>
        <w:pStyle w:val="HorizontalLine"/>
        <w:rPr/>
      </w:pPr>
      <w:r>
        <w:rPr/>
      </w:r>
    </w:p>
    <w:p>
      <w:pPr>
        <w:pStyle w:val="TextBody"/>
        <w:spacing w:before="0" w:after="0"/>
        <w:jc w:val="center"/>
        <w:rPr>
          <w:rFonts w:ascii="Calibri;sans-serif" w:hAnsi="Calibri;sans-serif"/>
          <w:b/>
          <w:sz w:val="20"/>
        </w:rPr>
      </w:pPr>
      <w:r>
        <w:rPr>
          <w:rFonts w:ascii="Calibri;sans-serif" w:hAnsi="Calibri;sans-serif"/>
          <w:b/>
          <w:sz w:val="20"/>
        </w:rPr>
        <w:t>VIVID SEATS INC.</w:t>
      </w:r>
    </w:p>
    <w:p>
      <w:pPr>
        <w:pStyle w:val="TextBody"/>
        <w:spacing w:before="0" w:after="0"/>
        <w:jc w:val="center"/>
        <w:rPr>
          <w:rFonts w:ascii="Calibri;sans-serif" w:hAnsi="Calibri;sans-serif"/>
          <w:b/>
          <w:sz w:val="20"/>
        </w:rPr>
      </w:pPr>
      <w:r>
        <w:rPr>
          <w:rFonts w:ascii="Calibri;sans-serif" w:hAnsi="Calibri;sans-serif"/>
          <w:b/>
          <w:sz w:val="20"/>
        </w:rPr>
        <w:t>CONDENSED CONSOLIDATED STATEMENTS OF CASH FLOWS</w:t>
      </w:r>
    </w:p>
    <w:p>
      <w:pPr>
        <w:pStyle w:val="TextBody"/>
        <w:spacing w:before="0" w:after="0"/>
        <w:jc w:val="center"/>
        <w:rPr>
          <w:rFonts w:ascii="Calibri;sans-serif" w:hAnsi="Calibri;sans-serif"/>
          <w:b/>
          <w:sz w:val="20"/>
        </w:rPr>
      </w:pPr>
      <w:r>
        <w:rPr>
          <w:rFonts w:ascii="Calibri;sans-serif" w:hAnsi="Calibri;sans-serif"/>
          <w:b/>
          <w:sz w:val="20"/>
        </w:rPr>
        <w:t>(in thousands) (Unaudited)</w:t>
      </w:r>
    </w:p>
    <w:p>
      <w:pPr>
        <w:pStyle w:val="TextBody"/>
        <w:spacing w:before="0" w:after="0"/>
        <w:jc w:val="left"/>
        <w:rPr/>
      </w:pPr>
      <w:bookmarkStart w:id="9" w:name="socf"/>
      <w:bookmarkEnd w:id="9"/>
      <w:r>
        <w:rPr/>
        <w:t> </w:t>
      </w:r>
    </w:p>
    <w:tbl>
      <w:tblPr>
        <w:tblW w:w="9907" w:type="dxa"/>
        <w:jc w:val="left"/>
        <w:tblInd w:w="0" w:type="dxa"/>
        <w:tblCellMar>
          <w:top w:w="28" w:type="dxa"/>
          <w:left w:w="28" w:type="dxa"/>
          <w:bottom w:w="28" w:type="dxa"/>
          <w:right w:w="28" w:type="dxa"/>
        </w:tblCellMar>
      </w:tblPr>
      <w:tblGrid>
        <w:gridCol w:w="6781"/>
        <w:gridCol w:w="146"/>
        <w:gridCol w:w="239"/>
        <w:gridCol w:w="885"/>
        <w:gridCol w:w="188"/>
        <w:gridCol w:w="165"/>
        <w:gridCol w:w="239"/>
        <w:gridCol w:w="953"/>
        <w:gridCol w:w="311"/>
      </w:tblGrid>
      <w:tr>
        <w:trPr/>
        <w:tc>
          <w:tcPr>
            <w:tcW w:w="6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6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Three Months Ended March 31,</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2023</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11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2022</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8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124" w:type="dxa"/>
            <w:gridSpan w:val="2"/>
            <w:tcBorders/>
            <w:shd w:fill="auto" w:val="clear"/>
            <w:vAlign w:val="center"/>
          </w:tcPr>
          <w:p>
            <w:pPr>
              <w:pStyle w:val="TableContents"/>
              <w:spacing w:before="0" w:after="0"/>
              <w:ind w:left="0" w:right="0" w:hanging="0"/>
              <w:jc w:val="right"/>
              <w:rPr/>
            </w:pPr>
            <w:r>
              <w:rPr/>
              <w:t> </w:t>
            </w:r>
          </w:p>
        </w:tc>
        <w:tc>
          <w:tcPr>
            <w:tcW w:w="188" w:type="dxa"/>
            <w:tcBorders/>
            <w:shd w:fill="auto" w:val="clear"/>
            <w:vAlign w:val="center"/>
          </w:tcPr>
          <w:p>
            <w:pPr>
              <w:pStyle w:val="TableContents"/>
              <w:spacing w:before="0" w:after="0"/>
              <w:ind w:left="0" w:right="0" w:hanging="0"/>
              <w:jc w:val="righ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1192" w:type="dxa"/>
            <w:gridSpan w:val="2"/>
            <w:tcBorders/>
            <w:shd w:fill="auto" w:val="clear"/>
            <w:vAlign w:val="center"/>
          </w:tcPr>
          <w:p>
            <w:pPr>
              <w:pStyle w:val="TableContents"/>
              <w:spacing w:before="0" w:after="0"/>
              <w:ind w:left="0" w:right="0" w:hanging="0"/>
              <w:jc w:val="right"/>
              <w:rPr/>
            </w:pPr>
            <w:r>
              <w:rPr/>
              <w:t> </w:t>
            </w:r>
          </w:p>
        </w:tc>
        <w:tc>
          <w:tcPr>
            <w:tcW w:w="311" w:type="dxa"/>
            <w:tcBorders/>
            <w:shd w:fill="auto" w:val="clear"/>
            <w:vAlign w:val="center"/>
          </w:tcPr>
          <w:p>
            <w:pPr>
              <w:pStyle w:val="TableContents"/>
              <w:spacing w:before="0" w:after="0"/>
              <w:ind w:left="0" w:right="0" w:firstLine="100"/>
              <w:jc w:val="right"/>
              <w:rPr/>
            </w:pPr>
            <w:r>
              <w:rPr/>
              <w:t> </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8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30,272</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3,138</w:t>
            </w:r>
          </w:p>
        </w:tc>
        <w:tc>
          <w:tcPr>
            <w:tcW w:w="311" w:type="dxa"/>
            <w:tcBorders/>
            <w:shd w:fill="auto" w:val="clear"/>
            <w:vAlign w:val="center"/>
          </w:tcPr>
          <w:p>
            <w:pPr>
              <w:pStyle w:val="TableContents"/>
              <w:spacing w:before="0" w:after="0"/>
              <w:ind w:left="0" w:right="0" w:hanging="0"/>
              <w:jc w:val="left"/>
              <w:rPr/>
            </w:pPr>
            <w:r>
              <w:rPr/>
              <w:t> </w:t>
            </w:r>
          </w:p>
        </w:tc>
      </w:tr>
      <w:tr>
        <w:trPr/>
        <w:tc>
          <w:tcPr>
            <w:tcW w:w="678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Adjustments to reconcile net income to 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124" w:type="dxa"/>
            <w:gridSpan w:val="2"/>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1192"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firstLine="100"/>
              <w:jc w:val="left"/>
              <w:rPr/>
            </w:pPr>
            <w:r>
              <w:rPr/>
              <w:t> </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2,598</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1,385</w:t>
            </w:r>
          </w:p>
        </w:tc>
        <w:tc>
          <w:tcPr>
            <w:tcW w:w="311" w:type="dxa"/>
            <w:tcBorders/>
            <w:shd w:fill="auto" w:val="clear"/>
            <w:vAlign w:val="center"/>
          </w:tcPr>
          <w:p>
            <w:pPr>
              <w:pStyle w:val="TableContents"/>
              <w:spacing w:before="0" w:after="0"/>
              <w:ind w:left="0" w:right="0" w:firstLine="100"/>
              <w:jc w:val="left"/>
              <w:rPr/>
            </w:pPr>
            <w:r>
              <w:rPr/>
              <w:t> </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Amortization of deferred financing costs and interest rate cap</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226</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329</w:t>
            </w:r>
          </w:p>
        </w:tc>
        <w:tc>
          <w:tcPr>
            <w:tcW w:w="311" w:type="dxa"/>
            <w:tcBorders/>
            <w:shd w:fill="auto" w:val="clear"/>
            <w:vAlign w:val="center"/>
          </w:tcPr>
          <w:p>
            <w:pPr>
              <w:pStyle w:val="TableContents"/>
              <w:spacing w:before="0" w:after="0"/>
              <w:ind w:left="0" w:right="0" w:firstLine="100"/>
              <w:jc w:val="left"/>
              <w:rPr/>
            </w:pPr>
            <w:r>
              <w:rPr/>
              <w:t> </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Equity-based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5,530</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3,597</w:t>
            </w:r>
          </w:p>
        </w:tc>
        <w:tc>
          <w:tcPr>
            <w:tcW w:w="311" w:type="dxa"/>
            <w:tcBorders/>
            <w:shd w:fill="auto" w:val="clear"/>
            <w:vAlign w:val="center"/>
          </w:tcPr>
          <w:p>
            <w:pPr>
              <w:pStyle w:val="TableContents"/>
              <w:spacing w:before="0" w:after="0"/>
              <w:ind w:left="0" w:right="0" w:firstLine="100"/>
              <w:jc w:val="left"/>
              <w:rPr/>
            </w:pPr>
            <w:r>
              <w:rPr/>
              <w:t> </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Loss on extinguishment of debt</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pPr>
            <w:r>
              <w:rPr/>
              <w:t>—</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4,285</w:t>
            </w:r>
          </w:p>
        </w:tc>
        <w:tc>
          <w:tcPr>
            <w:tcW w:w="311" w:type="dxa"/>
            <w:tcBorders/>
            <w:shd w:fill="auto" w:val="clear"/>
            <w:vAlign w:val="center"/>
          </w:tcPr>
          <w:p>
            <w:pPr>
              <w:pStyle w:val="TableContents"/>
              <w:spacing w:before="0" w:after="0"/>
              <w:ind w:left="0" w:right="0" w:firstLine="100"/>
              <w:jc w:val="left"/>
              <w:rPr/>
            </w:pPr>
            <w:r>
              <w:rPr/>
              <w:t> </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Change in fair value of warrants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(327</w:t>
            </w:r>
          </w:p>
        </w:tc>
        <w:tc>
          <w:tcPr>
            <w:tcW w:w="188"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2,279</w:t>
            </w:r>
          </w:p>
        </w:tc>
        <w:tc>
          <w:tcPr>
            <w:tcW w:w="311" w:type="dxa"/>
            <w:tcBorders/>
            <w:shd w:fill="auto" w:val="clear"/>
            <w:vAlign w:val="center"/>
          </w:tcPr>
          <w:p>
            <w:pPr>
              <w:pStyle w:val="TableContents"/>
              <w:spacing w:before="0" w:after="0"/>
              <w:ind w:left="0" w:right="0" w:firstLine="100"/>
              <w:jc w:val="left"/>
              <w:rPr/>
            </w:pPr>
            <w:r>
              <w:rPr/>
              <w:t> </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Amortization of leases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150</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490</w:t>
            </w:r>
          </w:p>
        </w:tc>
        <w:tc>
          <w:tcPr>
            <w:tcW w:w="311" w:type="dxa"/>
            <w:tcBorders/>
            <w:shd w:fill="auto" w:val="clear"/>
            <w:vAlign w:val="center"/>
          </w:tcPr>
          <w:p>
            <w:pPr>
              <w:pStyle w:val="TableContents"/>
              <w:spacing w:before="0" w:after="0"/>
              <w:ind w:left="0" w:right="0" w:firstLine="100"/>
              <w:jc w:val="left"/>
              <w:rPr/>
            </w:pPr>
            <w:r>
              <w:rPr/>
              <w:t> </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Loss on asset disposals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pPr>
            <w:r>
              <w:rPr/>
              <w:t>—</w:t>
            </w:r>
          </w:p>
        </w:tc>
        <w:tc>
          <w:tcPr>
            <w:tcW w:w="311" w:type="dxa"/>
            <w:tcBorders/>
            <w:shd w:fill="auto" w:val="clear"/>
            <w:vAlign w:val="center"/>
          </w:tcPr>
          <w:p>
            <w:pPr>
              <w:pStyle w:val="TableContents"/>
              <w:spacing w:before="0" w:after="0"/>
              <w:ind w:left="0" w:right="0" w:firstLine="100"/>
              <w:jc w:val="left"/>
              <w:rPr/>
            </w:pPr>
            <w:r>
              <w:rPr/>
              <w:t> </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Change in fair value of 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34</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pPr>
            <w:r>
              <w:rPr/>
              <w:t>—</w:t>
            </w:r>
          </w:p>
        </w:tc>
        <w:tc>
          <w:tcPr>
            <w:tcW w:w="311" w:type="dxa"/>
            <w:tcBorders/>
            <w:shd w:fill="auto" w:val="clear"/>
            <w:vAlign w:val="center"/>
          </w:tcPr>
          <w:p>
            <w:pPr>
              <w:pStyle w:val="TableContents"/>
              <w:spacing w:before="0" w:after="0"/>
              <w:ind w:left="0" w:right="0" w:hanging="0"/>
              <w:jc w:val="left"/>
              <w:rPr/>
            </w:pPr>
            <w:r>
              <w:rPr/>
              <w:t> </w:t>
            </w:r>
          </w:p>
        </w:tc>
      </w:tr>
      <w:tr>
        <w:trPr/>
        <w:tc>
          <w:tcPr>
            <w:tcW w:w="678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Change in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124" w:type="dxa"/>
            <w:gridSpan w:val="2"/>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1192"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firstLine="100"/>
              <w:jc w:val="left"/>
              <w:rPr/>
            </w:pPr>
            <w:r>
              <w:rPr/>
              <w:t> </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(10,000</w:t>
            </w:r>
          </w:p>
        </w:tc>
        <w:tc>
          <w:tcPr>
            <w:tcW w:w="188"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(17,854</w:t>
            </w:r>
          </w:p>
        </w:tc>
        <w:tc>
          <w:tcPr>
            <w:tcW w:w="311" w:type="dxa"/>
            <w:tcBorders/>
            <w:shd w:fill="auto" w:val="clear"/>
            <w:vAlign w:val="center"/>
          </w:tcPr>
          <w:p>
            <w:pPr>
              <w:pStyle w:val="TableContents"/>
              <w:spacing w:before="0" w:after="0"/>
              <w:ind w:left="0" w:right="0" w:firstLine="100"/>
              <w:jc w:val="left"/>
              <w:rPr>
                <w:rFonts w:ascii="Calibri;sans-serif" w:hAnsi="Calibri;sans-serif"/>
                <w:b w:val="false"/>
                <w:sz w:val="20"/>
              </w:rPr>
            </w:pPr>
            <w:r>
              <w:rPr>
                <w:rFonts w:ascii="Calibri;sans-serif" w:hAnsi="Calibri;sans-serif"/>
                <w:b w:val="false"/>
                <w:sz w:val="20"/>
              </w:rPr>
              <w:t>)</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Inventory</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(11,370</w:t>
            </w:r>
          </w:p>
        </w:tc>
        <w:tc>
          <w:tcPr>
            <w:tcW w:w="188"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(6,126</w:t>
            </w:r>
          </w:p>
        </w:tc>
        <w:tc>
          <w:tcPr>
            <w:tcW w:w="311" w:type="dxa"/>
            <w:tcBorders/>
            <w:shd w:fill="auto" w:val="clear"/>
            <w:vAlign w:val="center"/>
          </w:tcPr>
          <w:p>
            <w:pPr>
              <w:pStyle w:val="TableContents"/>
              <w:spacing w:before="0" w:after="0"/>
              <w:ind w:left="0" w:right="0" w:firstLine="100"/>
              <w:jc w:val="left"/>
              <w:rPr>
                <w:rFonts w:ascii="Calibri;sans-serif" w:hAnsi="Calibri;sans-serif"/>
                <w:b w:val="false"/>
                <w:sz w:val="20"/>
              </w:rPr>
            </w:pPr>
            <w:r>
              <w:rPr>
                <w:rFonts w:ascii="Calibri;sans-serif" w:hAnsi="Calibri;sans-serif"/>
                <w:b w:val="false"/>
                <w:sz w:val="20"/>
              </w:rPr>
              <w:t>)</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(3,417</w:t>
            </w:r>
          </w:p>
        </w:tc>
        <w:tc>
          <w:tcPr>
            <w:tcW w:w="188"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(3,252</w:t>
            </w:r>
          </w:p>
        </w:tc>
        <w:tc>
          <w:tcPr>
            <w:tcW w:w="311" w:type="dxa"/>
            <w:tcBorders/>
            <w:shd w:fill="auto" w:val="clear"/>
            <w:vAlign w:val="center"/>
          </w:tcPr>
          <w:p>
            <w:pPr>
              <w:pStyle w:val="TableContents"/>
              <w:spacing w:before="0" w:after="0"/>
              <w:ind w:left="0" w:right="0" w:firstLine="100"/>
              <w:jc w:val="left"/>
              <w:rPr>
                <w:rFonts w:ascii="Calibri;sans-serif" w:hAnsi="Calibri;sans-serif"/>
                <w:b w:val="false"/>
                <w:sz w:val="20"/>
              </w:rPr>
            </w:pPr>
            <w:r>
              <w:rPr>
                <w:rFonts w:ascii="Calibri;sans-serif" w:hAnsi="Calibri;sans-serif"/>
                <w:b w:val="false"/>
                <w:sz w:val="20"/>
              </w:rPr>
              <w:t>)</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56,826</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45,094</w:t>
            </w:r>
          </w:p>
        </w:tc>
        <w:tc>
          <w:tcPr>
            <w:tcW w:w="311" w:type="dxa"/>
            <w:tcBorders/>
            <w:shd w:fill="auto" w:val="clear"/>
            <w:vAlign w:val="center"/>
          </w:tcPr>
          <w:p>
            <w:pPr>
              <w:pStyle w:val="TableContents"/>
              <w:spacing w:before="0" w:after="0"/>
              <w:ind w:left="0" w:right="0" w:firstLine="100"/>
              <w:jc w:val="left"/>
              <w:rPr/>
            </w:pPr>
            <w:r>
              <w:rPr/>
              <w:t> </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Accrued expenses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444</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(10,599</w:t>
            </w:r>
          </w:p>
        </w:tc>
        <w:tc>
          <w:tcPr>
            <w:tcW w:w="311" w:type="dxa"/>
            <w:tcBorders/>
            <w:shd w:fill="auto" w:val="clear"/>
            <w:vAlign w:val="center"/>
          </w:tcPr>
          <w:p>
            <w:pPr>
              <w:pStyle w:val="TableContents"/>
              <w:spacing w:before="0" w:after="0"/>
              <w:ind w:left="0" w:right="0" w:firstLine="100"/>
              <w:jc w:val="left"/>
              <w:rPr>
                <w:rFonts w:ascii="Calibri;sans-serif" w:hAnsi="Calibri;sans-serif"/>
                <w:b w:val="false"/>
                <w:sz w:val="20"/>
              </w:rPr>
            </w:pPr>
            <w:r>
              <w:rPr>
                <w:rFonts w:ascii="Calibri;sans-serif" w:hAnsi="Calibri;sans-serif"/>
                <w:b w:val="false"/>
                <w:sz w:val="20"/>
              </w:rPr>
              <w:t>)</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(6,063</w:t>
            </w:r>
          </w:p>
        </w:tc>
        <w:tc>
          <w:tcPr>
            <w:tcW w:w="188"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3,094</w:t>
            </w:r>
          </w:p>
        </w:tc>
        <w:tc>
          <w:tcPr>
            <w:tcW w:w="311" w:type="dxa"/>
            <w:tcBorders/>
            <w:shd w:fill="auto" w:val="clear"/>
            <w:vAlign w:val="center"/>
          </w:tcPr>
          <w:p>
            <w:pPr>
              <w:pStyle w:val="TableContents"/>
              <w:spacing w:before="0" w:after="0"/>
              <w:ind w:left="0" w:right="0" w:firstLine="100"/>
              <w:jc w:val="left"/>
              <w:rPr/>
            </w:pPr>
            <w:r>
              <w:rPr/>
              <w:t> </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Other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201</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(2,326</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678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65,111</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23,534</w:t>
            </w:r>
          </w:p>
        </w:tc>
        <w:tc>
          <w:tcPr>
            <w:tcW w:w="311" w:type="dxa"/>
            <w:tcBorders/>
            <w:shd w:fill="auto" w:val="clear"/>
            <w:vAlign w:val="center"/>
          </w:tcPr>
          <w:p>
            <w:pPr>
              <w:pStyle w:val="TableContents"/>
              <w:spacing w:before="0" w:after="0"/>
              <w:ind w:left="0" w:right="0" w:hanging="0"/>
              <w:jc w:val="left"/>
              <w:rPr/>
            </w:pPr>
            <w:r>
              <w:rPr/>
              <w:t> </w:t>
            </w:r>
          </w:p>
        </w:tc>
      </w:tr>
      <w:tr>
        <w:trPr/>
        <w:tc>
          <w:tcPr>
            <w:tcW w:w="678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124" w:type="dxa"/>
            <w:gridSpan w:val="2"/>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1192"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firstLine="100"/>
              <w:jc w:val="left"/>
              <w:rPr/>
            </w:pPr>
            <w:r>
              <w:rPr/>
              <w:t> </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Purchases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(215</w:t>
            </w:r>
          </w:p>
        </w:tc>
        <w:tc>
          <w:tcPr>
            <w:tcW w:w="188"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(693</w:t>
            </w:r>
          </w:p>
        </w:tc>
        <w:tc>
          <w:tcPr>
            <w:tcW w:w="311" w:type="dxa"/>
            <w:tcBorders/>
            <w:shd w:fill="auto" w:val="clear"/>
            <w:vAlign w:val="center"/>
          </w:tcPr>
          <w:p>
            <w:pPr>
              <w:pStyle w:val="TableContents"/>
              <w:spacing w:before="0" w:after="0"/>
              <w:ind w:left="0" w:right="0" w:firstLine="100"/>
              <w:jc w:val="left"/>
              <w:rPr>
                <w:rFonts w:ascii="Calibri;sans-serif" w:hAnsi="Calibri;sans-serif"/>
                <w:b w:val="false"/>
                <w:sz w:val="20"/>
              </w:rPr>
            </w:pPr>
            <w:r>
              <w:rPr>
                <w:rFonts w:ascii="Calibri;sans-serif" w:hAnsi="Calibri;sans-serif"/>
                <w:b w:val="false"/>
                <w:sz w:val="20"/>
              </w:rPr>
              <w:t>)</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Investments in developed technology</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(2,027</w:t>
            </w:r>
          </w:p>
        </w:tc>
        <w:tc>
          <w:tcPr>
            <w:tcW w:w="188"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(2,748</w:t>
            </w:r>
          </w:p>
        </w:tc>
        <w:tc>
          <w:tcPr>
            <w:tcW w:w="311" w:type="dxa"/>
            <w:tcBorders/>
            <w:shd w:fill="auto" w:val="clear"/>
            <w:vAlign w:val="center"/>
          </w:tcPr>
          <w:p>
            <w:pPr>
              <w:pStyle w:val="TableContents"/>
              <w:spacing w:before="0" w:after="0"/>
              <w:ind w:left="0" w:right="0" w:firstLine="100"/>
              <w:jc w:val="left"/>
              <w:rPr>
                <w:rFonts w:ascii="Calibri;sans-serif" w:hAnsi="Calibri;sans-serif"/>
                <w:b w:val="false"/>
                <w:sz w:val="20"/>
              </w:rPr>
            </w:pPr>
            <w:r>
              <w:rPr>
                <w:rFonts w:ascii="Calibri;sans-serif" w:hAnsi="Calibri;sans-serif"/>
                <w:b w:val="false"/>
                <w:sz w:val="20"/>
              </w:rPr>
              <w:t>)</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Purchases of personal seat licenses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(365</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8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(2,607</w:t>
            </w:r>
          </w:p>
        </w:tc>
        <w:tc>
          <w:tcPr>
            <w:tcW w:w="188"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(3,441</w:t>
            </w:r>
          </w:p>
        </w:tc>
        <w:tc>
          <w:tcPr>
            <w:tcW w:w="31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r>
      <w:tr>
        <w:trPr/>
        <w:tc>
          <w:tcPr>
            <w:tcW w:w="678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124" w:type="dxa"/>
            <w:gridSpan w:val="2"/>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1192"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firstLine="100"/>
              <w:jc w:val="left"/>
              <w:rPr/>
            </w:pPr>
            <w:r>
              <w:rPr/>
              <w:t> </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Payments of February 2022 First Lien Loan</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(688</w:t>
            </w:r>
          </w:p>
        </w:tc>
        <w:tc>
          <w:tcPr>
            <w:tcW w:w="188"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pPr>
            <w:r>
              <w:rPr/>
              <w:t>—</w:t>
            </w:r>
          </w:p>
        </w:tc>
        <w:tc>
          <w:tcPr>
            <w:tcW w:w="311" w:type="dxa"/>
            <w:tcBorders/>
            <w:shd w:fill="auto" w:val="clear"/>
            <w:vAlign w:val="center"/>
          </w:tcPr>
          <w:p>
            <w:pPr>
              <w:pStyle w:val="TableContents"/>
              <w:spacing w:before="0" w:after="0"/>
              <w:ind w:left="0" w:right="0" w:firstLine="100"/>
              <w:jc w:val="left"/>
              <w:rPr/>
            </w:pPr>
            <w:r>
              <w:rPr/>
              <w:t> </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Repurchase of common stock as treasury stock</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(7,612</w:t>
            </w:r>
          </w:p>
        </w:tc>
        <w:tc>
          <w:tcPr>
            <w:tcW w:w="188"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pPr>
            <w:r>
              <w:rPr/>
              <w:t>—</w:t>
            </w:r>
          </w:p>
        </w:tc>
        <w:tc>
          <w:tcPr>
            <w:tcW w:w="311" w:type="dxa"/>
            <w:tcBorders/>
            <w:shd w:fill="auto" w:val="clear"/>
            <w:vAlign w:val="center"/>
          </w:tcPr>
          <w:p>
            <w:pPr>
              <w:pStyle w:val="TableContents"/>
              <w:spacing w:before="0" w:after="0"/>
              <w:ind w:left="0" w:right="0" w:firstLine="100"/>
              <w:jc w:val="left"/>
              <w:rPr/>
            </w:pPr>
            <w:r>
              <w:rPr/>
              <w:t> </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Cash paid for milestone payments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(2,500</w:t>
            </w:r>
          </w:p>
        </w:tc>
        <w:tc>
          <w:tcPr>
            <w:tcW w:w="188"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pPr>
            <w:r>
              <w:rPr/>
              <w:t>—</w:t>
            </w:r>
          </w:p>
        </w:tc>
        <w:tc>
          <w:tcPr>
            <w:tcW w:w="311" w:type="dxa"/>
            <w:tcBorders/>
            <w:shd w:fill="auto" w:val="clear"/>
            <w:vAlign w:val="center"/>
          </w:tcPr>
          <w:p>
            <w:pPr>
              <w:pStyle w:val="TableContents"/>
              <w:spacing w:before="0" w:after="0"/>
              <w:ind w:left="0" w:right="0" w:firstLine="100"/>
              <w:jc w:val="left"/>
              <w:rPr/>
            </w:pPr>
            <w:r>
              <w:rPr/>
              <w:t> </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Payments of June 2017 First Lien Loan</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pPr>
            <w:r>
              <w:rPr/>
              <w:t>—</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(465,712</w:t>
            </w:r>
          </w:p>
        </w:tc>
        <w:tc>
          <w:tcPr>
            <w:tcW w:w="311" w:type="dxa"/>
            <w:tcBorders/>
            <w:shd w:fill="auto" w:val="clear"/>
            <w:vAlign w:val="center"/>
          </w:tcPr>
          <w:p>
            <w:pPr>
              <w:pStyle w:val="TableContents"/>
              <w:spacing w:before="0" w:after="0"/>
              <w:ind w:left="0" w:right="0" w:firstLine="100"/>
              <w:jc w:val="left"/>
              <w:rPr>
                <w:rFonts w:ascii="Calibri;sans-serif" w:hAnsi="Calibri;sans-serif"/>
                <w:b w:val="false"/>
                <w:sz w:val="20"/>
              </w:rPr>
            </w:pPr>
            <w:r>
              <w:rPr>
                <w:rFonts w:ascii="Calibri;sans-serif" w:hAnsi="Calibri;sans-serif"/>
                <w:b w:val="false"/>
                <w:sz w:val="20"/>
              </w:rPr>
              <w:t>)</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Proceeds from February 2022 First Lien Loan</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5" w:type="dxa"/>
            <w:tcBorders/>
            <w:shd w:fill="auto" w:val="clear"/>
            <w:vAlign w:val="center"/>
          </w:tcPr>
          <w:p>
            <w:pPr>
              <w:pStyle w:val="TableContents"/>
              <w:spacing w:before="0" w:after="0"/>
              <w:ind w:left="0" w:right="0" w:hanging="0"/>
              <w:jc w:val="right"/>
              <w:rPr/>
            </w:pPr>
            <w:r>
              <w:rPr/>
              <w:t>—</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275,000</w:t>
            </w:r>
          </w:p>
        </w:tc>
        <w:tc>
          <w:tcPr>
            <w:tcW w:w="311" w:type="dxa"/>
            <w:tcBorders/>
            <w:shd w:fill="auto" w:val="clear"/>
            <w:vAlign w:val="center"/>
          </w:tcPr>
          <w:p>
            <w:pPr>
              <w:pStyle w:val="TableContents"/>
              <w:spacing w:before="0" w:after="0"/>
              <w:ind w:left="0" w:right="0" w:firstLine="100"/>
              <w:jc w:val="left"/>
              <w:rPr/>
            </w:pPr>
            <w:r>
              <w:rPr/>
              <w:t> </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Payments of deferred financing costs and other debt-related costs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(4,856</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678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Net cash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(10,800</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(195,568</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r>
      <w:tr>
        <w:trPr/>
        <w:tc>
          <w:tcPr>
            <w:tcW w:w="678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Net increase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51,704</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(175,475</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r>
      <w:tr>
        <w:trPr/>
        <w:tc>
          <w:tcPr>
            <w:tcW w:w="678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Cash, cash equivalents, and restricted cash – beginning of period</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252,290</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489,810</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8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Cash, cash equivalents, and restricted cash – end of period</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8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303,994</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9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314,335</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8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Supplemental disclosure of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1124" w:type="dxa"/>
            <w:gridSpan w:val="2"/>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1192" w:type="dxa"/>
            <w:gridSpan w:val="2"/>
            <w:tcBorders/>
            <w:shd w:fill="auto" w:val="clear"/>
            <w:vAlign w:val="center"/>
          </w:tcPr>
          <w:p>
            <w:pPr>
              <w:pStyle w:val="TableContents"/>
              <w:spacing w:before="0" w:after="0"/>
              <w:ind w:left="0" w:right="0" w:hanging="0"/>
              <w:jc w:val="left"/>
              <w:rPr/>
            </w:pPr>
            <w:r>
              <w:rPr/>
              <w:t> </w:t>
            </w:r>
          </w:p>
        </w:tc>
        <w:tc>
          <w:tcPr>
            <w:tcW w:w="311" w:type="dxa"/>
            <w:tcBorders/>
            <w:shd w:fill="auto" w:val="clear"/>
            <w:vAlign w:val="center"/>
          </w:tcPr>
          <w:p>
            <w:pPr>
              <w:pStyle w:val="TableContents"/>
              <w:spacing w:before="0" w:after="0"/>
              <w:ind w:left="0" w:right="0" w:firstLine="100"/>
              <w:jc w:val="left"/>
              <w:rPr/>
            </w:pPr>
            <w:r>
              <w:rPr/>
              <w:t> </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Cash paid for interest</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8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1,941</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3,612</w:t>
            </w:r>
          </w:p>
        </w:tc>
        <w:tc>
          <w:tcPr>
            <w:tcW w:w="311" w:type="dxa"/>
            <w:tcBorders/>
            <w:shd w:fill="auto" w:val="clear"/>
            <w:vAlign w:val="center"/>
          </w:tcPr>
          <w:p>
            <w:pPr>
              <w:pStyle w:val="TableContents"/>
              <w:spacing w:before="0" w:after="0"/>
              <w:ind w:left="0" w:right="0" w:firstLine="100"/>
              <w:jc w:val="left"/>
              <w:rPr/>
            </w:pPr>
            <w:r>
              <w:rPr/>
              <w:t> </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Cash paid for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8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234</w:t>
            </w:r>
          </w:p>
        </w:tc>
        <w:tc>
          <w:tcPr>
            <w:tcW w:w="188" w:type="dxa"/>
            <w:tcBorders/>
            <w:shd w:fill="auto" w:val="cle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5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694</w:t>
            </w:r>
          </w:p>
        </w:tc>
        <w:tc>
          <w:tcPr>
            <w:tcW w:w="311" w:type="dxa"/>
            <w:tcBorders/>
            <w:shd w:fill="auto" w:val="clear"/>
            <w:vAlign w:val="center"/>
          </w:tcPr>
          <w:p>
            <w:pPr>
              <w:pStyle w:val="TableContents"/>
              <w:spacing w:before="0" w:after="0"/>
              <w:ind w:left="0" w:right="0" w:firstLine="100"/>
              <w:jc w:val="left"/>
              <w:rPr/>
            </w:pPr>
            <w:r>
              <w:rPr/>
              <w:t> </w:t>
            </w:r>
          </w:p>
        </w:tc>
      </w:tr>
      <w:tr>
        <w:trPr/>
        <w:tc>
          <w:tcPr>
            <w:tcW w:w="6781"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Right-of-use assets obtained in exchange for lease obligations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3,406</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60" w:after="120"/>
        <w:jc w:val="center"/>
        <w:rPr>
          <w:rFonts w:ascii="Calibri;sans-serif" w:hAnsi="Calibri;sans-serif"/>
          <w:b w:val="false"/>
          <w:sz w:val="20"/>
        </w:rPr>
      </w:pPr>
      <w:r>
        <w:rPr>
          <w:rFonts w:ascii="Calibri;sans-serif" w:hAnsi="Calibri;sans-serif"/>
          <w:b w:val="false"/>
          <w:sz w:val="20"/>
        </w:rPr>
        <w:t>The accompanying notes are an integral part of these financial statements.</w:t>
      </w:r>
    </w:p>
    <w:p>
      <w:pPr>
        <w:pStyle w:val="TextBody"/>
        <w:spacing w:before="0" w:after="0"/>
        <w:jc w:val="center"/>
        <w:rPr>
          <w:rFonts w:ascii="Calibri;sans-serif" w:hAnsi="Calibri;sans-serif"/>
          <w:b w:val="false"/>
          <w:sz w:val="20"/>
        </w:rPr>
      </w:pPr>
      <w:r>
        <w:rPr>
          <w:rFonts w:ascii="Calibri;sans-serif" w:hAnsi="Calibri;sans-serif"/>
          <w:b w:val="false"/>
          <w:sz w:val="20"/>
        </w:rPr>
        <w:t>7</w:t>
      </w:r>
    </w:p>
    <w:p>
      <w:pPr>
        <w:pStyle w:val="HorizontalLine"/>
        <w:rPr/>
      </w:pPr>
      <w:r>
        <w:rPr/>
      </w:r>
    </w:p>
    <w:p>
      <w:pPr>
        <w:pStyle w:val="TextBody"/>
        <w:spacing w:before="0" w:after="0"/>
        <w:jc w:val="center"/>
        <w:rPr>
          <w:rFonts w:ascii="Calibri;sans-serif" w:hAnsi="Calibri;sans-serif"/>
          <w:b/>
          <w:caps/>
          <w:sz w:val="20"/>
        </w:rPr>
      </w:pPr>
      <w:r>
        <w:rPr>
          <w:rFonts w:ascii="Calibri;sans-serif" w:hAnsi="Calibri;sans-serif"/>
          <w:b/>
          <w:caps/>
          <w:sz w:val="20"/>
        </w:rPr>
        <w:t>Vivid Seats INC.</w:t>
      </w:r>
    </w:p>
    <w:p>
      <w:pPr>
        <w:pStyle w:val="TextBody"/>
        <w:spacing w:before="0" w:after="0"/>
        <w:jc w:val="center"/>
        <w:rPr>
          <w:rFonts w:ascii="Calibri;sans-serif" w:hAnsi="Calibri;sans-serif"/>
          <w:b/>
          <w:caps/>
          <w:sz w:val="20"/>
        </w:rPr>
      </w:pPr>
      <w:r>
        <w:rPr>
          <w:rFonts w:ascii="Calibri;sans-serif" w:hAnsi="Calibri;sans-serif"/>
          <w:b/>
          <w:caps/>
          <w:sz w:val="20"/>
        </w:rPr>
        <w:t>NOTES to the CONDENSED Consolidated Financial Statements</w:t>
      </w:r>
    </w:p>
    <w:p>
      <w:pPr>
        <w:pStyle w:val="TextBody"/>
        <w:spacing w:before="0" w:after="0"/>
        <w:jc w:val="center"/>
        <w:rPr>
          <w:rFonts w:ascii="Calibri;sans-serif" w:hAnsi="Calibri;sans-serif"/>
          <w:b/>
          <w:caps/>
          <w:sz w:val="20"/>
        </w:rPr>
      </w:pPr>
      <w:r>
        <w:rPr>
          <w:rFonts w:ascii="Calibri;sans-serif" w:hAnsi="Calibri;sans-serif"/>
          <w:b/>
          <w:caps/>
          <w:sz w:val="20"/>
        </w:rPr>
        <w:t>(UNAUDITED)</w:t>
      </w:r>
    </w:p>
    <w:p>
      <w:pPr>
        <w:pStyle w:val="TextBody"/>
        <w:spacing w:before="0" w:after="0"/>
        <w:jc w:val="left"/>
        <w:rPr/>
      </w:pPr>
      <w:r>
        <w:rPr/>
        <w:t> </w:t>
      </w:r>
    </w:p>
    <w:p>
      <w:pPr>
        <w:pStyle w:val="TextBody"/>
        <w:spacing w:before="0" w:after="0"/>
        <w:jc w:val="left"/>
        <w:rPr/>
      </w:pPr>
      <w:r>
        <w:rPr/>
        <w:t> </w:t>
      </w:r>
    </w:p>
    <w:p>
      <w:pPr>
        <w:pStyle w:val="TextBody"/>
        <w:spacing w:before="160" w:after="120"/>
        <w:jc w:val="left"/>
        <w:rPr>
          <w:rFonts w:ascii="Calibri;sans-serif" w:hAnsi="Calibri;sans-serif"/>
          <w:b/>
          <w:smallCaps/>
          <w:sz w:val="20"/>
        </w:rPr>
      </w:pPr>
      <w:bookmarkStart w:id="10" w:name="notes_to_financials"/>
      <w:bookmarkEnd w:id="10"/>
      <w:r>
        <w:rPr>
          <w:rFonts w:ascii="Calibri;sans-serif" w:hAnsi="Calibri;sans-serif"/>
          <w:b/>
          <w:smallCaps/>
          <w:sz w:val="20"/>
        </w:rPr>
        <w:t>1. Background and Basis of Presentation</w:t>
      </w:r>
    </w:p>
    <w:p>
      <w:pPr>
        <w:pStyle w:val="TextBody"/>
        <w:spacing w:before="160" w:after="120"/>
        <w:jc w:val="both"/>
        <w:rPr>
          <w:rFonts w:ascii="Calibri;sans-serif" w:hAnsi="Calibri;sans-serif"/>
          <w:b w:val="false"/>
          <w:sz w:val="20"/>
        </w:rPr>
      </w:pPr>
      <w:r>
        <w:rPr>
          <w:rFonts w:ascii="Calibri;sans-serif" w:hAnsi="Calibri;sans-serif"/>
          <w:b w:val="false"/>
          <w:sz w:val="20"/>
        </w:rPr>
        <w:t>Vivid Seats Inc. and its subsidiaries including Hoya Intermediate, LLC ("Hoya Intermediate"), Hoya Midco, LLC ("Hoya Midco"), and Vivid Seats LLC (collectively the “Company,” “us,” “we,” and “our”) provide an online secondary ticket marketplace that enables ticket buyers to discover and easily purchase tickets to concert, sporting and theater events in the United States and Canada. Through our Marketplace segment, we operate an online platform enabling ticket buyers to purchase tickets to live events, while enabling ticket sellers to seamlessly manage their operations. In our Resale segment, we acquire tickets to resell on secondary ticket marketplaces, including our own.</w:t>
      </w:r>
    </w:p>
    <w:p>
      <w:pPr>
        <w:pStyle w:val="TextBody"/>
        <w:spacing w:before="160" w:after="120"/>
        <w:jc w:val="both"/>
        <w:rPr>
          <w:rFonts w:ascii="Calibri;sans-serif" w:hAnsi="Calibri;sans-serif"/>
          <w:b w:val="false"/>
          <w:sz w:val="20"/>
        </w:rPr>
      </w:pPr>
      <w:r>
        <w:rPr>
          <w:rFonts w:ascii="Calibri;sans-serif" w:hAnsi="Calibri;sans-serif"/>
          <w:b w:val="false"/>
          <w:sz w:val="20"/>
        </w:rPr>
        <w:t>We have prepared the accompanying unaudited condensed consolidated financial statements in accordance with accounting principles generally accepted in the United States of America ("GAAP") for interim financial information and the instructions to the Quarterly Report on Form 10-Q and Article 10 of Regulation S-X issued by the U.S. Securities and Exchange Commission ("SEC"). Accordingly, they do not include all of the information and notes required by GAAP for comprehensive annual financial statements. Our condensed consolidated financial statements are not necessarily indicative of results that may be expected for any other interim period or for the full year. These condensed consolidated financial statements should be read in conjunction with the audited annual consolidated financial statements and related notes included in our 2022 Form 10-K for the fiscal year ended December 31, 2022, which was filed with the SEC on March 7, 2023. Our condensed consolidated financial statements include all of our accounts, including those of our consolidated subsidiaries. All intercompany transactions and balances have been eliminated in consolidation.</w:t>
      </w:r>
    </w:p>
    <w:p>
      <w:pPr>
        <w:pStyle w:val="TextBody"/>
        <w:spacing w:before="160" w:after="120"/>
        <w:jc w:val="left"/>
        <w:rPr>
          <w:rFonts w:ascii="Calibri;sans-serif" w:hAnsi="Calibri;sans-serif"/>
          <w:b/>
          <w:smallCaps/>
          <w:sz w:val="20"/>
        </w:rPr>
      </w:pPr>
      <w:r>
        <w:rPr>
          <w:rFonts w:ascii="Calibri;sans-serif" w:hAnsi="Calibri;sans-serif"/>
          <w:b/>
          <w:smallCaps/>
          <w:sz w:val="20"/>
        </w:rPr>
        <w:t>2. New Accounting Standards</w:t>
      </w:r>
    </w:p>
    <w:p>
      <w:pPr>
        <w:pStyle w:val="TextBody"/>
        <w:spacing w:before="160" w:after="120"/>
        <w:jc w:val="left"/>
        <w:rPr>
          <w:rFonts w:ascii="Calibri;sans-serif" w:hAnsi="Calibri;sans-serif"/>
          <w:b w:val="false"/>
          <w:i/>
          <w:sz w:val="20"/>
        </w:rPr>
      </w:pPr>
      <w:r>
        <w:rPr>
          <w:rFonts w:ascii="Calibri;sans-serif" w:hAnsi="Calibri;sans-serif"/>
          <w:b w:val="false"/>
          <w:i/>
          <w:sz w:val="20"/>
        </w:rPr>
        <w:t>Recently adopted accounting standards</w:t>
      </w:r>
    </w:p>
    <w:p>
      <w:pPr>
        <w:pStyle w:val="TextBody"/>
        <w:spacing w:before="160" w:after="120"/>
        <w:jc w:val="both"/>
        <w:rPr>
          <w:rFonts w:ascii="Times New Roman" w:hAnsi="Times New Roman"/>
          <w:sz w:val="20"/>
        </w:rPr>
      </w:pPr>
      <w:r>
        <w:rPr>
          <w:rFonts w:ascii="Calibri;sans-serif" w:hAnsi="Calibri;sans-serif"/>
          <w:b w:val="false"/>
          <w:sz w:val="20"/>
        </w:rPr>
        <w:t xml:space="preserve">In June 2016, the Financial Accounting Standards Board ("FASB") issued Accounting Standards Update ("ASU") 2016-13, </w:t>
      </w:r>
      <w:r>
        <w:rPr>
          <w:rFonts w:ascii="Calibri;sans-serif" w:hAnsi="Calibri;sans-serif"/>
          <w:b w:val="false"/>
          <w:i/>
          <w:sz w:val="20"/>
        </w:rPr>
        <w:t>Financial Instruments-Credit Losses (Topic 326): Measurement of Credit Losses on Financial Instruments</w:t>
      </w:r>
      <w:r>
        <w:rPr>
          <w:rFonts w:ascii="Calibri;sans-serif" w:hAnsi="Calibri;sans-serif"/>
          <w:b w:val="false"/>
          <w:sz w:val="20"/>
        </w:rPr>
        <w:t xml:space="preserve">, which changes how entities will measure credit losses for financial assets and certain other instruments that are not measured at fair value through net income. The new expected credit loss impairment model requires immediate recognition of estimated credit losses expected to occur. ASU 2019-10, </w:t>
      </w:r>
      <w:r>
        <w:rPr>
          <w:rFonts w:ascii="Calibri;sans-serif" w:hAnsi="Calibri;sans-serif"/>
          <w:b w:val="false"/>
          <w:i/>
          <w:sz w:val="20"/>
        </w:rPr>
        <w:t>Financial Instruments-Credit Losses (Topic 326), Derivatives and Hedging (Topic 815), and Leases (Topic 842): Effective Dates</w:t>
      </w:r>
      <w:r>
        <w:rPr>
          <w:rFonts w:ascii="Calibri;sans-serif" w:hAnsi="Calibri;sans-serif"/>
          <w:b w:val="false"/>
          <w:sz w:val="20"/>
        </w:rPr>
        <w:t>, deferred the effective date for non-public companies. The standard is effective for non-public companies for fiscal years beginning after December 15, 2022. We adopted these requirements as of January 1, 2023 with no material impact on our consolidated financial statements.</w:t>
      </w:r>
    </w:p>
    <w:p>
      <w:pPr>
        <w:pStyle w:val="TextBody"/>
        <w:spacing w:before="160" w:after="120"/>
        <w:jc w:val="both"/>
        <w:rPr>
          <w:rFonts w:ascii="Times New Roman" w:hAnsi="Times New Roman"/>
          <w:sz w:val="20"/>
        </w:rPr>
      </w:pPr>
      <w:r>
        <w:rPr>
          <w:rFonts w:ascii="Calibri;sans-serif" w:hAnsi="Calibri;sans-serif"/>
          <w:b w:val="false"/>
          <w:sz w:val="20"/>
        </w:rPr>
        <w:t>In March 2020, the FASB issued ASU 2020-04, R</w:t>
      </w:r>
      <w:r>
        <w:rPr>
          <w:rFonts w:ascii="Calibri;sans-serif" w:hAnsi="Calibri;sans-serif"/>
          <w:b w:val="false"/>
          <w:i/>
          <w:sz w:val="20"/>
        </w:rPr>
        <w:t>eference Rate Reform (Topic 848), Facilitation of the Effects of Reference Rate Reform on Financial Reporting</w:t>
      </w:r>
      <w:r>
        <w:rPr>
          <w:rFonts w:ascii="Calibri;sans-serif" w:hAnsi="Calibri;sans-serif"/>
          <w:b w:val="false"/>
          <w:sz w:val="20"/>
        </w:rPr>
        <w:t>, as modified in January 2021. The ASU is intended to help stakeholders during the global market-wide reference rate transition period. The new guidance provides optional expedients and exceptions for applying GAAP to contract modifications and hedging relationships, subject to meeting certain criteria, that reference LIBOR or another reference rate expected to be discontinued. The guidance also establishes (1) a general contract modification principle that entities can apply in other areas that may be affected by reference rate reform and (2) certain elective hedge accounting expedients. We adopted these requirements as of January 1, 2023 with no material impact on our consolidated financial statements.</w:t>
      </w:r>
    </w:p>
    <w:p>
      <w:pPr>
        <w:pStyle w:val="TextBody"/>
        <w:spacing w:before="160" w:after="120"/>
        <w:jc w:val="left"/>
        <w:rPr>
          <w:rFonts w:ascii="Calibri;sans-serif" w:hAnsi="Calibri;sans-serif"/>
          <w:b/>
          <w:smallCaps/>
          <w:sz w:val="20"/>
        </w:rPr>
      </w:pPr>
      <w:r>
        <w:rPr>
          <w:rFonts w:ascii="Calibri;sans-serif" w:hAnsi="Calibri;sans-serif"/>
          <w:b/>
          <w:smallCaps/>
          <w:sz w:val="20"/>
        </w:rPr>
        <w:t>3. Revenue Recognition</w:t>
      </w:r>
    </w:p>
    <w:p>
      <w:pPr>
        <w:pStyle w:val="TextBody"/>
        <w:spacing w:before="160" w:after="120"/>
        <w:jc w:val="both"/>
        <w:rPr>
          <w:rFonts w:ascii="Times New Roman" w:hAnsi="Times New Roman"/>
          <w:sz w:val="20"/>
        </w:rPr>
      </w:pPr>
      <w:r>
        <w:rPr>
          <w:rFonts w:ascii="Calibri;sans-serif" w:hAnsi="Calibri;sans-serif"/>
          <w:b w:val="false"/>
          <w:sz w:val="20"/>
        </w:rPr>
        <w:t xml:space="preserve">We recognize revenue in accordance with ASC Topic 606, </w:t>
      </w:r>
      <w:r>
        <w:rPr>
          <w:rFonts w:ascii="Calibri;sans-serif" w:hAnsi="Calibri;sans-serif"/>
          <w:b w:val="false"/>
          <w:i/>
          <w:sz w:val="20"/>
        </w:rPr>
        <w:t>Revenue from Contracts with Customers</w:t>
      </w:r>
      <w:r>
        <w:rPr>
          <w:rFonts w:ascii="Times New Roman" w:hAnsi="Times New Roman"/>
          <w:sz w:val="20"/>
        </w:rPr>
        <w:t xml:space="preserve"> </w:t>
      </w:r>
      <w:r>
        <w:rPr>
          <w:rFonts w:ascii="Calibri;sans-serif" w:hAnsi="Calibri;sans-serif"/>
          <w:b w:val="false"/>
          <w:sz w:val="20"/>
        </w:rPr>
        <w:t>(“ASC 606”). We have two reportable segments: Marketplace and Resale.</w:t>
      </w:r>
    </w:p>
    <w:p>
      <w:pPr>
        <w:pStyle w:val="TextBody"/>
        <w:spacing w:before="0" w:after="0"/>
        <w:jc w:val="center"/>
        <w:rPr>
          <w:rFonts w:ascii="Calibri;sans-serif" w:hAnsi="Calibri;sans-serif"/>
          <w:b w:val="false"/>
          <w:sz w:val="20"/>
        </w:rPr>
      </w:pPr>
      <w:r>
        <w:rPr>
          <w:rFonts w:ascii="Calibri;sans-serif" w:hAnsi="Calibri;sans-serif"/>
          <w:b w:val="false"/>
          <w:sz w:val="20"/>
        </w:rPr>
        <w:t>8</w:t>
      </w:r>
    </w:p>
    <w:p>
      <w:pPr>
        <w:pStyle w:val="HorizontalLine"/>
        <w:rPr/>
      </w:pPr>
      <w:r>
        <w:rPr/>
      </w:r>
    </w:p>
    <w:p>
      <w:pPr>
        <w:pStyle w:val="TextBody"/>
        <w:spacing w:before="0" w:after="0"/>
        <w:jc w:val="center"/>
        <w:rPr>
          <w:rFonts w:ascii="Calibri;sans-serif" w:hAnsi="Calibri;sans-serif"/>
          <w:b/>
          <w:caps/>
          <w:sz w:val="20"/>
        </w:rPr>
      </w:pPr>
      <w:r>
        <w:rPr>
          <w:rFonts w:ascii="Calibri;sans-serif" w:hAnsi="Calibri;sans-serif"/>
          <w:b/>
          <w:caps/>
          <w:sz w:val="20"/>
        </w:rPr>
        <w:t>Vivid Seats INC.</w:t>
      </w:r>
    </w:p>
    <w:p>
      <w:pPr>
        <w:pStyle w:val="TextBody"/>
        <w:spacing w:before="0" w:after="0"/>
        <w:jc w:val="center"/>
        <w:rPr>
          <w:rFonts w:ascii="Calibri;sans-serif" w:hAnsi="Calibri;sans-serif"/>
          <w:b/>
          <w:caps/>
          <w:sz w:val="20"/>
        </w:rPr>
      </w:pPr>
      <w:r>
        <w:rPr>
          <w:rFonts w:ascii="Calibri;sans-serif" w:hAnsi="Calibri;sans-serif"/>
          <w:b/>
          <w:caps/>
          <w:sz w:val="20"/>
        </w:rPr>
        <w:t>NOTES to the CONDENSED Consolidated Financial Statements</w:t>
      </w:r>
    </w:p>
    <w:p>
      <w:pPr>
        <w:pStyle w:val="TextBody"/>
        <w:spacing w:before="0" w:after="0"/>
        <w:jc w:val="center"/>
        <w:rPr>
          <w:rFonts w:ascii="Calibri;sans-serif" w:hAnsi="Calibri;sans-serif"/>
          <w:b/>
          <w:caps/>
          <w:sz w:val="20"/>
        </w:rPr>
      </w:pPr>
      <w:r>
        <w:rPr>
          <w:rFonts w:ascii="Calibri;sans-serif" w:hAnsi="Calibri;sans-serif"/>
          <w:b/>
          <w:caps/>
          <w:sz w:val="20"/>
        </w:rPr>
        <w:t>(UNAUDITED)</w:t>
      </w:r>
    </w:p>
    <w:p>
      <w:pPr>
        <w:pStyle w:val="TextBody"/>
        <w:spacing w:before="0" w:after="0"/>
        <w:jc w:val="left"/>
        <w:rPr/>
      </w:pPr>
      <w:r>
        <w:rPr/>
        <w:t> </w:t>
      </w:r>
    </w:p>
    <w:p>
      <w:pPr>
        <w:pStyle w:val="TextBody"/>
        <w:spacing w:before="0" w:after="0"/>
        <w:jc w:val="left"/>
        <w:rPr/>
      </w:pPr>
      <w:r>
        <w:rPr/>
        <w:t> </w:t>
      </w:r>
    </w:p>
    <w:p>
      <w:pPr>
        <w:pStyle w:val="TextBody"/>
        <w:spacing w:before="160" w:after="120"/>
        <w:jc w:val="both"/>
        <w:rPr>
          <w:rFonts w:ascii="Calibri;sans-serif" w:hAnsi="Calibri;sans-serif"/>
          <w:b w:val="false"/>
          <w:sz w:val="20"/>
        </w:rPr>
      </w:pPr>
      <w:r>
        <w:rPr>
          <w:rFonts w:ascii="Calibri;sans-serif" w:hAnsi="Calibri;sans-serif"/>
          <w:b w:val="false"/>
          <w:sz w:val="20"/>
        </w:rPr>
        <w:t>Through the Marketplace segment, we act as an intermediary between ticket buyers and sellers. We earn revenue processing ticket sales from our Owned Properties, consisting of the Vivid Seats website and our mobile applications, and from our Private Label offering, which is comprised of numerous distribution partners.</w:t>
      </w:r>
    </w:p>
    <w:p>
      <w:pPr>
        <w:pStyle w:val="TextBody"/>
        <w:spacing w:before="160" w:after="120"/>
        <w:jc w:val="both"/>
        <w:rPr>
          <w:rFonts w:ascii="Calibri;sans-serif" w:hAnsi="Calibri;sans-serif"/>
          <w:b w:val="false"/>
          <w:sz w:val="20"/>
        </w:rPr>
      </w:pPr>
      <w:r>
        <w:rPr>
          <w:rFonts w:ascii="Calibri;sans-serif" w:hAnsi="Calibri;sans-serif"/>
          <w:b w:val="false"/>
          <w:sz w:val="20"/>
        </w:rPr>
        <w:t>Marketplace revenues consisted of the following (in thousands):</w:t>
      </w:r>
    </w:p>
    <w:tbl>
      <w:tblPr>
        <w:tblW w:w="5406" w:type="dxa"/>
        <w:jc w:val="left"/>
        <w:tblInd w:w="0" w:type="dxa"/>
        <w:tblCellMar>
          <w:top w:w="28" w:type="dxa"/>
          <w:left w:w="28" w:type="dxa"/>
          <w:bottom w:w="28" w:type="dxa"/>
          <w:right w:w="28" w:type="dxa"/>
        </w:tblCellMar>
      </w:tblPr>
      <w:tblGrid>
        <w:gridCol w:w="2401"/>
        <w:gridCol w:w="146"/>
        <w:gridCol w:w="247"/>
        <w:gridCol w:w="916"/>
        <w:gridCol w:w="171"/>
        <w:gridCol w:w="171"/>
        <w:gridCol w:w="247"/>
        <w:gridCol w:w="916"/>
        <w:gridCol w:w="191"/>
      </w:tblGrid>
      <w:tr>
        <w:trPr/>
        <w:tc>
          <w:tcPr>
            <w:tcW w:w="24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2023</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1" w:type="dxa"/>
            <w:tcBorders/>
            <w:shd w:fill="auto" w:val="clear"/>
            <w:vAlign w:val="center"/>
          </w:tcPr>
          <w:p>
            <w:pPr>
              <w:pStyle w:val="TableContents"/>
              <w:spacing w:before="0" w:after="0"/>
              <w:ind w:left="0" w:right="0" w:hanging="0"/>
              <w:jc w:val="center"/>
              <w:rPr/>
            </w:pPr>
            <w:r>
              <w:rPr/>
              <w:t> </w:t>
            </w:r>
          </w:p>
        </w:tc>
        <w:tc>
          <w:tcPr>
            <w:tcW w:w="116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0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Marketplace revenues:</w:t>
            </w:r>
          </w:p>
        </w:tc>
        <w:tc>
          <w:tcPr>
            <w:tcW w:w="146" w:type="dxa"/>
            <w:tcBorders/>
            <w:shd w:fill="auto" w:val="clear"/>
            <w:vAlign w:val="center"/>
          </w:tcPr>
          <w:p>
            <w:pPr>
              <w:pStyle w:val="TableContents"/>
              <w:spacing w:before="0" w:after="0"/>
              <w:ind w:left="0" w:right="0" w:hanging="0"/>
              <w:jc w:val="left"/>
              <w:rPr/>
            </w:pPr>
            <w:r>
              <w:rPr/>
              <w:t> </w:t>
            </w:r>
          </w:p>
        </w:tc>
        <w:tc>
          <w:tcPr>
            <w:tcW w:w="1163" w:type="dxa"/>
            <w:gridSpan w:val="2"/>
            <w:tcBorders/>
            <w:shd w:fill="auto" w:val="clear"/>
            <w:vAlign w:val="center"/>
          </w:tcPr>
          <w:p>
            <w:pPr>
              <w:pStyle w:val="TableContents"/>
              <w:spacing w:before="0" w:after="283"/>
              <w:ind w:left="0" w:right="0" w:hanging="0"/>
              <w:rPr>
                <w:sz w:val="4"/>
                <w:szCs w:val="4"/>
              </w:rPr>
            </w:pPr>
            <w:r>
              <w:rPr>
                <w:sz w:val="4"/>
                <w:szCs w:val="4"/>
              </w:rPr>
            </w:r>
          </w:p>
        </w:tc>
        <w:tc>
          <w:tcPr>
            <w:tcW w:w="171" w:type="dxa"/>
            <w:tcBorders/>
            <w:shd w:fill="auto" w:val="clear"/>
            <w:vAlign w:val="center"/>
          </w:tcPr>
          <w:p>
            <w:pPr>
              <w:pStyle w:val="TableContents"/>
              <w:spacing w:before="0" w:after="0"/>
              <w:ind w:left="0" w:right="0" w:hanging="0"/>
              <w:jc w:val="center"/>
              <w:rPr/>
            </w:pPr>
            <w:r>
              <w:rPr/>
              <w:t> </w:t>
            </w:r>
          </w:p>
        </w:tc>
        <w:tc>
          <w:tcPr>
            <w:tcW w:w="171" w:type="dxa"/>
            <w:tcBorders/>
            <w:shd w:fill="auto" w:val="clear"/>
            <w:vAlign w:val="center"/>
          </w:tcPr>
          <w:p>
            <w:pPr>
              <w:pStyle w:val="TableContents"/>
              <w:spacing w:before="0" w:after="0"/>
              <w:ind w:left="0" w:right="0" w:hanging="0"/>
              <w:jc w:val="center"/>
              <w:rPr/>
            </w:pPr>
            <w:r>
              <w:rPr/>
              <w:t> </w:t>
            </w:r>
          </w:p>
        </w:tc>
        <w:tc>
          <w:tcPr>
            <w:tcW w:w="1163"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240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Owned Properties</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1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102,815</w:t>
            </w:r>
          </w:p>
        </w:tc>
        <w:tc>
          <w:tcPr>
            <w:tcW w:w="171"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1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83,666</w:t>
            </w:r>
          </w:p>
        </w:tc>
        <w:tc>
          <w:tcPr>
            <w:tcW w:w="191" w:type="dxa"/>
            <w:tcBorders/>
            <w:shd w:fill="auto" w:val="clear"/>
            <w:vAlign w:val="center"/>
          </w:tcPr>
          <w:p>
            <w:pPr>
              <w:pStyle w:val="TableContents"/>
              <w:spacing w:before="0" w:after="0"/>
              <w:ind w:left="0" w:right="0" w:hanging="0"/>
              <w:jc w:val="left"/>
              <w:rPr/>
            </w:pPr>
            <w:r>
              <w:rPr/>
              <w:t> </w:t>
            </w:r>
          </w:p>
        </w:tc>
      </w:tr>
      <w:tr>
        <w:trPr/>
        <w:tc>
          <w:tcPr>
            <w:tcW w:w="240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Private Label</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33,766</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26,850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0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Total Marketplace revenues</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136,581</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2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110,516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60" w:after="120"/>
        <w:jc w:val="both"/>
        <w:rPr>
          <w:rFonts w:ascii="Calibri;sans-serif" w:hAnsi="Calibri;sans-serif"/>
          <w:b w:val="false"/>
          <w:sz w:val="20"/>
        </w:rPr>
      </w:pPr>
      <w:r>
        <w:rPr>
          <w:rFonts w:ascii="Calibri;sans-serif" w:hAnsi="Calibri;sans-serif"/>
          <w:b w:val="false"/>
          <w:sz w:val="20"/>
        </w:rPr>
        <w:t>Marketplace revenues consisted of the following event categories (in thousands):</w:t>
      </w:r>
    </w:p>
    <w:tbl>
      <w:tblPr>
        <w:tblW w:w="5406" w:type="dxa"/>
        <w:jc w:val="left"/>
        <w:tblInd w:w="0" w:type="dxa"/>
        <w:tblCellMar>
          <w:top w:w="28" w:type="dxa"/>
          <w:left w:w="28" w:type="dxa"/>
          <w:bottom w:w="28" w:type="dxa"/>
          <w:right w:w="28" w:type="dxa"/>
        </w:tblCellMar>
      </w:tblPr>
      <w:tblGrid>
        <w:gridCol w:w="2401"/>
        <w:gridCol w:w="146"/>
        <w:gridCol w:w="247"/>
        <w:gridCol w:w="916"/>
        <w:gridCol w:w="171"/>
        <w:gridCol w:w="171"/>
        <w:gridCol w:w="247"/>
        <w:gridCol w:w="916"/>
        <w:gridCol w:w="191"/>
      </w:tblGrid>
      <w:tr>
        <w:trPr/>
        <w:tc>
          <w:tcPr>
            <w:tcW w:w="24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6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2023</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1" w:type="dxa"/>
            <w:tcBorders/>
            <w:shd w:fill="auto" w:val="clear"/>
            <w:vAlign w:val="center"/>
          </w:tcPr>
          <w:p>
            <w:pPr>
              <w:pStyle w:val="TableContents"/>
              <w:spacing w:before="0" w:after="0"/>
              <w:ind w:left="0" w:right="0" w:hanging="0"/>
              <w:jc w:val="center"/>
              <w:rPr/>
            </w:pPr>
            <w:r>
              <w:rPr/>
              <w:t> </w:t>
            </w:r>
          </w:p>
        </w:tc>
        <w:tc>
          <w:tcPr>
            <w:tcW w:w="116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0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Marketplace revenues:</w:t>
            </w:r>
          </w:p>
        </w:tc>
        <w:tc>
          <w:tcPr>
            <w:tcW w:w="146" w:type="dxa"/>
            <w:tcBorders/>
            <w:shd w:fill="auto" w:val="clear"/>
            <w:vAlign w:val="center"/>
          </w:tcPr>
          <w:p>
            <w:pPr>
              <w:pStyle w:val="TableContents"/>
              <w:spacing w:before="0" w:after="0"/>
              <w:ind w:left="0" w:right="0" w:hanging="0"/>
              <w:jc w:val="left"/>
              <w:rPr/>
            </w:pPr>
            <w:r>
              <w:rPr/>
              <w:t> </w:t>
            </w:r>
          </w:p>
        </w:tc>
        <w:tc>
          <w:tcPr>
            <w:tcW w:w="1163" w:type="dxa"/>
            <w:gridSpan w:val="2"/>
            <w:tcBorders/>
            <w:shd w:fill="auto" w:val="clear"/>
            <w:vAlign w:val="center"/>
          </w:tcPr>
          <w:p>
            <w:pPr>
              <w:pStyle w:val="TableContents"/>
              <w:spacing w:before="0" w:after="283"/>
              <w:ind w:left="0" w:right="0" w:hanging="0"/>
              <w:rPr>
                <w:sz w:val="4"/>
                <w:szCs w:val="4"/>
              </w:rPr>
            </w:pPr>
            <w:r>
              <w:rPr>
                <w:sz w:val="4"/>
                <w:szCs w:val="4"/>
              </w:rPr>
            </w:r>
          </w:p>
        </w:tc>
        <w:tc>
          <w:tcPr>
            <w:tcW w:w="171" w:type="dxa"/>
            <w:tcBorders/>
            <w:shd w:fill="auto" w:val="clear"/>
            <w:vAlign w:val="center"/>
          </w:tcPr>
          <w:p>
            <w:pPr>
              <w:pStyle w:val="TableContents"/>
              <w:spacing w:before="0" w:after="0"/>
              <w:ind w:left="0" w:right="0" w:hanging="0"/>
              <w:jc w:val="center"/>
              <w:rPr/>
            </w:pPr>
            <w:r>
              <w:rPr/>
              <w:t> </w:t>
            </w:r>
          </w:p>
        </w:tc>
        <w:tc>
          <w:tcPr>
            <w:tcW w:w="171" w:type="dxa"/>
            <w:tcBorders/>
            <w:shd w:fill="auto" w:val="clear"/>
            <w:vAlign w:val="center"/>
          </w:tcPr>
          <w:p>
            <w:pPr>
              <w:pStyle w:val="TableContents"/>
              <w:spacing w:before="0" w:after="0"/>
              <w:ind w:left="0" w:right="0" w:hanging="0"/>
              <w:jc w:val="center"/>
              <w:rPr/>
            </w:pPr>
            <w:r>
              <w:rPr/>
              <w:t> </w:t>
            </w:r>
          </w:p>
        </w:tc>
        <w:tc>
          <w:tcPr>
            <w:tcW w:w="1163" w:type="dxa"/>
            <w:gridSpan w:val="2"/>
            <w:tcBorders/>
            <w:shd w:fill="auto" w:val="clear"/>
            <w:vAlign w:val="center"/>
          </w:tcPr>
          <w:p>
            <w:pPr>
              <w:pStyle w:val="TableContents"/>
              <w:spacing w:before="0" w:after="283"/>
              <w:ind w:left="0" w:right="0" w:hanging="0"/>
              <w:rPr>
                <w:sz w:val="4"/>
                <w:szCs w:val="4"/>
              </w:rPr>
            </w:pPr>
            <w:r>
              <w:rPr>
                <w:sz w:val="4"/>
                <w:szCs w:val="4"/>
              </w:rPr>
            </w:r>
          </w:p>
        </w:tc>
        <w:tc>
          <w:tcPr>
            <w:tcW w:w="191" w:type="dxa"/>
            <w:tcBorders/>
            <w:shd w:fill="auto" w:val="clear"/>
            <w:vAlign w:val="center"/>
          </w:tcPr>
          <w:p>
            <w:pPr>
              <w:pStyle w:val="TableContents"/>
              <w:spacing w:before="0" w:after="0"/>
              <w:ind w:left="0" w:right="0" w:hanging="0"/>
              <w:jc w:val="center"/>
              <w:rPr/>
            </w:pPr>
            <w:r>
              <w:rPr/>
              <w:t> </w:t>
            </w:r>
          </w:p>
        </w:tc>
      </w:tr>
      <w:tr>
        <w:trPr/>
        <w:tc>
          <w:tcPr>
            <w:tcW w:w="240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Concerts</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1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74,879</w:t>
            </w:r>
          </w:p>
        </w:tc>
        <w:tc>
          <w:tcPr>
            <w:tcW w:w="171"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1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58,673</w:t>
            </w:r>
          </w:p>
        </w:tc>
        <w:tc>
          <w:tcPr>
            <w:tcW w:w="191" w:type="dxa"/>
            <w:tcBorders/>
            <w:shd w:fill="auto" w:val="clear"/>
            <w:vAlign w:val="center"/>
          </w:tcPr>
          <w:p>
            <w:pPr>
              <w:pStyle w:val="TableContents"/>
              <w:spacing w:before="0" w:after="0"/>
              <w:ind w:left="0" w:right="0" w:hanging="0"/>
              <w:jc w:val="left"/>
              <w:rPr/>
            </w:pPr>
            <w:r>
              <w:rPr/>
              <w:t> </w:t>
            </w:r>
          </w:p>
        </w:tc>
      </w:tr>
      <w:tr>
        <w:trPr/>
        <w:tc>
          <w:tcPr>
            <w:tcW w:w="240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Sports</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45,600</w:t>
            </w:r>
          </w:p>
        </w:tc>
        <w:tc>
          <w:tcPr>
            <w:tcW w:w="171"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38,915</w:t>
            </w:r>
          </w:p>
        </w:tc>
        <w:tc>
          <w:tcPr>
            <w:tcW w:w="191" w:type="dxa"/>
            <w:tcBorders/>
            <w:shd w:fill="auto" w:val="clear"/>
            <w:vAlign w:val="center"/>
          </w:tcPr>
          <w:p>
            <w:pPr>
              <w:pStyle w:val="TableContents"/>
              <w:spacing w:before="0" w:after="0"/>
              <w:ind w:left="0" w:right="0" w:hanging="0"/>
              <w:jc w:val="left"/>
              <w:rPr/>
            </w:pPr>
            <w:r>
              <w:rPr/>
              <w:t> </w:t>
            </w:r>
          </w:p>
        </w:tc>
      </w:tr>
      <w:tr>
        <w:trPr/>
        <w:tc>
          <w:tcPr>
            <w:tcW w:w="240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Theater</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15,390</w:t>
            </w:r>
          </w:p>
        </w:tc>
        <w:tc>
          <w:tcPr>
            <w:tcW w:w="171"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12,615</w:t>
            </w:r>
          </w:p>
        </w:tc>
        <w:tc>
          <w:tcPr>
            <w:tcW w:w="191" w:type="dxa"/>
            <w:tcBorders/>
            <w:shd w:fill="auto" w:val="clear"/>
            <w:vAlign w:val="center"/>
          </w:tcPr>
          <w:p>
            <w:pPr>
              <w:pStyle w:val="TableContents"/>
              <w:spacing w:before="0" w:after="0"/>
              <w:ind w:left="0" w:right="0" w:hanging="0"/>
              <w:jc w:val="left"/>
              <w:rPr/>
            </w:pPr>
            <w:r>
              <w:rPr/>
              <w:t> </w:t>
            </w:r>
          </w:p>
        </w:tc>
      </w:tr>
      <w:tr>
        <w:trPr/>
        <w:tc>
          <w:tcPr>
            <w:tcW w:w="240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712</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313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0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Total Marketplace revenues</w:t>
            </w:r>
          </w:p>
        </w:tc>
        <w:tc>
          <w:tcPr>
            <w:tcW w:w="146" w:type="dxa"/>
            <w:tcBorders/>
            <w:shd w:fill="auto" w:val="clear"/>
            <w:vAlign w:val="center"/>
          </w:tcPr>
          <w:p>
            <w:pPr>
              <w:pStyle w:val="TableContents"/>
              <w:spacing w:before="0" w:after="0"/>
              <w:ind w:left="0" w:right="0" w:hanging="0"/>
              <w:jc w:val="left"/>
              <w:rPr/>
            </w:pPr>
            <w:r>
              <w:rPr/>
              <w:t> </w:t>
            </w:r>
          </w:p>
        </w:tc>
        <w:tc>
          <w:tcPr>
            <w:tcW w:w="2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136,581</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right"/>
              <w:rPr/>
            </w:pPr>
            <w:r>
              <w:rPr/>
              <w:t> </w:t>
            </w:r>
          </w:p>
        </w:tc>
        <w:tc>
          <w:tcPr>
            <w:tcW w:w="2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110,516</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60" w:after="120"/>
        <w:jc w:val="both"/>
        <w:rPr>
          <w:rFonts w:ascii="Times New Roman" w:hAnsi="Times New Roman"/>
          <w:sz w:val="20"/>
        </w:rPr>
      </w:pPr>
      <w:r>
        <w:rPr>
          <w:rFonts w:ascii="Calibri;sans-serif" w:hAnsi="Calibri;sans-serif"/>
          <w:b w:val="false"/>
          <w:sz w:val="20"/>
        </w:rPr>
        <w:t>Resale revenues were $24.5</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and $20.3</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during the three months ended March 31, 2022 and 2021, respectively.</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sz w:val="20"/>
        </w:rPr>
        <w:t>At March 31, 2023, Deferred revenue in the Condensed Consolidated Balance Sheets was $25.9</w:t>
      </w:r>
      <w:r>
        <w:rPr>
          <w:rFonts w:ascii="Times New Roman" w:hAnsi="Times New Roman"/>
          <w:sz w:val="20"/>
        </w:rPr>
        <w:t xml:space="preserve"> </w:t>
      </w:r>
      <w:r>
        <w:rPr>
          <w:rFonts w:ascii="Calibri;sans-serif" w:hAnsi="Calibri;sans-serif"/>
          <w:b w:val="false"/>
          <w:sz w:val="20"/>
        </w:rPr>
        <w:t>million, which primarily relates to Vivid Seats Rewards, our loyalty program. Stamps earned under the program expire in two to three years, if not converted to credits, and credits expire in two to four years, if not redeemed. We expect to recognize all outstanding deferred revenue in the next seven years.</w:t>
      </w:r>
    </w:p>
    <w:p>
      <w:pPr>
        <w:pStyle w:val="TextBody"/>
        <w:spacing w:before="160" w:after="120"/>
        <w:jc w:val="both"/>
        <w:rPr>
          <w:rFonts w:ascii="Times New Roman" w:hAnsi="Times New Roman"/>
          <w:sz w:val="20"/>
        </w:rPr>
      </w:pPr>
      <w:r>
        <w:rPr>
          <w:rFonts w:ascii="Calibri;sans-serif" w:hAnsi="Calibri;sans-serif"/>
          <w:b w:val="false"/>
          <w:sz w:val="20"/>
        </w:rPr>
        <w:t>At December 31, 2022, $32.0</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was recorded as Deferred revenue, of which $10.9</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was recognized as revenue during the three months ended March 31, 2023. At December 31, 2021, $25.1</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was recorded as Deferred revenue, of which $4.0</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was</w:t>
      </w:r>
      <w:r>
        <w:rPr>
          <w:rFonts w:ascii="Times New Roman" w:hAnsi="Times New Roman"/>
          <w:sz w:val="20"/>
        </w:rPr>
        <w:t xml:space="preserve"> </w:t>
      </w:r>
      <w:r>
        <w:rPr>
          <w:rFonts w:ascii="Calibri;sans-serif" w:hAnsi="Calibri;sans-serif"/>
          <w:b w:val="false"/>
          <w:sz w:val="20"/>
        </w:rPr>
        <w:t>recognized as revenue during the three months ended March 31, 2022.</w:t>
      </w:r>
    </w:p>
    <w:p>
      <w:pPr>
        <w:pStyle w:val="TextBody"/>
        <w:spacing w:before="160" w:after="120"/>
        <w:jc w:val="left"/>
        <w:rPr>
          <w:rFonts w:ascii="Calibri;sans-serif" w:hAnsi="Calibri;sans-serif"/>
          <w:b/>
          <w:smallCaps/>
          <w:sz w:val="20"/>
        </w:rPr>
      </w:pPr>
      <w:r>
        <w:rPr>
          <w:rFonts w:ascii="Calibri;sans-serif" w:hAnsi="Calibri;sans-serif"/>
          <w:b/>
          <w:smallCaps/>
          <w:sz w:val="20"/>
        </w:rPr>
        <w:t>4. Segment Reporting</w:t>
      </w:r>
    </w:p>
    <w:p>
      <w:pPr>
        <w:pStyle w:val="TextBody"/>
        <w:spacing w:before="160" w:after="120"/>
        <w:jc w:val="both"/>
        <w:rPr>
          <w:rFonts w:ascii="Calibri;sans-serif" w:hAnsi="Calibri;sans-serif"/>
          <w:b w:val="false"/>
          <w:sz w:val="20"/>
        </w:rPr>
      </w:pPr>
      <w:r>
        <w:rPr>
          <w:rFonts w:ascii="Calibri;sans-serif" w:hAnsi="Calibri;sans-serif"/>
          <w:b w:val="false"/>
          <w:sz w:val="20"/>
        </w:rPr>
        <w:t>Our reportable segments are Marketplace and Resale. Through the Marketplace segment, we act as an intermediary between ticket buyers and sellers within our online secondary ticket marketplace. Through the Resale segment, we acquire tickets from primary sellers, which we then sell through secondary ticket marketplaces. Revenues and contribution margin are used by our Chief Operating Decision Maker ("CODM") to assess performance of the business. We define contribution margin as revenues less cost of revenues and marketing and selling expenses.</w:t>
      </w:r>
    </w:p>
    <w:p>
      <w:pPr>
        <w:pStyle w:val="TextBody"/>
        <w:spacing w:before="160" w:after="120"/>
        <w:jc w:val="both"/>
        <w:rPr>
          <w:rFonts w:ascii="Times New Roman" w:hAnsi="Times New Roman"/>
          <w:sz w:val="20"/>
        </w:rPr>
      </w:pPr>
      <w:r>
        <w:rPr>
          <w:rFonts w:ascii="Calibri;sans-serif" w:hAnsi="Calibri;sans-serif"/>
          <w:b w:val="false"/>
          <w:sz w:val="20"/>
        </w:rPr>
        <w:t>We do not report our assets, capital expenditures, general and administrative expenses or related depreciation and amortization expenses by segment, because our CODM does not use this information to evaluate the performance of our operating segments.</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sz w:val="20"/>
        </w:rPr>
        <w:t>The following tables represent our segment information (in thousands):</w:t>
      </w:r>
      <w:r>
        <w:rPr>
          <w:rFonts w:ascii="Times New Roman" w:hAnsi="Times New Roman"/>
          <w:sz w:val="20"/>
        </w:rPr>
        <w:t xml:space="preserve"> </w:t>
      </w:r>
    </w:p>
    <w:p>
      <w:pPr>
        <w:pStyle w:val="TextBody"/>
        <w:spacing w:before="0" w:after="0"/>
        <w:jc w:val="center"/>
        <w:rPr>
          <w:rFonts w:ascii="Calibri;sans-serif" w:hAnsi="Calibri;sans-serif"/>
          <w:b w:val="false"/>
          <w:sz w:val="20"/>
        </w:rPr>
      </w:pPr>
      <w:r>
        <w:rPr>
          <w:rFonts w:ascii="Calibri;sans-serif" w:hAnsi="Calibri;sans-serif"/>
          <w:b w:val="false"/>
          <w:sz w:val="20"/>
        </w:rPr>
        <w:t>9</w:t>
      </w:r>
    </w:p>
    <w:p>
      <w:pPr>
        <w:pStyle w:val="HorizontalLine"/>
        <w:rPr/>
      </w:pPr>
      <w:r>
        <w:rPr/>
      </w:r>
    </w:p>
    <w:p>
      <w:pPr>
        <w:pStyle w:val="TextBody"/>
        <w:spacing w:before="0" w:after="0"/>
        <w:jc w:val="center"/>
        <w:rPr>
          <w:rFonts w:ascii="Calibri;sans-serif" w:hAnsi="Calibri;sans-serif"/>
          <w:b/>
          <w:caps/>
          <w:sz w:val="20"/>
        </w:rPr>
      </w:pPr>
      <w:r>
        <w:rPr>
          <w:rFonts w:ascii="Calibri;sans-serif" w:hAnsi="Calibri;sans-serif"/>
          <w:b/>
          <w:caps/>
          <w:sz w:val="20"/>
        </w:rPr>
        <w:t>Vivid Seats INC.</w:t>
      </w:r>
    </w:p>
    <w:p>
      <w:pPr>
        <w:pStyle w:val="TextBody"/>
        <w:spacing w:before="0" w:after="0"/>
        <w:jc w:val="center"/>
        <w:rPr>
          <w:rFonts w:ascii="Calibri;sans-serif" w:hAnsi="Calibri;sans-serif"/>
          <w:b/>
          <w:caps/>
          <w:sz w:val="20"/>
        </w:rPr>
      </w:pPr>
      <w:r>
        <w:rPr>
          <w:rFonts w:ascii="Calibri;sans-serif" w:hAnsi="Calibri;sans-serif"/>
          <w:b/>
          <w:caps/>
          <w:sz w:val="20"/>
        </w:rPr>
        <w:t>NOTES to the CONDENSED Consolidated Financial Statements</w:t>
      </w:r>
    </w:p>
    <w:p>
      <w:pPr>
        <w:pStyle w:val="TextBody"/>
        <w:spacing w:before="0" w:after="0"/>
        <w:jc w:val="center"/>
        <w:rPr>
          <w:rFonts w:ascii="Calibri;sans-serif" w:hAnsi="Calibri;sans-serif"/>
          <w:b/>
          <w:caps/>
          <w:sz w:val="20"/>
        </w:rPr>
      </w:pPr>
      <w:r>
        <w:rPr>
          <w:rFonts w:ascii="Calibri;sans-serif" w:hAnsi="Calibri;sans-serif"/>
          <w:b/>
          <w:caps/>
          <w:sz w:val="20"/>
        </w:rPr>
        <w:t>(UNAUDITED)</w:t>
      </w:r>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080"/>
        <w:gridCol w:w="146"/>
        <w:gridCol w:w="239"/>
        <w:gridCol w:w="887"/>
        <w:gridCol w:w="146"/>
        <w:gridCol w:w="146"/>
        <w:gridCol w:w="211"/>
        <w:gridCol w:w="676"/>
        <w:gridCol w:w="146"/>
        <w:gridCol w:w="146"/>
        <w:gridCol w:w="249"/>
        <w:gridCol w:w="922"/>
        <w:gridCol w:w="211"/>
      </w:tblGrid>
      <w:tr>
        <w:trPr/>
        <w:tc>
          <w:tcPr>
            <w:tcW w:w="60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608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8"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Three Months Ended March 31, 2023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8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Marketplace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Resale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Consolidated</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8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Revenues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87"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136,581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24,482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22"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161,063</w:t>
            </w:r>
          </w:p>
        </w:tc>
        <w:tc>
          <w:tcPr>
            <w:tcW w:w="211" w:type="dxa"/>
            <w:tcBorders/>
            <w:shd w:fill="auto" w:val="clear"/>
            <w:vAlign w:val="center"/>
          </w:tcPr>
          <w:p>
            <w:pPr>
              <w:pStyle w:val="TableContents"/>
              <w:spacing w:before="0" w:after="0"/>
              <w:ind w:left="0" w:right="0" w:hanging="0"/>
              <w:jc w:val="left"/>
              <w:rPr/>
            </w:pPr>
            <w:r>
              <w:rPr/>
              <w:t> </w:t>
            </w:r>
          </w:p>
        </w:tc>
      </w:tr>
      <w:tr>
        <w:trPr/>
        <w:tc>
          <w:tcPr>
            <w:tcW w:w="608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Cost of revenues (exclusive of depreciation and amortization shown separately below)</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7"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20,060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17,700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37,760</w:t>
            </w:r>
          </w:p>
        </w:tc>
        <w:tc>
          <w:tcPr>
            <w:tcW w:w="211" w:type="dxa"/>
            <w:tcBorders/>
            <w:shd w:fill="auto" w:val="clear"/>
            <w:vAlign w:val="center"/>
          </w:tcPr>
          <w:p>
            <w:pPr>
              <w:pStyle w:val="TableContents"/>
              <w:spacing w:before="0" w:after="0"/>
              <w:ind w:left="0" w:right="0" w:hanging="0"/>
              <w:jc w:val="left"/>
              <w:rPr/>
            </w:pPr>
            <w:r>
              <w:rPr/>
              <w:t> </w:t>
            </w:r>
          </w:p>
        </w:tc>
      </w:tr>
      <w:tr>
        <w:trPr/>
        <w:tc>
          <w:tcPr>
            <w:tcW w:w="608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Marketing and selling</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54,772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54,772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80"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Contribution margin</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887"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61,749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676"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6,782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68,531</w:t>
            </w:r>
          </w:p>
        </w:tc>
        <w:tc>
          <w:tcPr>
            <w:tcW w:w="211" w:type="dxa"/>
            <w:tcBorders/>
            <w:shd w:fill="auto" w:val="clear"/>
            <w:vAlign w:val="center"/>
          </w:tcPr>
          <w:p>
            <w:pPr>
              <w:pStyle w:val="TableContents"/>
              <w:spacing w:before="0" w:after="0"/>
              <w:ind w:left="0" w:right="0" w:hanging="0"/>
              <w:jc w:val="left"/>
              <w:rPr/>
            </w:pPr>
            <w:r>
              <w:rPr/>
              <w:t> </w:t>
            </w:r>
          </w:p>
        </w:tc>
      </w:tr>
      <w:tr>
        <w:trPr/>
        <w:tc>
          <w:tcPr>
            <w:tcW w:w="608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32,389</w:t>
            </w:r>
          </w:p>
        </w:tc>
        <w:tc>
          <w:tcPr>
            <w:tcW w:w="211" w:type="dxa"/>
            <w:tcBorders/>
            <w:shd w:fill="auto" w:val="clear"/>
            <w:vAlign w:val="center"/>
          </w:tcPr>
          <w:p>
            <w:pPr>
              <w:pStyle w:val="TableContents"/>
              <w:spacing w:before="0" w:after="0"/>
              <w:ind w:left="0" w:right="0" w:hanging="0"/>
              <w:jc w:val="left"/>
              <w:rPr/>
            </w:pPr>
            <w:r>
              <w:rPr/>
              <w:t> </w:t>
            </w:r>
          </w:p>
        </w:tc>
      </w:tr>
      <w:tr>
        <w:trPr/>
        <w:tc>
          <w:tcPr>
            <w:tcW w:w="608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2,598</w:t>
            </w:r>
          </w:p>
        </w:tc>
        <w:tc>
          <w:tcPr>
            <w:tcW w:w="211" w:type="dxa"/>
            <w:tcBorders/>
            <w:shd w:fill="auto" w:val="clear"/>
            <w:vAlign w:val="center"/>
          </w:tcPr>
          <w:p>
            <w:pPr>
              <w:pStyle w:val="TableContents"/>
              <w:spacing w:before="0" w:after="0"/>
              <w:ind w:left="0" w:right="0" w:hanging="0"/>
              <w:jc w:val="left"/>
              <w:rPr/>
            </w:pPr>
            <w:r>
              <w:rPr/>
              <w:t> </w:t>
            </w:r>
          </w:p>
        </w:tc>
      </w:tr>
      <w:tr>
        <w:trPr/>
        <w:tc>
          <w:tcPr>
            <w:tcW w:w="608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Change in fair value of contingent consideration</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80"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Income from operations</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33,510</w:t>
            </w:r>
          </w:p>
        </w:tc>
        <w:tc>
          <w:tcPr>
            <w:tcW w:w="211" w:type="dxa"/>
            <w:tcBorders/>
            <w:shd w:fill="auto" w:val="clear"/>
            <w:vAlign w:val="center"/>
          </w:tcPr>
          <w:p>
            <w:pPr>
              <w:pStyle w:val="TableContents"/>
              <w:spacing w:before="0" w:after="0"/>
              <w:ind w:left="0" w:right="0" w:hanging="0"/>
              <w:jc w:val="left"/>
              <w:rPr/>
            </w:pPr>
            <w:r>
              <w:rPr/>
              <w:t> </w:t>
            </w:r>
          </w:p>
        </w:tc>
      </w:tr>
      <w:tr>
        <w:trPr/>
        <w:tc>
          <w:tcPr>
            <w:tcW w:w="608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Interest expense – net</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3,280</w:t>
            </w:r>
          </w:p>
        </w:tc>
        <w:tc>
          <w:tcPr>
            <w:tcW w:w="211" w:type="dxa"/>
            <w:tcBorders/>
            <w:shd w:fill="auto" w:val="clear"/>
            <w:vAlign w:val="center"/>
          </w:tcPr>
          <w:p>
            <w:pPr>
              <w:pStyle w:val="TableContents"/>
              <w:spacing w:before="0" w:after="0"/>
              <w:ind w:left="0" w:right="0" w:hanging="0"/>
              <w:jc w:val="left"/>
              <w:rPr/>
            </w:pPr>
            <w:r>
              <w:rPr/>
              <w:t> </w:t>
            </w:r>
          </w:p>
        </w:tc>
      </w:tr>
      <w:tr>
        <w:trPr/>
        <w:tc>
          <w:tcPr>
            <w:tcW w:w="608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Other income</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(327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6080"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Income before income taxes</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9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30,557</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60" w:after="0"/>
        <w:jc w:val="both"/>
        <w:rPr/>
      </w:pPr>
      <w:r>
        <w:rPr/>
        <w:t> </w:t>
      </w:r>
    </w:p>
    <w:tbl>
      <w:tblPr>
        <w:tblW w:w="10205" w:type="dxa"/>
        <w:jc w:val="left"/>
        <w:tblInd w:w="0" w:type="dxa"/>
        <w:tblCellMar>
          <w:top w:w="28" w:type="dxa"/>
          <w:left w:w="28" w:type="dxa"/>
          <w:bottom w:w="28" w:type="dxa"/>
          <w:right w:w="28" w:type="dxa"/>
        </w:tblCellMar>
      </w:tblPr>
      <w:tblGrid>
        <w:gridCol w:w="6100"/>
        <w:gridCol w:w="146"/>
        <w:gridCol w:w="239"/>
        <w:gridCol w:w="887"/>
        <w:gridCol w:w="146"/>
        <w:gridCol w:w="146"/>
        <w:gridCol w:w="211"/>
        <w:gridCol w:w="676"/>
        <w:gridCol w:w="146"/>
        <w:gridCol w:w="146"/>
        <w:gridCol w:w="249"/>
        <w:gridCol w:w="922"/>
        <w:gridCol w:w="191"/>
      </w:tblGrid>
      <w:tr>
        <w:trPr/>
        <w:tc>
          <w:tcPr>
            <w:tcW w:w="61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61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68"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Three Months Ended March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1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Marketplace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Resale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Consolidated</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10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Revenues</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87"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110,516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7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20,256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22"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130,772</w:t>
            </w:r>
          </w:p>
        </w:tc>
        <w:tc>
          <w:tcPr>
            <w:tcW w:w="191" w:type="dxa"/>
            <w:tcBorders/>
            <w:shd w:fill="auto" w:val="clear"/>
            <w:vAlign w:val="center"/>
          </w:tcPr>
          <w:p>
            <w:pPr>
              <w:pStyle w:val="TableContents"/>
              <w:spacing w:before="0" w:after="0"/>
              <w:ind w:left="0" w:right="0" w:hanging="0"/>
              <w:jc w:val="left"/>
              <w:rPr/>
            </w:pPr>
            <w:r>
              <w:rPr/>
              <w:t> </w:t>
            </w:r>
          </w:p>
        </w:tc>
      </w:tr>
      <w:tr>
        <w:trPr/>
        <w:tc>
          <w:tcPr>
            <w:tcW w:w="610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Cost of revenues (exclusive of depreciation and amortization shown separately below)</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887"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16,409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15,755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32,164</w:t>
            </w:r>
          </w:p>
        </w:tc>
        <w:tc>
          <w:tcPr>
            <w:tcW w:w="191" w:type="dxa"/>
            <w:tcBorders/>
            <w:shd w:fill="auto" w:val="clear"/>
            <w:vAlign w:val="center"/>
          </w:tcPr>
          <w:p>
            <w:pPr>
              <w:pStyle w:val="TableContents"/>
              <w:spacing w:before="0" w:after="0"/>
              <w:ind w:left="0" w:right="0" w:hanging="0"/>
              <w:jc w:val="left"/>
              <w:rPr/>
            </w:pPr>
            <w:r>
              <w:rPr/>
              <w:t> </w:t>
            </w:r>
          </w:p>
        </w:tc>
      </w:tr>
      <w:tr>
        <w:trPr/>
        <w:tc>
          <w:tcPr>
            <w:tcW w:w="610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Marketing and selling</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54,228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54,228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100"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Contribution margin</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887"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39,879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676"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4,501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44,380</w:t>
            </w:r>
          </w:p>
        </w:tc>
        <w:tc>
          <w:tcPr>
            <w:tcW w:w="191" w:type="dxa"/>
            <w:tcBorders/>
            <w:shd w:fill="auto" w:val="clear"/>
            <w:vAlign w:val="center"/>
          </w:tcPr>
          <w:p>
            <w:pPr>
              <w:pStyle w:val="TableContents"/>
              <w:spacing w:before="0" w:after="0"/>
              <w:ind w:left="0" w:right="0" w:hanging="0"/>
              <w:jc w:val="left"/>
              <w:rPr/>
            </w:pPr>
            <w:r>
              <w:rPr/>
              <w:t> </w:t>
            </w:r>
          </w:p>
        </w:tc>
      </w:tr>
      <w:tr>
        <w:trPr/>
        <w:tc>
          <w:tcPr>
            <w:tcW w:w="610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29,275</w:t>
            </w:r>
          </w:p>
        </w:tc>
        <w:tc>
          <w:tcPr>
            <w:tcW w:w="191" w:type="dxa"/>
            <w:tcBorders/>
            <w:shd w:fill="auto" w:val="clear"/>
            <w:vAlign w:val="center"/>
          </w:tcPr>
          <w:p>
            <w:pPr>
              <w:pStyle w:val="TableContents"/>
              <w:spacing w:before="0" w:after="0"/>
              <w:ind w:left="0" w:right="0" w:hanging="0"/>
              <w:jc w:val="left"/>
              <w:rPr/>
            </w:pPr>
            <w:r>
              <w:rPr/>
              <w:t> </w:t>
            </w:r>
          </w:p>
        </w:tc>
      </w:tr>
      <w:tr>
        <w:trPr/>
        <w:tc>
          <w:tcPr>
            <w:tcW w:w="610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1,385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100"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Income from operations</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13,720</w:t>
            </w:r>
          </w:p>
        </w:tc>
        <w:tc>
          <w:tcPr>
            <w:tcW w:w="191" w:type="dxa"/>
            <w:tcBorders/>
            <w:shd w:fill="auto" w:val="clear"/>
            <w:vAlign w:val="center"/>
          </w:tcPr>
          <w:p>
            <w:pPr>
              <w:pStyle w:val="TableContents"/>
              <w:spacing w:before="0" w:after="0"/>
              <w:ind w:left="0" w:right="0" w:hanging="0"/>
              <w:jc w:val="left"/>
              <w:rPr/>
            </w:pPr>
            <w:r>
              <w:rPr/>
              <w:t> </w:t>
            </w:r>
          </w:p>
        </w:tc>
      </w:tr>
      <w:tr>
        <w:trPr/>
        <w:tc>
          <w:tcPr>
            <w:tcW w:w="610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Interest expense – net</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3,942</w:t>
            </w:r>
          </w:p>
        </w:tc>
        <w:tc>
          <w:tcPr>
            <w:tcW w:w="191" w:type="dxa"/>
            <w:tcBorders/>
            <w:shd w:fill="auto" w:val="clear"/>
            <w:vAlign w:val="center"/>
          </w:tcPr>
          <w:p>
            <w:pPr>
              <w:pStyle w:val="TableContents"/>
              <w:spacing w:before="0" w:after="0"/>
              <w:ind w:left="0" w:right="0" w:hanging="0"/>
              <w:jc w:val="left"/>
              <w:rPr/>
            </w:pPr>
            <w:r>
              <w:rPr/>
              <w:t> </w:t>
            </w:r>
          </w:p>
        </w:tc>
      </w:tr>
      <w:tr>
        <w:trPr/>
        <w:tc>
          <w:tcPr>
            <w:tcW w:w="610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Loss on extinguishment of debt</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922"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4,285</w:t>
            </w:r>
          </w:p>
        </w:tc>
        <w:tc>
          <w:tcPr>
            <w:tcW w:w="191" w:type="dxa"/>
            <w:tcBorders/>
            <w:shd w:fill="auto" w:val="clear"/>
            <w:vAlign w:val="center"/>
          </w:tcPr>
          <w:p>
            <w:pPr>
              <w:pStyle w:val="TableContents"/>
              <w:spacing w:before="0" w:after="0"/>
              <w:ind w:left="0" w:right="0" w:hanging="0"/>
              <w:jc w:val="left"/>
              <w:rPr/>
            </w:pPr>
            <w:r>
              <w:rPr/>
              <w:t> </w:t>
            </w:r>
          </w:p>
        </w:tc>
      </w:tr>
      <w:tr>
        <w:trPr/>
        <w:tc>
          <w:tcPr>
            <w:tcW w:w="610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Other expenses</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2,279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100"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Income before income taxes</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9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3,214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60" w:after="120"/>
        <w:jc w:val="left"/>
        <w:rPr>
          <w:rFonts w:ascii="Calibri;sans-serif" w:hAnsi="Calibri;sans-serif"/>
          <w:b w:val="false"/>
          <w:sz w:val="20"/>
        </w:rPr>
      </w:pPr>
      <w:r>
        <w:rPr>
          <w:rFonts w:ascii="Calibri;sans-serif" w:hAnsi="Calibri;sans-serif"/>
          <w:b w:val="false"/>
          <w:sz w:val="20"/>
        </w:rPr>
        <w:t>Substantially all of our sales occur, and assets reside, in the United States.</w:t>
      </w:r>
    </w:p>
    <w:p>
      <w:pPr>
        <w:pStyle w:val="TextBody"/>
        <w:spacing w:before="160" w:after="120"/>
        <w:jc w:val="left"/>
        <w:rPr>
          <w:rFonts w:ascii="Calibri;sans-serif" w:hAnsi="Calibri;sans-serif"/>
          <w:b/>
          <w:smallCaps/>
          <w:sz w:val="20"/>
        </w:rPr>
      </w:pPr>
      <w:r>
        <w:rPr>
          <w:rFonts w:ascii="Calibri;sans-serif" w:hAnsi="Calibri;sans-serif"/>
          <w:b/>
          <w:smallCaps/>
          <w:sz w:val="20"/>
        </w:rPr>
        <w:t>5. Accounts Receivable - Net</w:t>
      </w:r>
    </w:p>
    <w:p>
      <w:pPr>
        <w:pStyle w:val="TextBody"/>
        <w:spacing w:before="160" w:after="120"/>
        <w:jc w:val="both"/>
        <w:rPr>
          <w:rFonts w:ascii="Times New Roman" w:hAnsi="Times New Roman"/>
          <w:sz w:val="20"/>
        </w:rPr>
      </w:pPr>
      <w:r>
        <w:rPr>
          <w:rFonts w:ascii="Calibri;sans-serif" w:hAnsi="Calibri;sans-serif"/>
          <w:b w:val="false"/>
          <w:sz w:val="20"/>
        </w:rPr>
        <w:t>As of March 31, 2023 and December 31, 2022, Accounts receivable - net was $46.5</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and $36.5</w:t>
      </w:r>
      <w:r>
        <w:rPr>
          <w:rFonts w:ascii="Times New Roman" w:hAnsi="Times New Roman"/>
          <w:sz w:val="20"/>
        </w:rPr>
        <w:t xml:space="preserve"> </w:t>
      </w:r>
      <w:r>
        <w:rPr>
          <w:rFonts w:ascii="Calibri;sans-serif" w:hAnsi="Calibri;sans-serif"/>
          <w:b w:val="false"/>
          <w:sz w:val="20"/>
        </w:rPr>
        <w:t>million, respectively.</w:t>
      </w:r>
    </w:p>
    <w:p>
      <w:pPr>
        <w:pStyle w:val="TextBody"/>
        <w:spacing w:before="160" w:after="120"/>
        <w:jc w:val="both"/>
        <w:rPr>
          <w:rFonts w:ascii="Times New Roman" w:hAnsi="Times New Roman"/>
          <w:sz w:val="20"/>
        </w:rPr>
      </w:pPr>
      <w:r>
        <w:rPr>
          <w:rFonts w:ascii="Calibri;sans-serif" w:hAnsi="Calibri;sans-serif"/>
          <w:b w:val="false"/>
          <w:sz w:val="20"/>
        </w:rPr>
        <w:t>$28.1</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and $18.9</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of the Accounts receivable balance at March 31, 2023 and December 31, 2022, respectively, consisted of uncollateralized payment processor obligations due under normal trade terms typically requiring payment within three business days. Credit risk with respect to accounts receivable from payment processing entities is limited due to the consolidation of those receivables with large financial institutions and the frequency with which the receivables turn over.</w:t>
      </w:r>
    </w:p>
    <w:p>
      <w:pPr>
        <w:pStyle w:val="TextBody"/>
        <w:spacing w:before="160" w:after="120"/>
        <w:jc w:val="both"/>
        <w:rPr>
          <w:rFonts w:ascii="Times New Roman" w:hAnsi="Times New Roman"/>
          <w:sz w:val="20"/>
        </w:rPr>
      </w:pPr>
      <w:r>
        <w:rPr>
          <w:rFonts w:ascii="Calibri;sans-serif" w:hAnsi="Calibri;sans-serif"/>
          <w:b w:val="false"/>
          <w:sz w:val="20"/>
        </w:rPr>
        <w:t>$1.8</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and $1.0</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of the Accounts receivable balance at March 31, 2023 and December 31, 2022, respectively, consisted of amounts due from marketplace ticket sellers for cancelled event tickets. We recorded an allowance for credit losses of $0.3</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and $0.1</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at March 31, 2023 and December 31, 2022, respectively, to reflect potential challenges in collecting funds from marketplace ticket sellers. Accounts receivable balances are</w:t>
      </w:r>
      <w:r>
        <w:rPr>
          <w:rFonts w:ascii="Times New Roman" w:hAnsi="Times New Roman"/>
          <w:sz w:val="20"/>
        </w:rPr>
        <w:t xml:space="preserve"> </w:t>
      </w:r>
    </w:p>
    <w:p>
      <w:pPr>
        <w:pStyle w:val="TextBody"/>
        <w:spacing w:before="0" w:after="0"/>
        <w:jc w:val="center"/>
        <w:rPr>
          <w:rFonts w:ascii="Calibri;sans-serif" w:hAnsi="Calibri;sans-serif"/>
          <w:b w:val="false"/>
          <w:sz w:val="20"/>
        </w:rPr>
      </w:pPr>
      <w:r>
        <w:rPr>
          <w:rFonts w:ascii="Calibri;sans-serif" w:hAnsi="Calibri;sans-serif"/>
          <w:b w:val="false"/>
          <w:sz w:val="20"/>
        </w:rPr>
        <w:t>10</w:t>
      </w:r>
    </w:p>
    <w:p>
      <w:pPr>
        <w:pStyle w:val="HorizontalLine"/>
        <w:rPr/>
      </w:pPr>
      <w:r>
        <w:rPr/>
      </w:r>
    </w:p>
    <w:p>
      <w:pPr>
        <w:pStyle w:val="TextBody"/>
        <w:spacing w:before="0" w:after="0"/>
        <w:jc w:val="center"/>
        <w:rPr>
          <w:rFonts w:ascii="Calibri;sans-serif" w:hAnsi="Calibri;sans-serif"/>
          <w:b/>
          <w:caps/>
          <w:sz w:val="20"/>
        </w:rPr>
      </w:pPr>
      <w:r>
        <w:rPr>
          <w:rFonts w:ascii="Calibri;sans-serif" w:hAnsi="Calibri;sans-serif"/>
          <w:b/>
          <w:caps/>
          <w:sz w:val="20"/>
        </w:rPr>
        <w:t>Vivid Seats INC.</w:t>
      </w:r>
    </w:p>
    <w:p>
      <w:pPr>
        <w:pStyle w:val="TextBody"/>
        <w:spacing w:before="0" w:after="0"/>
        <w:jc w:val="center"/>
        <w:rPr>
          <w:rFonts w:ascii="Calibri;sans-serif" w:hAnsi="Calibri;sans-serif"/>
          <w:b/>
          <w:caps/>
          <w:sz w:val="20"/>
        </w:rPr>
      </w:pPr>
      <w:r>
        <w:rPr>
          <w:rFonts w:ascii="Calibri;sans-serif" w:hAnsi="Calibri;sans-serif"/>
          <w:b/>
          <w:caps/>
          <w:sz w:val="20"/>
        </w:rPr>
        <w:t>NOTES to the CONDENSED Consolidated Financial Statements</w:t>
      </w:r>
    </w:p>
    <w:p>
      <w:pPr>
        <w:pStyle w:val="TextBody"/>
        <w:spacing w:before="0" w:after="0"/>
        <w:jc w:val="center"/>
        <w:rPr>
          <w:rFonts w:ascii="Calibri;sans-serif" w:hAnsi="Calibri;sans-serif"/>
          <w:b/>
          <w:caps/>
          <w:sz w:val="20"/>
        </w:rPr>
      </w:pPr>
      <w:r>
        <w:rPr>
          <w:rFonts w:ascii="Calibri;sans-serif" w:hAnsi="Calibri;sans-serif"/>
          <w:b/>
          <w:caps/>
          <w:sz w:val="20"/>
        </w:rPr>
        <w:t>(UNAUDITED)</w:t>
      </w:r>
    </w:p>
    <w:p>
      <w:pPr>
        <w:pStyle w:val="TextBody"/>
        <w:spacing w:before="0" w:after="0"/>
        <w:jc w:val="left"/>
        <w:rPr/>
      </w:pPr>
      <w:r>
        <w:rPr/>
        <w:t> </w:t>
      </w:r>
    </w:p>
    <w:p>
      <w:pPr>
        <w:pStyle w:val="TextBody"/>
        <w:spacing w:before="0" w:after="0"/>
        <w:jc w:val="left"/>
        <w:rPr/>
      </w:pPr>
      <w:r>
        <w:rPr/>
        <w:t> </w:t>
      </w:r>
    </w:p>
    <w:p>
      <w:pPr>
        <w:pStyle w:val="TextBody"/>
        <w:spacing w:before="160" w:after="120"/>
        <w:jc w:val="both"/>
        <w:rPr>
          <w:rFonts w:ascii="Calibri;sans-serif" w:hAnsi="Calibri;sans-serif"/>
          <w:b w:val="false"/>
          <w:sz w:val="20"/>
        </w:rPr>
      </w:pPr>
      <w:r>
        <w:rPr>
          <w:rFonts w:ascii="Calibri;sans-serif" w:hAnsi="Calibri;sans-serif"/>
          <w:b w:val="false"/>
          <w:sz w:val="20"/>
        </w:rPr>
        <w:t>stated net of allowance for credit losses and bad debt expense is presented as a reduction of Revenues in the Condensed Consolidated Statements of Operations.</w:t>
      </w:r>
    </w:p>
    <w:p>
      <w:pPr>
        <w:pStyle w:val="TextBody"/>
        <w:spacing w:before="160" w:after="120"/>
        <w:jc w:val="both"/>
        <w:rPr>
          <w:rFonts w:ascii="Times New Roman" w:hAnsi="Times New Roman"/>
          <w:sz w:val="20"/>
        </w:rPr>
      </w:pPr>
      <w:r>
        <w:rPr>
          <w:rFonts w:ascii="Calibri;sans-serif" w:hAnsi="Calibri;sans-serif"/>
          <w:b w:val="false"/>
          <w:sz w:val="20"/>
        </w:rPr>
        <w:t>$11.8</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and $11.7</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of the Accounts receivable balance at March 31, 2023 and December 31, 2022, respectively, consisted of amounts due from distribution partners for cancellation charges, primarily related to cancelled events. We recorded an allowance for credit losses of $3.5</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and $3.6</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at March 31, 2023 and December 31, 2022, respectively, to reflect potential challenges in collecting funds from distribution partners, particularly for amounts due upon usage of store credit previously issued to buyers. Accounts receivable balances are stated net of allowance for credit losses and bad debt expense is presented as a reduction of Revenues in the Condensed Consolidated Statements of Operations.</w:t>
      </w:r>
    </w:p>
    <w:p>
      <w:pPr>
        <w:pStyle w:val="TextBody"/>
        <w:spacing w:before="160" w:after="120"/>
        <w:jc w:val="both"/>
        <w:rPr>
          <w:rFonts w:ascii="Times New Roman" w:hAnsi="Times New Roman"/>
          <w:sz w:val="20"/>
        </w:rPr>
      </w:pPr>
      <w:r>
        <w:rPr>
          <w:rFonts w:ascii="Calibri;sans-serif" w:hAnsi="Calibri;sans-serif"/>
          <w:b w:val="false"/>
          <w:sz w:val="20"/>
        </w:rPr>
        <w:t>There were no</w:t>
      </w:r>
      <w:r>
        <w:rPr>
          <w:rFonts w:ascii="Times New Roman" w:hAnsi="Times New Roman"/>
          <w:sz w:val="20"/>
        </w:rPr>
        <w:t xml:space="preserve"> </w:t>
      </w:r>
      <w:r>
        <w:rPr>
          <w:rFonts w:ascii="Calibri;sans-serif" w:hAnsi="Calibri;sans-serif"/>
          <w:b w:val="false"/>
          <w:sz w:val="20"/>
        </w:rPr>
        <w:t>write-offs for the three months ended March 31, 2023 and 2022.</w:t>
      </w:r>
    </w:p>
    <w:p>
      <w:pPr>
        <w:pStyle w:val="TextBody"/>
        <w:spacing w:before="160" w:after="120"/>
        <w:jc w:val="left"/>
        <w:rPr>
          <w:rFonts w:ascii="Calibri;sans-serif" w:hAnsi="Calibri;sans-serif"/>
          <w:b/>
          <w:smallCaps/>
          <w:sz w:val="20"/>
        </w:rPr>
      </w:pPr>
      <w:r>
        <w:rPr>
          <w:rFonts w:ascii="Calibri;sans-serif" w:hAnsi="Calibri;sans-serif"/>
          <w:b/>
          <w:smallCaps/>
          <w:sz w:val="20"/>
        </w:rPr>
        <w:t>6. Prepaid Expenses and Other Current Assets</w:t>
      </w:r>
    </w:p>
    <w:p>
      <w:pPr>
        <w:pStyle w:val="TextBody"/>
        <w:spacing w:before="160" w:after="120"/>
        <w:jc w:val="both"/>
        <w:rPr>
          <w:rFonts w:ascii="Calibri;sans-serif" w:hAnsi="Calibri;sans-serif"/>
          <w:b w:val="false"/>
          <w:sz w:val="20"/>
        </w:rPr>
      </w:pPr>
      <w:r>
        <w:rPr>
          <w:rFonts w:ascii="Calibri;sans-serif" w:hAnsi="Calibri;sans-serif"/>
          <w:b w:val="false"/>
          <w:sz w:val="20"/>
        </w:rPr>
        <w:t>Prepaid expenses and other current assets consist of the following (in thousands):</w:t>
      </w:r>
    </w:p>
    <w:tbl>
      <w:tblPr>
        <w:tblW w:w="6870" w:type="dxa"/>
        <w:jc w:val="left"/>
        <w:tblInd w:w="0" w:type="dxa"/>
        <w:tblCellMar>
          <w:top w:w="28" w:type="dxa"/>
          <w:left w:w="28" w:type="dxa"/>
          <w:bottom w:w="28" w:type="dxa"/>
          <w:right w:w="28" w:type="dxa"/>
        </w:tblCellMar>
      </w:tblPr>
      <w:tblGrid>
        <w:gridCol w:w="4066"/>
        <w:gridCol w:w="146"/>
        <w:gridCol w:w="217"/>
        <w:gridCol w:w="698"/>
        <w:gridCol w:w="146"/>
        <w:gridCol w:w="146"/>
        <w:gridCol w:w="299"/>
        <w:gridCol w:w="961"/>
        <w:gridCol w:w="191"/>
      </w:tblGrid>
      <w:tr>
        <w:trPr/>
        <w:tc>
          <w:tcPr>
            <w:tcW w:w="4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5" w:type="dxa"/>
            <w:gridSpan w:val="2"/>
            <w:tcBorders/>
            <w:shd w:fill="auto" w:val="cle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December 31,</w:t>
            </w:r>
          </w:p>
        </w:tc>
        <w:tc>
          <w:tcPr>
            <w:tcW w:w="191" w:type="dxa"/>
            <w:tcBorders/>
            <w:shd w:fill="auto" w:val="clear"/>
            <w:vAlign w:val="center"/>
          </w:tcPr>
          <w:p>
            <w:pPr>
              <w:pStyle w:val="TableContents"/>
              <w:spacing w:before="0" w:after="0"/>
              <w:ind w:left="0" w:right="0" w:hanging="0"/>
              <w:jc w:val="center"/>
              <w:rPr/>
            </w:pPr>
            <w:r>
              <w:rPr/>
              <w:t> </w:t>
            </w:r>
          </w:p>
        </w:tc>
      </w:tr>
      <w:tr>
        <w:trPr/>
        <w:tc>
          <w:tcPr>
            <w:tcW w:w="4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Recovery of future customer compensation</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698"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26,783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23,311</w:t>
            </w:r>
          </w:p>
        </w:tc>
        <w:tc>
          <w:tcPr>
            <w:tcW w:w="19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Prepaid expenses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5,778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6,032</w:t>
            </w:r>
          </w:p>
        </w:tc>
        <w:tc>
          <w:tcPr>
            <w:tcW w:w="19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569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Total 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33,329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29,912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60" w:after="120"/>
        <w:jc w:val="both"/>
        <w:rPr>
          <w:rFonts w:ascii="Times New Roman" w:hAnsi="Times New Roman"/>
          <w:sz w:val="20"/>
        </w:rPr>
      </w:pPr>
      <w:r>
        <w:rPr>
          <w:rFonts w:ascii="Calibri;sans-serif" w:hAnsi="Calibri;sans-serif"/>
          <w:b w:val="false"/>
          <w:sz w:val="20"/>
        </w:rPr>
        <w:t>Recovery of future customer compensation represents expected recoveries of compensation to be paid to customers for event cancellations or other service issues related to previously recorded sales transactions. Recovery of future customer compensation costs increased by $3.5</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at March 31, 2023 as compared to the cost at December 31, 2022 due to an increase in the reserve for future cancellations driven by higher volume of sales for future events as of March 31, 2023. The provision related to these expected recoveries is included in Accrued expenses and other current liabilities in the Condensed Consolidated Balance Sheets.</w:t>
      </w:r>
    </w:p>
    <w:p>
      <w:pPr>
        <w:pStyle w:val="TextBody"/>
        <w:spacing w:before="160" w:after="120"/>
        <w:jc w:val="left"/>
        <w:rPr>
          <w:rFonts w:ascii="Calibri;sans-serif" w:hAnsi="Calibri;sans-serif"/>
          <w:b/>
          <w:smallCaps/>
          <w:sz w:val="20"/>
        </w:rPr>
      </w:pPr>
      <w:r>
        <w:rPr>
          <w:rFonts w:ascii="Calibri;sans-serif" w:hAnsi="Calibri;sans-serif"/>
          <w:b/>
          <w:smallCaps/>
          <w:sz w:val="20"/>
        </w:rPr>
        <w:t>7. Goodwill and Intangible Assets</w:t>
      </w:r>
    </w:p>
    <w:p>
      <w:pPr>
        <w:pStyle w:val="TextBody"/>
        <w:spacing w:before="160" w:after="120"/>
        <w:jc w:val="both"/>
        <w:rPr>
          <w:rFonts w:ascii="Times New Roman" w:hAnsi="Times New Roman"/>
          <w:sz w:val="20"/>
        </w:rPr>
      </w:pPr>
      <w:r>
        <w:rPr>
          <w:rFonts w:ascii="Calibri;sans-serif" w:hAnsi="Calibri;sans-serif"/>
          <w:b w:val="false"/>
          <w:sz w:val="20"/>
        </w:rPr>
        <w:t>Definite-lived intangible assets includes developed technology and customer relationships, which had a net carrying amount of $17.1</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and $17.3</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at March 31, 2023 and December 31, 2022, respectively, and accumulated amortization of $11.9</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and $9.6</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at March 31, 2023 and December 31, 2022, respectively.</w:t>
      </w:r>
    </w:p>
    <w:p>
      <w:pPr>
        <w:pStyle w:val="TextBody"/>
        <w:spacing w:before="160" w:after="120"/>
        <w:jc w:val="both"/>
        <w:rPr>
          <w:rFonts w:ascii="Calibri;sans-serif" w:hAnsi="Calibri;sans-serif"/>
          <w:b w:val="false"/>
          <w:sz w:val="20"/>
        </w:rPr>
      </w:pPr>
      <w:r>
        <w:rPr>
          <w:rFonts w:ascii="Calibri;sans-serif" w:hAnsi="Calibri;sans-serif"/>
          <w:b w:val="false"/>
          <w:sz w:val="20"/>
        </w:rPr>
        <w:t>Our goodwill is included in our Marketplace segment.</w:t>
      </w:r>
    </w:p>
    <w:p>
      <w:pPr>
        <w:pStyle w:val="TextBody"/>
        <w:spacing w:before="160" w:after="120"/>
        <w:jc w:val="both"/>
        <w:rPr>
          <w:rFonts w:ascii="Calibri;sans-serif" w:hAnsi="Calibri;sans-serif"/>
          <w:b w:val="false"/>
          <w:sz w:val="20"/>
        </w:rPr>
      </w:pPr>
      <w:r>
        <w:rPr>
          <w:rFonts w:ascii="Calibri;sans-serif" w:hAnsi="Calibri;sans-serif"/>
          <w:b w:val="false"/>
          <w:sz w:val="20"/>
        </w:rPr>
        <w:t>The net changes in the carrying amounts of our intangible assets and goodwill were as follows (in thousands):</w:t>
      </w:r>
    </w:p>
    <w:tbl>
      <w:tblPr>
        <w:tblW w:w="8055" w:type="dxa"/>
        <w:jc w:val="left"/>
        <w:tblInd w:w="0" w:type="dxa"/>
        <w:tblCellMar>
          <w:top w:w="28" w:type="dxa"/>
          <w:left w:w="28" w:type="dxa"/>
          <w:bottom w:w="28" w:type="dxa"/>
          <w:right w:w="28" w:type="dxa"/>
        </w:tblCellMar>
      </w:tblPr>
      <w:tblGrid>
        <w:gridCol w:w="2491"/>
        <w:gridCol w:w="146"/>
        <w:gridCol w:w="627"/>
        <w:gridCol w:w="2013"/>
        <w:gridCol w:w="166"/>
        <w:gridCol w:w="146"/>
        <w:gridCol w:w="235"/>
        <w:gridCol w:w="756"/>
        <w:gridCol w:w="146"/>
        <w:gridCol w:w="146"/>
        <w:gridCol w:w="211"/>
        <w:gridCol w:w="781"/>
        <w:gridCol w:w="191"/>
      </w:tblGrid>
      <w:tr>
        <w:trPr/>
        <w:tc>
          <w:tcPr>
            <w:tcW w:w="24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201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Definite-lived Intangible Assets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Trademark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Goodwill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9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Balance at January 1, 2023</w:t>
            </w:r>
          </w:p>
        </w:tc>
        <w:tc>
          <w:tcPr>
            <w:tcW w:w="146" w:type="dxa"/>
            <w:tcBorders/>
            <w:shd w:fill="auto" w:val="clear"/>
            <w:vAlign w:val="center"/>
          </w:tcPr>
          <w:p>
            <w:pPr>
              <w:pStyle w:val="TableContents"/>
              <w:spacing w:before="0" w:after="0"/>
              <w:ind w:left="0" w:right="0" w:hanging="0"/>
              <w:jc w:val="left"/>
              <w:rPr/>
            </w:pPr>
            <w:r>
              <w:rPr/>
              <w:t> </w:t>
            </w:r>
          </w:p>
        </w:tc>
        <w:tc>
          <w:tcPr>
            <w:tcW w:w="627"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201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17,310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5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64,666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715,258</w:t>
            </w:r>
          </w:p>
        </w:tc>
        <w:tc>
          <w:tcPr>
            <w:tcW w:w="191" w:type="dxa"/>
            <w:tcBorders/>
            <w:shd w:fill="auto" w:val="clear"/>
            <w:vAlign w:val="center"/>
          </w:tcPr>
          <w:p>
            <w:pPr>
              <w:pStyle w:val="TableContents"/>
              <w:spacing w:before="0" w:after="0"/>
              <w:ind w:left="0" w:right="0" w:hanging="0"/>
              <w:jc w:val="left"/>
              <w:rPr/>
            </w:pPr>
            <w:r>
              <w:rPr/>
              <w:t> </w:t>
            </w:r>
          </w:p>
        </w:tc>
      </w:tr>
      <w:tr>
        <w:trPr/>
        <w:tc>
          <w:tcPr>
            <w:tcW w:w="249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Capitalized development costs</w:t>
            </w:r>
          </w:p>
        </w:tc>
        <w:tc>
          <w:tcPr>
            <w:tcW w:w="146" w:type="dxa"/>
            <w:tcBorders/>
            <w:shd w:fill="auto" w:val="clear"/>
            <w:vAlign w:val="center"/>
          </w:tcPr>
          <w:p>
            <w:pPr>
              <w:pStyle w:val="TableContents"/>
              <w:spacing w:before="0" w:after="0"/>
              <w:ind w:left="0" w:right="0" w:hanging="0"/>
              <w:jc w:val="left"/>
              <w:rPr/>
            </w:pPr>
            <w:r>
              <w:rPr/>
              <w:t> </w:t>
            </w:r>
          </w:p>
        </w:tc>
        <w:tc>
          <w:tcPr>
            <w:tcW w:w="627" w:type="dxa"/>
            <w:tcBorders/>
            <w:shd w:fill="auto" w:val="clear"/>
            <w:vAlign w:val="center"/>
          </w:tcPr>
          <w:p>
            <w:pPr>
              <w:pStyle w:val="TableContents"/>
              <w:spacing w:before="0" w:after="0"/>
              <w:ind w:left="0" w:right="0" w:hanging="0"/>
              <w:jc w:val="left"/>
              <w:rPr/>
            </w:pPr>
            <w:r>
              <w:rPr/>
              <w:t> </w:t>
            </w:r>
          </w:p>
        </w:tc>
        <w:tc>
          <w:tcPr>
            <w:tcW w:w="201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2,082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49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Amortization</w:t>
            </w:r>
          </w:p>
        </w:tc>
        <w:tc>
          <w:tcPr>
            <w:tcW w:w="146" w:type="dxa"/>
            <w:tcBorders/>
            <w:shd w:fill="auto" w:val="clear"/>
            <w:vAlign w:val="center"/>
          </w:tcPr>
          <w:p>
            <w:pPr>
              <w:pStyle w:val="TableContents"/>
              <w:spacing w:before="0" w:after="0"/>
              <w:ind w:left="0" w:right="0" w:hanging="0"/>
              <w:jc w:val="left"/>
              <w:rPr/>
            </w:pPr>
            <w:r>
              <w:rPr/>
              <w:t> </w:t>
            </w:r>
          </w:p>
        </w:tc>
        <w:tc>
          <w:tcPr>
            <w:tcW w:w="6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(2,258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9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6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20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17,134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7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64,666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715,258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60" w:after="120"/>
        <w:jc w:val="left"/>
        <w:rPr/>
      </w:pPr>
      <w:r>
        <w:rPr/>
        <w:t> </w:t>
      </w:r>
    </w:p>
    <w:p>
      <w:pPr>
        <w:pStyle w:val="TextBody"/>
        <w:spacing w:before="0" w:after="0"/>
        <w:jc w:val="center"/>
        <w:rPr>
          <w:rFonts w:ascii="Calibri;sans-serif" w:hAnsi="Calibri;sans-serif"/>
          <w:b w:val="false"/>
          <w:sz w:val="20"/>
        </w:rPr>
      </w:pPr>
      <w:r>
        <w:rPr>
          <w:rFonts w:ascii="Calibri;sans-serif" w:hAnsi="Calibri;sans-serif"/>
          <w:b w:val="false"/>
          <w:sz w:val="20"/>
        </w:rPr>
        <w:t>11</w:t>
      </w:r>
    </w:p>
    <w:p>
      <w:pPr>
        <w:pStyle w:val="HorizontalLine"/>
        <w:rPr/>
      </w:pPr>
      <w:r>
        <w:rPr/>
      </w:r>
    </w:p>
    <w:p>
      <w:pPr>
        <w:pStyle w:val="TextBody"/>
        <w:spacing w:before="0" w:after="0"/>
        <w:jc w:val="center"/>
        <w:rPr>
          <w:rFonts w:ascii="Calibri;sans-serif" w:hAnsi="Calibri;sans-serif"/>
          <w:b/>
          <w:caps/>
          <w:sz w:val="20"/>
        </w:rPr>
      </w:pPr>
      <w:r>
        <w:rPr>
          <w:rFonts w:ascii="Calibri;sans-serif" w:hAnsi="Calibri;sans-serif"/>
          <w:b/>
          <w:caps/>
          <w:sz w:val="20"/>
        </w:rPr>
        <w:t>Vivid Seats INC.</w:t>
      </w:r>
    </w:p>
    <w:p>
      <w:pPr>
        <w:pStyle w:val="TextBody"/>
        <w:spacing w:before="0" w:after="0"/>
        <w:jc w:val="center"/>
        <w:rPr>
          <w:rFonts w:ascii="Calibri;sans-serif" w:hAnsi="Calibri;sans-serif"/>
          <w:b/>
          <w:caps/>
          <w:sz w:val="20"/>
        </w:rPr>
      </w:pPr>
      <w:r>
        <w:rPr>
          <w:rFonts w:ascii="Calibri;sans-serif" w:hAnsi="Calibri;sans-serif"/>
          <w:b/>
          <w:caps/>
          <w:sz w:val="20"/>
        </w:rPr>
        <w:t>NOTES to the CONDENSED Consolidated Financial Statements</w:t>
      </w:r>
    </w:p>
    <w:p>
      <w:pPr>
        <w:pStyle w:val="TextBody"/>
        <w:spacing w:before="0" w:after="0"/>
        <w:jc w:val="center"/>
        <w:rPr>
          <w:rFonts w:ascii="Calibri;sans-serif" w:hAnsi="Calibri;sans-serif"/>
          <w:b/>
          <w:caps/>
          <w:sz w:val="20"/>
        </w:rPr>
      </w:pPr>
      <w:r>
        <w:rPr>
          <w:rFonts w:ascii="Calibri;sans-serif" w:hAnsi="Calibri;sans-serif"/>
          <w:b/>
          <w:caps/>
          <w:sz w:val="20"/>
        </w:rPr>
        <w:t>(UNAUDITED)</w:t>
      </w:r>
    </w:p>
    <w:p>
      <w:pPr>
        <w:pStyle w:val="TextBody"/>
        <w:spacing w:before="0" w:after="0"/>
        <w:jc w:val="left"/>
        <w:rPr/>
      </w:pPr>
      <w:r>
        <w:rPr/>
        <w:t> </w:t>
      </w:r>
    </w:p>
    <w:p>
      <w:pPr>
        <w:pStyle w:val="TextBody"/>
        <w:spacing w:before="0" w:after="0"/>
        <w:jc w:val="left"/>
        <w:rPr/>
      </w:pPr>
      <w:r>
        <w:rPr/>
        <w:t> </w:t>
      </w:r>
    </w:p>
    <w:tbl>
      <w:tblPr>
        <w:tblW w:w="8055" w:type="dxa"/>
        <w:jc w:val="left"/>
        <w:tblInd w:w="0" w:type="dxa"/>
        <w:tblCellMar>
          <w:top w:w="28" w:type="dxa"/>
          <w:left w:w="28" w:type="dxa"/>
          <w:bottom w:w="28" w:type="dxa"/>
          <w:right w:w="28" w:type="dxa"/>
        </w:tblCellMar>
      </w:tblPr>
      <w:tblGrid>
        <w:gridCol w:w="2491"/>
        <w:gridCol w:w="146"/>
        <w:gridCol w:w="627"/>
        <w:gridCol w:w="2013"/>
        <w:gridCol w:w="166"/>
        <w:gridCol w:w="146"/>
        <w:gridCol w:w="235"/>
        <w:gridCol w:w="756"/>
        <w:gridCol w:w="146"/>
        <w:gridCol w:w="146"/>
        <w:gridCol w:w="211"/>
        <w:gridCol w:w="781"/>
        <w:gridCol w:w="191"/>
      </w:tblGrid>
      <w:tr>
        <w:trPr/>
        <w:tc>
          <w:tcPr>
            <w:tcW w:w="24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201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Definite-lived Intangible Assets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Trademark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Goodwill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9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Balance at January 1, 2022</w:t>
            </w:r>
          </w:p>
        </w:tc>
        <w:tc>
          <w:tcPr>
            <w:tcW w:w="146" w:type="dxa"/>
            <w:tcBorders/>
            <w:shd w:fill="auto" w:val="clear"/>
            <w:vAlign w:val="center"/>
          </w:tcPr>
          <w:p>
            <w:pPr>
              <w:pStyle w:val="TableContents"/>
              <w:spacing w:before="0" w:after="0"/>
              <w:ind w:left="0" w:right="0" w:hanging="0"/>
              <w:jc w:val="left"/>
              <w:rPr/>
            </w:pPr>
            <w:r>
              <w:rPr/>
              <w:t> </w:t>
            </w:r>
          </w:p>
        </w:tc>
        <w:tc>
          <w:tcPr>
            <w:tcW w:w="627"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201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13,845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5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64,666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718,204</w:t>
            </w:r>
          </w:p>
        </w:tc>
        <w:tc>
          <w:tcPr>
            <w:tcW w:w="191" w:type="dxa"/>
            <w:tcBorders/>
            <w:shd w:fill="auto" w:val="clear"/>
            <w:vAlign w:val="center"/>
          </w:tcPr>
          <w:p>
            <w:pPr>
              <w:pStyle w:val="TableContents"/>
              <w:spacing w:before="0" w:after="0"/>
              <w:ind w:left="0" w:right="0" w:hanging="0"/>
              <w:jc w:val="left"/>
              <w:rPr/>
            </w:pPr>
            <w:r>
              <w:rPr/>
              <w:t> </w:t>
            </w:r>
          </w:p>
        </w:tc>
      </w:tr>
      <w:tr>
        <w:trPr/>
        <w:tc>
          <w:tcPr>
            <w:tcW w:w="249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Capitalized development costs</w:t>
            </w:r>
          </w:p>
        </w:tc>
        <w:tc>
          <w:tcPr>
            <w:tcW w:w="146" w:type="dxa"/>
            <w:tcBorders/>
            <w:shd w:fill="auto" w:val="clear"/>
            <w:vAlign w:val="center"/>
          </w:tcPr>
          <w:p>
            <w:pPr>
              <w:pStyle w:val="TableContents"/>
              <w:spacing w:before="0" w:after="0"/>
              <w:ind w:left="0" w:right="0" w:hanging="0"/>
              <w:jc w:val="left"/>
              <w:rPr/>
            </w:pPr>
            <w:r>
              <w:rPr/>
              <w:t> </w:t>
            </w:r>
          </w:p>
        </w:tc>
        <w:tc>
          <w:tcPr>
            <w:tcW w:w="627" w:type="dxa"/>
            <w:tcBorders/>
            <w:shd w:fill="auto" w:val="clear"/>
            <w:vAlign w:val="center"/>
          </w:tcPr>
          <w:p>
            <w:pPr>
              <w:pStyle w:val="TableContents"/>
              <w:spacing w:before="0" w:after="0"/>
              <w:ind w:left="0" w:right="0" w:hanging="0"/>
              <w:jc w:val="left"/>
              <w:rPr/>
            </w:pPr>
            <w:r>
              <w:rPr/>
              <w:t> </w:t>
            </w:r>
          </w:p>
        </w:tc>
        <w:tc>
          <w:tcPr>
            <w:tcW w:w="201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2,748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7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49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Amortization</w:t>
            </w:r>
          </w:p>
        </w:tc>
        <w:tc>
          <w:tcPr>
            <w:tcW w:w="146" w:type="dxa"/>
            <w:tcBorders/>
            <w:shd w:fill="auto" w:val="clear"/>
            <w:vAlign w:val="center"/>
          </w:tcPr>
          <w:p>
            <w:pPr>
              <w:pStyle w:val="TableContents"/>
              <w:spacing w:before="0" w:after="0"/>
              <w:ind w:left="0" w:right="0" w:hanging="0"/>
              <w:jc w:val="left"/>
              <w:rPr/>
            </w:pPr>
            <w:r>
              <w:rPr/>
              <w:t> </w:t>
            </w:r>
          </w:p>
        </w:tc>
        <w:tc>
          <w:tcPr>
            <w:tcW w:w="6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(1,315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9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Balance at March 31, 2022</w:t>
            </w:r>
          </w:p>
        </w:tc>
        <w:tc>
          <w:tcPr>
            <w:tcW w:w="146" w:type="dxa"/>
            <w:tcBorders/>
            <w:shd w:fill="auto" w:val="clear"/>
            <w:vAlign w:val="center"/>
          </w:tcPr>
          <w:p>
            <w:pPr>
              <w:pStyle w:val="TableContents"/>
              <w:spacing w:before="0" w:after="0"/>
              <w:ind w:left="0" w:right="0" w:hanging="0"/>
              <w:jc w:val="left"/>
              <w:rPr/>
            </w:pPr>
            <w:r>
              <w:rPr/>
              <w:t> </w:t>
            </w:r>
          </w:p>
        </w:tc>
        <w:tc>
          <w:tcPr>
            <w:tcW w:w="6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20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15,278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7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64,666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718,204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60" w:after="120"/>
        <w:jc w:val="both"/>
        <w:rPr>
          <w:rFonts w:ascii="Times New Roman" w:hAnsi="Times New Roman"/>
          <w:sz w:val="20"/>
        </w:rPr>
      </w:pPr>
      <w:r>
        <w:rPr>
          <w:rFonts w:ascii="Calibri;sans-serif" w:hAnsi="Calibri;sans-serif"/>
          <w:b w:val="false"/>
          <w:sz w:val="20"/>
        </w:rPr>
        <w:t>We had recorded $563.2</w:t>
      </w:r>
      <w:r>
        <w:rPr>
          <w:rFonts w:ascii="Times New Roman" w:hAnsi="Times New Roman"/>
          <w:sz w:val="20"/>
        </w:rPr>
        <w:t xml:space="preserve"> </w:t>
      </w:r>
      <w:r>
        <w:rPr>
          <w:rFonts w:ascii="Calibri;sans-serif" w:hAnsi="Calibri;sans-serif"/>
          <w:b w:val="false"/>
          <w:sz w:val="20"/>
        </w:rPr>
        <w:t>million of cumulative impairment charges related to our intangible assets and goodwill as of March 31, 2023 and December 31, 2022.</w:t>
      </w:r>
    </w:p>
    <w:p>
      <w:pPr>
        <w:pStyle w:val="TextBody"/>
        <w:spacing w:before="160" w:after="120"/>
        <w:jc w:val="both"/>
        <w:rPr>
          <w:rFonts w:ascii="Times New Roman" w:hAnsi="Times New Roman"/>
          <w:sz w:val="20"/>
        </w:rPr>
      </w:pPr>
      <w:r>
        <w:rPr>
          <w:rFonts w:ascii="Calibri;sans-serif" w:hAnsi="Calibri;sans-serif"/>
          <w:b w:val="false"/>
          <w:sz w:val="20"/>
        </w:rPr>
        <w:t>Amortization expense on our definite-lived intangible assets was $2.3</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for the three months ended March 31, 2023, and $1.3</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for the three months ended March 31, 2022. Amortization expense is presented in Depreciation and amortization in the Condensed Consolidated Statements of Operations.</w:t>
      </w:r>
    </w:p>
    <w:p>
      <w:pPr>
        <w:pStyle w:val="TextBody"/>
        <w:spacing w:before="160" w:after="120"/>
        <w:jc w:val="left"/>
        <w:rPr>
          <w:rFonts w:ascii="Calibri;sans-serif" w:hAnsi="Calibri;sans-serif"/>
          <w:b/>
          <w:smallCaps/>
          <w:sz w:val="20"/>
        </w:rPr>
      </w:pPr>
      <w:r>
        <w:rPr>
          <w:rFonts w:ascii="Calibri;sans-serif" w:hAnsi="Calibri;sans-serif"/>
          <w:b/>
          <w:smallCaps/>
          <w:sz w:val="20"/>
        </w:rPr>
        <w:t>8. Accrued Expenses and Other Current Liabilities</w:t>
      </w:r>
    </w:p>
    <w:p>
      <w:pPr>
        <w:pStyle w:val="TextBody"/>
        <w:spacing w:before="160" w:after="120"/>
        <w:jc w:val="both"/>
        <w:rPr>
          <w:rFonts w:ascii="Calibri;sans-serif" w:hAnsi="Calibri;sans-serif"/>
          <w:b w:val="false"/>
          <w:sz w:val="20"/>
        </w:rPr>
      </w:pPr>
      <w:r>
        <w:rPr>
          <w:rFonts w:ascii="Calibri;sans-serif" w:hAnsi="Calibri;sans-serif"/>
          <w:b w:val="false"/>
          <w:sz w:val="20"/>
        </w:rPr>
        <w:t>Accrued expenses and other current liabilities consist of the following (in thousands):</w:t>
      </w:r>
    </w:p>
    <w:tbl>
      <w:tblPr>
        <w:tblW w:w="7172" w:type="dxa"/>
        <w:jc w:val="left"/>
        <w:tblInd w:w="0" w:type="dxa"/>
        <w:tblCellMar>
          <w:top w:w="28" w:type="dxa"/>
          <w:left w:w="28" w:type="dxa"/>
          <w:bottom w:w="28" w:type="dxa"/>
          <w:right w:w="28" w:type="dxa"/>
        </w:tblCellMar>
      </w:tblPr>
      <w:tblGrid>
        <w:gridCol w:w="4291"/>
        <w:gridCol w:w="146"/>
        <w:gridCol w:w="211"/>
        <w:gridCol w:w="781"/>
        <w:gridCol w:w="146"/>
        <w:gridCol w:w="146"/>
        <w:gridCol w:w="268"/>
        <w:gridCol w:w="992"/>
        <w:gridCol w:w="191"/>
      </w:tblGrid>
      <w:tr>
        <w:trPr/>
        <w:tc>
          <w:tcPr>
            <w:tcW w:w="42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2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December 31,</w:t>
            </w:r>
          </w:p>
        </w:tc>
        <w:tc>
          <w:tcPr>
            <w:tcW w:w="191" w:type="dxa"/>
            <w:tcBorders/>
            <w:shd w:fill="auto" w:val="clear"/>
            <w:vAlign w:val="center"/>
          </w:tcPr>
          <w:p>
            <w:pPr>
              <w:pStyle w:val="TableContents"/>
              <w:spacing w:before="0" w:after="0"/>
              <w:ind w:left="0" w:right="0" w:hanging="0"/>
              <w:jc w:val="center"/>
              <w:rPr/>
            </w:pPr>
            <w:r>
              <w:rPr/>
              <w:t> </w:t>
            </w:r>
          </w:p>
        </w:tc>
      </w:tr>
      <w:tr>
        <w:trPr/>
        <w:tc>
          <w:tcPr>
            <w:tcW w:w="42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9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Accrued marketing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30,912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92"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26,873</w:t>
            </w:r>
          </w:p>
        </w:tc>
        <w:tc>
          <w:tcPr>
            <w:tcW w:w="191" w:type="dxa"/>
            <w:tcBorders/>
            <w:shd w:fill="auto" w:val="cle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Accrued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542</w:t>
            </w:r>
          </w:p>
        </w:tc>
        <w:tc>
          <w:tcPr>
            <w:tcW w:w="191" w:type="dxa"/>
            <w:tcBorders/>
            <w:shd w:fill="auto" w:val="cle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Accrued customer credits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83,034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88,167</w:t>
            </w:r>
          </w:p>
        </w:tc>
        <w:tc>
          <w:tcPr>
            <w:tcW w:w="191" w:type="dxa"/>
            <w:tcBorders/>
            <w:shd w:fill="auto" w:val="cle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Accrued future customer compensation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33,597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30,181</w:t>
            </w:r>
          </w:p>
        </w:tc>
        <w:tc>
          <w:tcPr>
            <w:tcW w:w="191" w:type="dxa"/>
            <w:tcBorders/>
            <w:shd w:fill="auto" w:val="cle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Accrued contingencies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3,432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5,898</w:t>
            </w:r>
          </w:p>
        </w:tc>
        <w:tc>
          <w:tcPr>
            <w:tcW w:w="191" w:type="dxa"/>
            <w:tcBorders/>
            <w:shd w:fill="auto" w:val="cle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Accrued payroll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4,554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10,660</w:t>
            </w:r>
          </w:p>
        </w:tc>
        <w:tc>
          <w:tcPr>
            <w:tcW w:w="191" w:type="dxa"/>
            <w:tcBorders/>
            <w:shd w:fill="auto" w:val="cle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27,347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19,649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91"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Total accrued expenses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183,765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181,970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60" w:after="120"/>
        <w:jc w:val="both"/>
        <w:rPr>
          <w:rFonts w:ascii="Times New Roman" w:hAnsi="Times New Roman"/>
          <w:sz w:val="20"/>
        </w:rPr>
      </w:pPr>
      <w:r>
        <w:rPr>
          <w:rFonts w:ascii="Calibri;sans-serif" w:hAnsi="Calibri;sans-serif"/>
          <w:b w:val="false"/>
          <w:sz w:val="20"/>
        </w:rPr>
        <w:t>Accrued customer credits represent credits issued and outstanding for event cancellations or other service issues related to recorded sales transactions. The accrued amount is reduced by the amount of credits estimated to go unused, known as breakage, provided that the credits are not subject to escheatment. We estimate breakage based on historical usage trends and available data on comparable programs, and recognize breakage in proportion to the pattern of redemption for customer credits. Our breakage estimate could be impacted by future activity differing from our estimates, the effects of which could be material. During the three months ended March 31, 2023, $2.6</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of accrued customer credits were redeemed and we recognized $4.6</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of revenue from breakage. During the three months ended March 31, 2022, $9.8</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of accrued customer credits were redeemed and we recognized $0.6</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of revenue from breakage. Breakage amounts are net of reductions in associated accounts receivable balances.</w:t>
      </w:r>
    </w:p>
    <w:p>
      <w:pPr>
        <w:pStyle w:val="TextBody"/>
        <w:spacing w:before="160" w:after="120"/>
        <w:jc w:val="both"/>
        <w:rPr>
          <w:rFonts w:ascii="Times New Roman" w:hAnsi="Times New Roman"/>
          <w:sz w:val="20"/>
        </w:rPr>
      </w:pPr>
      <w:r>
        <w:rPr>
          <w:rFonts w:ascii="Calibri;sans-serif" w:hAnsi="Calibri;sans-serif"/>
          <w:b w:val="false"/>
          <w:sz w:val="20"/>
        </w:rPr>
        <w:t>Accrued future customer compensation represents an estimate of the amount of customer compensation due from cancellation charges in the future. These provisions are based on historic experience, revenue volumes for future events, and management’s estimate of the likelihood of future event cancellations and are recognized as a component of Revenues in the Condensed Consolidated Statements of Operations. The expected recoveries of these obligations are included in Prepaid expenses and other current assets in the Condensed Consolidated Balance Sheets. This estimated accrual could be impacted by future activity differing from our estimates, the effects of which could be material. During the three months ended March 31, 2023 and 2022, we recognized a net decrease in revenue of $0.8</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and a net increase in revenue of $1.1</w:t>
      </w:r>
      <w:r>
        <w:rPr>
          <w:rFonts w:ascii="Times New Roman" w:hAnsi="Times New Roman"/>
          <w:sz w:val="20"/>
        </w:rPr>
        <w:t xml:space="preserve"> </w:t>
      </w:r>
      <w:r>
        <w:rPr>
          <w:rFonts w:ascii="Calibri;sans-serif" w:hAnsi="Calibri;sans-serif"/>
          <w:b w:val="false"/>
          <w:sz w:val="20"/>
        </w:rPr>
        <w:t>million, respectively, from the reversals of previously recorded revenue and changes to accrued future customer compensation related to event cancellations where the performance obligations were satisfied in prior periods.</w:t>
      </w:r>
      <w:r>
        <w:rPr>
          <w:rFonts w:ascii="Times New Roman" w:hAnsi="Times New Roman"/>
          <w:sz w:val="20"/>
        </w:rPr>
        <w:t xml:space="preserve"> </w:t>
      </w:r>
    </w:p>
    <w:p>
      <w:pPr>
        <w:pStyle w:val="TextBody"/>
        <w:spacing w:before="0" w:after="0"/>
        <w:jc w:val="center"/>
        <w:rPr>
          <w:rFonts w:ascii="Calibri;sans-serif" w:hAnsi="Calibri;sans-serif"/>
          <w:b w:val="false"/>
          <w:sz w:val="20"/>
        </w:rPr>
      </w:pPr>
      <w:r>
        <w:rPr>
          <w:rFonts w:ascii="Calibri;sans-serif" w:hAnsi="Calibri;sans-serif"/>
          <w:b w:val="false"/>
          <w:sz w:val="20"/>
        </w:rPr>
        <w:t>12</w:t>
      </w:r>
    </w:p>
    <w:p>
      <w:pPr>
        <w:pStyle w:val="HorizontalLine"/>
        <w:rPr/>
      </w:pPr>
      <w:r>
        <w:rPr/>
      </w:r>
    </w:p>
    <w:p>
      <w:pPr>
        <w:pStyle w:val="TextBody"/>
        <w:spacing w:before="0" w:after="0"/>
        <w:jc w:val="center"/>
        <w:rPr>
          <w:rFonts w:ascii="Calibri;sans-serif" w:hAnsi="Calibri;sans-serif"/>
          <w:b/>
          <w:caps/>
          <w:sz w:val="20"/>
        </w:rPr>
      </w:pPr>
      <w:r>
        <w:rPr>
          <w:rFonts w:ascii="Calibri;sans-serif" w:hAnsi="Calibri;sans-serif"/>
          <w:b/>
          <w:caps/>
          <w:sz w:val="20"/>
        </w:rPr>
        <w:t>Vivid Seats INC.</w:t>
      </w:r>
    </w:p>
    <w:p>
      <w:pPr>
        <w:pStyle w:val="TextBody"/>
        <w:spacing w:before="0" w:after="0"/>
        <w:jc w:val="center"/>
        <w:rPr>
          <w:rFonts w:ascii="Calibri;sans-serif" w:hAnsi="Calibri;sans-serif"/>
          <w:b/>
          <w:caps/>
          <w:sz w:val="20"/>
        </w:rPr>
      </w:pPr>
      <w:r>
        <w:rPr>
          <w:rFonts w:ascii="Calibri;sans-serif" w:hAnsi="Calibri;sans-serif"/>
          <w:b/>
          <w:caps/>
          <w:sz w:val="20"/>
        </w:rPr>
        <w:t>NOTES to the CONDENSED Consolidated Financial Statements</w:t>
      </w:r>
    </w:p>
    <w:p>
      <w:pPr>
        <w:pStyle w:val="TextBody"/>
        <w:spacing w:before="0" w:after="0"/>
        <w:jc w:val="center"/>
        <w:rPr>
          <w:rFonts w:ascii="Calibri;sans-serif" w:hAnsi="Calibri;sans-serif"/>
          <w:b/>
          <w:caps/>
          <w:sz w:val="20"/>
        </w:rPr>
      </w:pPr>
      <w:r>
        <w:rPr>
          <w:rFonts w:ascii="Calibri;sans-serif" w:hAnsi="Calibri;sans-serif"/>
          <w:b/>
          <w:caps/>
          <w:sz w:val="20"/>
        </w:rPr>
        <w:t>(UNAUDITED)</w:t>
      </w:r>
    </w:p>
    <w:p>
      <w:pPr>
        <w:pStyle w:val="TextBody"/>
        <w:spacing w:before="0" w:after="0"/>
        <w:jc w:val="left"/>
        <w:rPr/>
      </w:pPr>
      <w:r>
        <w:rPr/>
        <w:t> </w:t>
      </w:r>
    </w:p>
    <w:p>
      <w:pPr>
        <w:pStyle w:val="TextBody"/>
        <w:spacing w:before="0" w:after="0"/>
        <w:jc w:val="left"/>
        <w:rPr/>
      </w:pPr>
      <w:r>
        <w:rPr/>
        <w:t> </w:t>
      </w:r>
    </w:p>
    <w:p>
      <w:pPr>
        <w:pStyle w:val="TextBody"/>
        <w:spacing w:before="160" w:after="120"/>
        <w:jc w:val="both"/>
        <w:rPr>
          <w:rFonts w:ascii="Times New Roman" w:hAnsi="Times New Roman"/>
          <w:sz w:val="20"/>
        </w:rPr>
      </w:pPr>
      <w:r>
        <w:rPr>
          <w:rFonts w:ascii="Calibri;sans-serif" w:hAnsi="Calibri;sans-serif"/>
          <w:b w:val="false"/>
          <w:sz w:val="20"/>
        </w:rPr>
        <w:t>Accrued contingencies primarily decreased as a result of a milestone payment to Betcha Sports, Inc. ("Betcha", which was rebranded as "Vivid Picks") of</w:t>
      </w:r>
      <w:r>
        <w:rPr>
          <w:rFonts w:ascii="Times New Roman" w:hAnsi="Times New Roman"/>
          <w:sz w:val="20"/>
        </w:rPr>
        <w:t xml:space="preserve"> </w:t>
      </w:r>
      <w:r>
        <w:rPr>
          <w:rFonts w:ascii="Calibri;sans-serif" w:hAnsi="Calibri;sans-serif"/>
          <w:b w:val="false"/>
          <w:sz w:val="20"/>
        </w:rPr>
        <w:t>$2.5</w:t>
      </w:r>
      <w:r>
        <w:rPr>
          <w:rFonts w:ascii="Times New Roman" w:hAnsi="Times New Roman"/>
          <w:sz w:val="20"/>
        </w:rPr>
        <w:t xml:space="preserve"> </w:t>
      </w:r>
      <w:r>
        <w:rPr>
          <w:rFonts w:ascii="Calibri;sans-serif" w:hAnsi="Calibri;sans-serif"/>
          <w:b w:val="false"/>
          <w:sz w:val="20"/>
        </w:rPr>
        <w:t>million in cash.</w:t>
      </w:r>
    </w:p>
    <w:p>
      <w:pPr>
        <w:pStyle w:val="TextBody"/>
        <w:spacing w:before="160" w:after="120"/>
        <w:jc w:val="both"/>
        <w:rPr>
          <w:rFonts w:ascii="Calibri;sans-serif" w:hAnsi="Calibri;sans-serif"/>
          <w:b w:val="false"/>
          <w:sz w:val="20"/>
        </w:rPr>
      </w:pPr>
      <w:r>
        <w:rPr>
          <w:rFonts w:ascii="Calibri;sans-serif" w:hAnsi="Calibri;sans-serif"/>
          <w:b w:val="false"/>
          <w:sz w:val="20"/>
        </w:rPr>
        <w:t>Other current liabilities primarily increased as a result of accrued, but not paid, tax distributions, and accrued interest during the three months ended March 31, 2023.</w:t>
      </w:r>
    </w:p>
    <w:p>
      <w:pPr>
        <w:pStyle w:val="TextBody"/>
        <w:spacing w:before="160" w:after="120"/>
        <w:jc w:val="left"/>
        <w:rPr>
          <w:rFonts w:ascii="Calibri;sans-serif" w:hAnsi="Calibri;sans-serif"/>
          <w:b/>
          <w:smallCaps/>
          <w:sz w:val="20"/>
        </w:rPr>
      </w:pPr>
      <w:r>
        <w:rPr>
          <w:rFonts w:ascii="Calibri;sans-serif" w:hAnsi="Calibri;sans-serif"/>
          <w:b/>
          <w:smallCaps/>
          <w:sz w:val="20"/>
        </w:rPr>
        <w:t>9. Debt</w:t>
      </w:r>
    </w:p>
    <w:p>
      <w:pPr>
        <w:pStyle w:val="TextBody"/>
        <w:spacing w:before="160" w:after="120"/>
        <w:jc w:val="both"/>
        <w:rPr>
          <w:rFonts w:ascii="Calibri;sans-serif" w:hAnsi="Calibri;sans-serif"/>
          <w:b w:val="false"/>
          <w:sz w:val="20"/>
        </w:rPr>
      </w:pPr>
      <w:r>
        <w:rPr>
          <w:rFonts w:ascii="Calibri;sans-serif" w:hAnsi="Calibri;sans-serif"/>
          <w:b w:val="false"/>
          <w:sz w:val="20"/>
        </w:rPr>
        <w:t>Our outstanding debt is comprised of the following (in thousands):</w:t>
      </w:r>
    </w:p>
    <w:tbl>
      <w:tblPr>
        <w:tblW w:w="6507" w:type="dxa"/>
        <w:jc w:val="left"/>
        <w:tblInd w:w="0" w:type="dxa"/>
        <w:tblCellMar>
          <w:top w:w="28" w:type="dxa"/>
          <w:left w:w="28" w:type="dxa"/>
          <w:bottom w:w="28" w:type="dxa"/>
          <w:right w:w="28" w:type="dxa"/>
        </w:tblCellMar>
      </w:tblPr>
      <w:tblGrid>
        <w:gridCol w:w="3586"/>
        <w:gridCol w:w="146"/>
        <w:gridCol w:w="211"/>
        <w:gridCol w:w="781"/>
        <w:gridCol w:w="166"/>
        <w:gridCol w:w="146"/>
        <w:gridCol w:w="268"/>
        <w:gridCol w:w="992"/>
        <w:gridCol w:w="211"/>
      </w:tblGrid>
      <w:tr>
        <w:trPr/>
        <w:tc>
          <w:tcPr>
            <w:tcW w:w="3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shd w:fill="auto" w:val="cle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December 31,</w:t>
            </w:r>
          </w:p>
        </w:tc>
        <w:tc>
          <w:tcPr>
            <w:tcW w:w="211" w:type="dxa"/>
            <w:tcBorders/>
            <w:shd w:fill="auto" w:val="clear"/>
            <w:vAlign w:val="center"/>
          </w:tcPr>
          <w:p>
            <w:pPr>
              <w:pStyle w:val="TableContents"/>
              <w:spacing w:before="0" w:after="0"/>
              <w:ind w:left="0" w:right="0" w:hanging="0"/>
              <w:jc w:val="center"/>
              <w:rPr/>
            </w:pPr>
            <w:r>
              <w:rPr/>
              <w:t> </w:t>
            </w:r>
          </w:p>
        </w:tc>
      </w:tr>
      <w:tr>
        <w:trPr/>
        <w:tc>
          <w:tcPr>
            <w:tcW w:w="3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8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February 2022 First Lien Loan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272,250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272,938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Total long-term debt, gross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272,250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272,938</w:t>
            </w:r>
          </w:p>
        </w:tc>
        <w:tc>
          <w:tcPr>
            <w:tcW w:w="21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Less: unamortized debt issuance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(5,116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(5,290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586"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Total long-term debt, net of issuance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267,134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267,648</w:t>
            </w:r>
          </w:p>
        </w:tc>
        <w:tc>
          <w:tcPr>
            <w:tcW w:w="21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Less: current portion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(2,750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(2,750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3586"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Total long-term debt,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264,384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264,898</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60" w:after="120"/>
        <w:jc w:val="both"/>
        <w:rPr>
          <w:rFonts w:ascii="Calibri;sans-serif" w:hAnsi="Calibri;sans-serif"/>
          <w:b w:val="false"/>
          <w:i/>
          <w:sz w:val="20"/>
        </w:rPr>
      </w:pPr>
      <w:r>
        <w:rPr>
          <w:rFonts w:ascii="Calibri;sans-serif" w:hAnsi="Calibri;sans-serif"/>
          <w:b w:val="false"/>
          <w:i/>
          <w:sz w:val="20"/>
        </w:rPr>
        <w:t>June 2017 Term Loans</w:t>
      </w:r>
    </w:p>
    <w:p>
      <w:pPr>
        <w:pStyle w:val="TextBody"/>
        <w:spacing w:before="160" w:after="120"/>
        <w:jc w:val="both"/>
        <w:rPr>
          <w:rFonts w:ascii="Times New Roman" w:hAnsi="Times New Roman"/>
          <w:sz w:val="20"/>
        </w:rPr>
      </w:pPr>
      <w:r>
        <w:rPr>
          <w:rFonts w:ascii="Calibri;sans-serif" w:hAnsi="Calibri;sans-serif"/>
          <w:b w:val="false"/>
          <w:sz w:val="20"/>
        </w:rPr>
        <w:t>On June 30, 2017, we entered into a $575.0</w:t>
      </w:r>
      <w:r>
        <w:rPr>
          <w:rFonts w:ascii="Times New Roman" w:hAnsi="Times New Roman"/>
          <w:sz w:val="20"/>
        </w:rPr>
        <w:t xml:space="preserve"> </w:t>
      </w:r>
      <w:r>
        <w:rPr>
          <w:rFonts w:ascii="Calibri;sans-serif" w:hAnsi="Calibri;sans-serif"/>
          <w:b w:val="false"/>
          <w:sz w:val="20"/>
        </w:rPr>
        <w:t>million first lien debt facility, comprised of a $50.0</w:t>
      </w:r>
      <w:r>
        <w:rPr>
          <w:rFonts w:ascii="Times New Roman" w:hAnsi="Times New Roman"/>
          <w:sz w:val="20"/>
        </w:rPr>
        <w:t xml:space="preserve"> </w:t>
      </w:r>
      <w:r>
        <w:rPr>
          <w:rFonts w:ascii="Calibri;sans-serif" w:hAnsi="Calibri;sans-serif"/>
          <w:b w:val="false"/>
          <w:sz w:val="20"/>
        </w:rPr>
        <w:t>million revolving facility and a $525.0</w:t>
      </w:r>
      <w:r>
        <w:rPr>
          <w:rFonts w:ascii="Times New Roman" w:hAnsi="Times New Roman"/>
          <w:sz w:val="20"/>
        </w:rPr>
        <w:t xml:space="preserve"> </w:t>
      </w:r>
      <w:r>
        <w:rPr>
          <w:rFonts w:ascii="Calibri;sans-serif" w:hAnsi="Calibri;sans-serif"/>
          <w:b w:val="false"/>
          <w:sz w:val="20"/>
        </w:rPr>
        <w:t>million term loan (the “June 2017 First Lien Loan”), and a second lien credit facility, comprised of a $185.0</w:t>
      </w:r>
      <w:r>
        <w:rPr>
          <w:rFonts w:ascii="Times New Roman" w:hAnsi="Times New Roman"/>
          <w:sz w:val="20"/>
        </w:rPr>
        <w:t xml:space="preserve"> </w:t>
      </w:r>
      <w:r>
        <w:rPr>
          <w:rFonts w:ascii="Calibri;sans-serif" w:hAnsi="Calibri;sans-serif"/>
          <w:b w:val="false"/>
          <w:sz w:val="20"/>
        </w:rPr>
        <w:t>million second lien term loan (the “June 2017 Second Lien Loan”). The June 2017 First Lien Loan was amended to upsize the committed amount by $115.0</w:t>
      </w:r>
      <w:r>
        <w:rPr>
          <w:rFonts w:ascii="Times New Roman" w:hAnsi="Times New Roman"/>
          <w:sz w:val="20"/>
        </w:rPr>
        <w:t xml:space="preserve"> </w:t>
      </w:r>
      <w:r>
        <w:rPr>
          <w:rFonts w:ascii="Calibri;sans-serif" w:hAnsi="Calibri;sans-serif"/>
          <w:b w:val="false"/>
          <w:sz w:val="20"/>
        </w:rPr>
        <w:t>million on July 2, 2018. On October 28, 2019, we paid off the June 2017 Second Lien Loan balance. The underlying revolving credit facility, part of the June 2017 First Lien Loan, was subsequently retired on May 22, 2020. On October 18, 2021, we made an early principal payment related to the June 2017 First Lien Loan of $148.2</w:t>
      </w:r>
      <w:r>
        <w:rPr>
          <w:rFonts w:ascii="Times New Roman" w:hAnsi="Times New Roman"/>
          <w:sz w:val="20"/>
        </w:rPr>
        <w:t xml:space="preserve"> </w:t>
      </w:r>
      <w:r>
        <w:rPr>
          <w:rFonts w:ascii="Calibri;sans-serif" w:hAnsi="Calibri;sans-serif"/>
          <w:b w:val="false"/>
          <w:sz w:val="20"/>
        </w:rPr>
        <w:t>million in connection with, and using the proceeds from, the merger transaction with Horizon Acquisition Corporation ("Merger Transaction") and private investment in public equity. On February 3, 2022, we repaid $190.7</w:t>
      </w:r>
      <w:r>
        <w:rPr>
          <w:rFonts w:ascii="Times New Roman" w:hAnsi="Times New Roman"/>
          <w:sz w:val="20"/>
        </w:rPr>
        <w:t xml:space="preserve"> </w:t>
      </w:r>
      <w:r>
        <w:rPr>
          <w:rFonts w:ascii="Calibri;sans-serif" w:hAnsi="Calibri;sans-serif"/>
          <w:b w:val="false"/>
          <w:sz w:val="20"/>
        </w:rPr>
        <w:t>million of the outstanding balance of the June 2017 First Lien Loan and refinanced the remaining balance with a new $275.0</w:t>
      </w:r>
      <w:r>
        <w:rPr>
          <w:rFonts w:ascii="Times New Roman" w:hAnsi="Times New Roman"/>
          <w:sz w:val="20"/>
        </w:rPr>
        <w:t xml:space="preserve"> </w:t>
      </w:r>
      <w:r>
        <w:rPr>
          <w:rFonts w:ascii="Calibri;sans-serif" w:hAnsi="Calibri;sans-serif"/>
          <w:b w:val="false"/>
          <w:sz w:val="20"/>
        </w:rPr>
        <w:t>million term loan.</w:t>
      </w:r>
      <w:r>
        <w:rPr>
          <w:rFonts w:ascii="Times New Roman" w:hAnsi="Times New Roman"/>
          <w:sz w:val="20"/>
        </w:rPr>
        <w:t xml:space="preserve"> </w:t>
      </w:r>
    </w:p>
    <w:p>
      <w:pPr>
        <w:pStyle w:val="TextBody"/>
        <w:spacing w:before="160" w:after="120"/>
        <w:jc w:val="both"/>
        <w:rPr>
          <w:rFonts w:ascii="Calibri;sans-serif" w:hAnsi="Calibri;sans-serif"/>
          <w:b w:val="false"/>
          <w:i/>
          <w:sz w:val="20"/>
        </w:rPr>
      </w:pPr>
      <w:r>
        <w:rPr>
          <w:rFonts w:ascii="Calibri;sans-serif" w:hAnsi="Calibri;sans-serif"/>
          <w:b w:val="false"/>
          <w:i/>
          <w:sz w:val="20"/>
        </w:rPr>
        <w:t>February 2022 First Lien Loan</w:t>
      </w:r>
    </w:p>
    <w:p>
      <w:pPr>
        <w:pStyle w:val="TextBody"/>
        <w:spacing w:before="160" w:after="120"/>
        <w:jc w:val="both"/>
        <w:rPr>
          <w:rFonts w:ascii="Times New Roman" w:hAnsi="Times New Roman"/>
          <w:sz w:val="20"/>
        </w:rPr>
      </w:pPr>
      <w:r>
        <w:rPr>
          <w:rFonts w:ascii="Calibri;sans-serif" w:hAnsi="Calibri;sans-serif"/>
          <w:b w:val="false"/>
          <w:sz w:val="20"/>
        </w:rPr>
        <w:t>On February 3, 2022, we entered into an amendment which refinanced the remaining June 2017 First Lien Loan with a new $275.0</w:t>
      </w:r>
      <w:r>
        <w:rPr>
          <w:rFonts w:ascii="Times New Roman" w:hAnsi="Times New Roman"/>
          <w:sz w:val="20"/>
        </w:rPr>
        <w:t xml:space="preserve"> </w:t>
      </w:r>
      <w:r>
        <w:rPr>
          <w:rFonts w:ascii="Calibri;sans-serif" w:hAnsi="Calibri;sans-serif"/>
          <w:b w:val="false"/>
          <w:sz w:val="20"/>
        </w:rPr>
        <w:t>million term loan (the "February 2022 First Lien Loan") with a maturity date of February 3, 2029. In connection with the February 2022 First Lien Loan, we also entered into a new revolving credit facility (the “Revolving Facility”), which allows for an aggregate principal amount of $100.0</w:t>
      </w:r>
      <w:r>
        <w:rPr>
          <w:rFonts w:ascii="Times New Roman" w:hAnsi="Times New Roman"/>
          <w:sz w:val="20"/>
        </w:rPr>
        <w:t xml:space="preserve"> </w:t>
      </w:r>
      <w:r>
        <w:rPr>
          <w:rFonts w:ascii="Calibri;sans-serif" w:hAnsi="Calibri;sans-serif"/>
          <w:b w:val="false"/>
          <w:sz w:val="20"/>
        </w:rPr>
        <w:t>million and has a maturity date of February 3, 2027.</w:t>
      </w:r>
      <w:r>
        <w:rPr>
          <w:rFonts w:ascii="Times New Roman" w:hAnsi="Times New Roman"/>
          <w:sz w:val="20"/>
        </w:rPr>
        <w:t xml:space="preserve"> </w:t>
      </w:r>
      <w:r>
        <w:rPr>
          <w:rFonts w:ascii="Calibri;sans-serif" w:hAnsi="Calibri;sans-serif"/>
          <w:b w:val="false"/>
          <w:sz w:val="20"/>
        </w:rPr>
        <w:t>At March 31, 2023, we had no</w:t>
      </w:r>
      <w:r>
        <w:rPr>
          <w:rFonts w:ascii="Times New Roman" w:hAnsi="Times New Roman"/>
          <w:sz w:val="20"/>
        </w:rPr>
        <w:t xml:space="preserve"> </w:t>
      </w:r>
      <w:r>
        <w:rPr>
          <w:rFonts w:ascii="Calibri;sans-serif" w:hAnsi="Calibri;sans-serif"/>
          <w:b w:val="false"/>
          <w:sz w:val="20"/>
        </w:rPr>
        <w:t>outstanding borrowings under our Revolving Facility.</w:t>
      </w:r>
    </w:p>
    <w:p>
      <w:pPr>
        <w:pStyle w:val="TextBody"/>
        <w:spacing w:before="160" w:after="120"/>
        <w:jc w:val="both"/>
        <w:rPr>
          <w:rFonts w:ascii="Times New Roman" w:hAnsi="Times New Roman"/>
          <w:sz w:val="20"/>
        </w:rPr>
      </w:pPr>
      <w:r>
        <w:rPr>
          <w:rFonts w:ascii="Calibri;sans-serif" w:hAnsi="Calibri;sans-serif"/>
          <w:b w:val="false"/>
          <w:sz w:val="20"/>
        </w:rPr>
        <w:t>The terms of the February 2022 First Lien Loan specified a secured overnight financing rate (“SOFR”) based floating interest rate and revised the springing financial covenant under the June 2017 First Lien Loan to require compliance with a first lien net leverage ratio when revolver borrowings exceed certain levels. All obligations under the February 2022 First Lien Loan are unconditionally guaranteed by Hoya Intermediate and substantially all of Hoya Intermediate’s existing and future direct and indirect wholly owned domestic subsidiaries. It requires quarterly amortization payments of $0.7</w:t>
      </w:r>
      <w:r>
        <w:rPr>
          <w:rFonts w:ascii="Times New Roman" w:hAnsi="Times New Roman"/>
          <w:sz w:val="20"/>
        </w:rPr>
        <w:t xml:space="preserve"> </w:t>
      </w:r>
      <w:r>
        <w:rPr>
          <w:rFonts w:ascii="Calibri;sans-serif" w:hAnsi="Calibri;sans-serif"/>
          <w:b w:val="false"/>
          <w:sz w:val="20"/>
        </w:rPr>
        <w:t>million. The Revolving Facility does not require periodic payments. All obligations under the February 2022 First Lien Loan are secured, subject to permitted liens and other exceptions, by first-priority perfected security interests in substantially all of our assets. The February 2022 First Lien Loan carries an interest rate of SOFR plus 3.25%. The SOFR rate for the February 2022 First Lien Loan is subject to a 0.5% floor. The effective</w:t>
      </w:r>
      <w:r>
        <w:rPr>
          <w:rFonts w:ascii="Times New Roman" w:hAnsi="Times New Roman"/>
          <w:sz w:val="20"/>
        </w:rPr>
        <w:t xml:space="preserve"> </w:t>
      </w:r>
    </w:p>
    <w:p>
      <w:pPr>
        <w:pStyle w:val="TextBody"/>
        <w:spacing w:before="0" w:after="0"/>
        <w:jc w:val="center"/>
        <w:rPr>
          <w:rFonts w:ascii="Calibri;sans-serif" w:hAnsi="Calibri;sans-serif"/>
          <w:b w:val="false"/>
          <w:sz w:val="20"/>
        </w:rPr>
      </w:pPr>
      <w:r>
        <w:rPr>
          <w:rFonts w:ascii="Calibri;sans-serif" w:hAnsi="Calibri;sans-serif"/>
          <w:b w:val="false"/>
          <w:sz w:val="20"/>
        </w:rPr>
        <w:t>13</w:t>
      </w:r>
    </w:p>
    <w:p>
      <w:pPr>
        <w:pStyle w:val="HorizontalLine"/>
        <w:rPr/>
      </w:pPr>
      <w:r>
        <w:rPr/>
      </w:r>
    </w:p>
    <w:p>
      <w:pPr>
        <w:pStyle w:val="TextBody"/>
        <w:spacing w:before="0" w:after="0"/>
        <w:jc w:val="center"/>
        <w:rPr>
          <w:rFonts w:ascii="Calibri;sans-serif" w:hAnsi="Calibri;sans-serif"/>
          <w:b/>
          <w:caps/>
          <w:sz w:val="20"/>
        </w:rPr>
      </w:pPr>
      <w:r>
        <w:rPr>
          <w:rFonts w:ascii="Calibri;sans-serif" w:hAnsi="Calibri;sans-serif"/>
          <w:b/>
          <w:caps/>
          <w:sz w:val="20"/>
        </w:rPr>
        <w:t>Vivid Seats INC.</w:t>
      </w:r>
    </w:p>
    <w:p>
      <w:pPr>
        <w:pStyle w:val="TextBody"/>
        <w:spacing w:before="0" w:after="0"/>
        <w:jc w:val="center"/>
        <w:rPr>
          <w:rFonts w:ascii="Calibri;sans-serif" w:hAnsi="Calibri;sans-serif"/>
          <w:b/>
          <w:caps/>
          <w:sz w:val="20"/>
        </w:rPr>
      </w:pPr>
      <w:r>
        <w:rPr>
          <w:rFonts w:ascii="Calibri;sans-serif" w:hAnsi="Calibri;sans-serif"/>
          <w:b/>
          <w:caps/>
          <w:sz w:val="20"/>
        </w:rPr>
        <w:t>NOTES to the CONDENSED Consolidated Financial Statements</w:t>
      </w:r>
    </w:p>
    <w:p>
      <w:pPr>
        <w:pStyle w:val="TextBody"/>
        <w:spacing w:before="0" w:after="0"/>
        <w:jc w:val="center"/>
        <w:rPr>
          <w:rFonts w:ascii="Calibri;sans-serif" w:hAnsi="Calibri;sans-serif"/>
          <w:b/>
          <w:caps/>
          <w:sz w:val="20"/>
        </w:rPr>
      </w:pPr>
      <w:r>
        <w:rPr>
          <w:rFonts w:ascii="Calibri;sans-serif" w:hAnsi="Calibri;sans-serif"/>
          <w:b/>
          <w:caps/>
          <w:sz w:val="20"/>
        </w:rPr>
        <w:t>(UNAUDITED)</w:t>
      </w:r>
    </w:p>
    <w:p>
      <w:pPr>
        <w:pStyle w:val="TextBody"/>
        <w:spacing w:before="0" w:after="0"/>
        <w:jc w:val="left"/>
        <w:rPr/>
      </w:pPr>
      <w:r>
        <w:rPr/>
        <w:t> </w:t>
      </w:r>
    </w:p>
    <w:p>
      <w:pPr>
        <w:pStyle w:val="TextBody"/>
        <w:spacing w:before="0" w:after="0"/>
        <w:jc w:val="left"/>
        <w:rPr/>
      </w:pPr>
      <w:r>
        <w:rPr/>
        <w:t> </w:t>
      </w:r>
    </w:p>
    <w:p>
      <w:pPr>
        <w:pStyle w:val="TextBody"/>
        <w:spacing w:before="160" w:after="120"/>
        <w:jc w:val="both"/>
        <w:rPr>
          <w:rFonts w:ascii="Times New Roman" w:hAnsi="Times New Roman"/>
          <w:sz w:val="20"/>
        </w:rPr>
      </w:pPr>
      <w:r>
        <w:rPr>
          <w:rFonts w:ascii="Calibri;sans-serif" w:hAnsi="Calibri;sans-serif"/>
          <w:b w:val="false"/>
          <w:sz w:val="20"/>
        </w:rPr>
        <w:t>interest rate on the February 2022 First Lien Loan was 8.34%</w:t>
      </w:r>
      <w:r>
        <w:rPr>
          <w:rFonts w:ascii="Times New Roman" w:hAnsi="Times New Roman"/>
          <w:sz w:val="20"/>
        </w:rPr>
        <w:t xml:space="preserve"> </w:t>
      </w:r>
      <w:r>
        <w:rPr>
          <w:rFonts w:ascii="Calibri;sans-serif" w:hAnsi="Calibri;sans-serif"/>
          <w:b w:val="false"/>
          <w:sz w:val="20"/>
        </w:rPr>
        <w:t>and 7.98%</w:t>
      </w:r>
      <w:r>
        <w:rPr>
          <w:rFonts w:ascii="Times New Roman" w:hAnsi="Times New Roman"/>
          <w:sz w:val="20"/>
        </w:rPr>
        <w:t xml:space="preserve"> </w:t>
      </w:r>
      <w:r>
        <w:rPr>
          <w:rFonts w:ascii="Calibri;sans-serif" w:hAnsi="Calibri;sans-serif"/>
          <w:b w:val="false"/>
          <w:sz w:val="20"/>
        </w:rPr>
        <w:t>per annum at March 31, 2023 and December 31, 2022, respectively.</w:t>
      </w:r>
    </w:p>
    <w:p>
      <w:pPr>
        <w:pStyle w:val="TextBody"/>
        <w:spacing w:before="160" w:after="120"/>
        <w:jc w:val="both"/>
        <w:rPr>
          <w:rFonts w:ascii="Times New Roman" w:hAnsi="Times New Roman"/>
          <w:sz w:val="20"/>
        </w:rPr>
      </w:pPr>
      <w:r>
        <w:rPr>
          <w:rFonts w:ascii="Calibri;sans-serif" w:hAnsi="Calibri;sans-serif"/>
          <w:b w:val="false"/>
          <w:sz w:val="20"/>
        </w:rPr>
        <w:t>Our February 2022 First Lien Loan is held by third-party financial institutions and is carried at the outstanding principal balance, less debt issuance costs and any unamortized discount or premium. The fair value was estimated using quoted prices that are directly observable in the marketplace. Therefore, the fair value is estimated on a Level 2 basis. At March 31, 2023 and December 31, 2022, respectively, the fair value of our February 2022 First Lien Loan approximated the carrying value.</w:t>
      </w:r>
      <w:r>
        <w:rPr>
          <w:rFonts w:ascii="Times New Roman" w:hAnsi="Times New Roman"/>
          <w:sz w:val="20"/>
        </w:rPr>
        <w:t xml:space="preserve"> </w:t>
      </w:r>
    </w:p>
    <w:p>
      <w:pPr>
        <w:pStyle w:val="TextBody"/>
        <w:spacing w:before="160" w:after="120"/>
        <w:jc w:val="both"/>
        <w:rPr>
          <w:rFonts w:ascii="Calibri;sans-serif" w:hAnsi="Calibri;sans-serif"/>
          <w:b w:val="false"/>
          <w:sz w:val="20"/>
        </w:rPr>
      </w:pPr>
      <w:r>
        <w:rPr>
          <w:rFonts w:ascii="Calibri;sans-serif" w:hAnsi="Calibri;sans-serif"/>
          <w:b w:val="false"/>
          <w:sz w:val="20"/>
        </w:rPr>
        <w:t>We are subject to certain reporting and compliance-related covenants to remain in good standing under the February 2022 First Lien Loan. These covenants, among other things, limit our ability to incur additional indebtedness, and in certain circumstances, create restrictions on the ability to enter into transactions with affiliates; create liens; merge or consolidate; and make certain payments. Non-compliance with these covenants and failure to remedy could result in the acceleration of the loans or foreclosure on the collateral. As of March 31, 2023, we were in compliance with all of our debt covenants related to the February 2022 First Lien Loan.</w:t>
      </w:r>
    </w:p>
    <w:p>
      <w:pPr>
        <w:pStyle w:val="TextBody"/>
        <w:spacing w:before="0" w:after="0"/>
        <w:jc w:val="both"/>
        <w:rPr>
          <w:rFonts w:ascii="Times New Roman" w:hAnsi="Times New Roman"/>
          <w:sz w:val="20"/>
        </w:rPr>
      </w:pPr>
      <w:r>
        <w:rPr>
          <w:rFonts w:ascii="Calibri;sans-serif" w:hAnsi="Calibri;sans-serif"/>
          <w:b w:val="false"/>
          <w:sz w:val="20"/>
        </w:rPr>
        <w:t>Due to the refinancing of the June 2017 First Lien Loan with the February 2022 First Lien Loan, we incurred a loss of $4.3</w:t>
      </w:r>
      <w:r>
        <w:rPr>
          <w:rFonts w:ascii="Times New Roman" w:hAnsi="Times New Roman"/>
          <w:sz w:val="20"/>
        </w:rPr>
        <w:t xml:space="preserve"> </w:t>
      </w:r>
      <w:r>
        <w:rPr>
          <w:rFonts w:ascii="Calibri;sans-serif" w:hAnsi="Calibri;sans-serif"/>
          <w:b w:val="false"/>
          <w:sz w:val="20"/>
        </w:rPr>
        <w:t>million for the three months ended March 31, 2022, which is presented in Loss on extinguishment of debt in the Condensed Consolidated Statements of Operations.</w:t>
      </w:r>
    </w:p>
    <w:p>
      <w:pPr>
        <w:pStyle w:val="TextBody"/>
        <w:spacing w:before="160" w:after="120"/>
        <w:jc w:val="left"/>
        <w:rPr>
          <w:rFonts w:ascii="Calibri;sans-serif" w:hAnsi="Calibri;sans-serif"/>
          <w:b/>
          <w:smallCaps/>
          <w:sz w:val="20"/>
        </w:rPr>
      </w:pPr>
      <w:r>
        <w:rPr>
          <w:rFonts w:ascii="Calibri;sans-serif" w:hAnsi="Calibri;sans-serif"/>
          <w:b/>
          <w:smallCaps/>
          <w:sz w:val="20"/>
        </w:rPr>
        <w:t>10. Financial Instruments</w:t>
      </w:r>
    </w:p>
    <w:p>
      <w:pPr>
        <w:pStyle w:val="TextBody"/>
        <w:spacing w:before="160" w:after="120"/>
        <w:jc w:val="left"/>
        <w:rPr>
          <w:rFonts w:ascii="Calibri;sans-serif" w:hAnsi="Calibri;sans-serif"/>
          <w:b w:val="false"/>
          <w:sz w:val="20"/>
        </w:rPr>
      </w:pPr>
      <w:r>
        <w:rPr>
          <w:rFonts w:ascii="Calibri;sans-serif" w:hAnsi="Calibri;sans-serif"/>
          <w:b w:val="false"/>
          <w:sz w:val="20"/>
        </w:rPr>
        <w:t>We issued the following warrants during the year ended December 31, 2021 in connection with the Merger Transaction:</w:t>
      </w:r>
    </w:p>
    <w:p>
      <w:pPr>
        <w:pStyle w:val="TextBody"/>
        <w:spacing w:before="160" w:after="120"/>
        <w:jc w:val="left"/>
        <w:rPr>
          <w:rFonts w:ascii="Calibri;sans-serif" w:hAnsi="Calibri;sans-serif"/>
          <w:b w:val="false"/>
          <w:i/>
          <w:sz w:val="20"/>
        </w:rPr>
      </w:pPr>
      <w:r>
        <w:rPr>
          <w:rFonts w:ascii="Calibri;sans-serif" w:hAnsi="Calibri;sans-serif"/>
          <w:b w:val="false"/>
          <w:i/>
          <w:sz w:val="20"/>
        </w:rPr>
        <w:t>Public Warrants</w:t>
      </w:r>
    </w:p>
    <w:p>
      <w:pPr>
        <w:pStyle w:val="TextBody"/>
        <w:spacing w:before="160" w:after="120"/>
        <w:jc w:val="both"/>
        <w:rPr>
          <w:rFonts w:ascii="Times New Roman" w:hAnsi="Times New Roman"/>
          <w:sz w:val="20"/>
        </w:rPr>
      </w:pPr>
      <w:r>
        <w:rPr>
          <w:rFonts w:ascii="Calibri;sans-serif" w:hAnsi="Calibri;sans-serif"/>
          <w:b w:val="false"/>
          <w:sz w:val="20"/>
        </w:rPr>
        <w:t>We issued warrants to purchase 18,132,776</w:t>
      </w:r>
      <w:r>
        <w:rPr>
          <w:rFonts w:ascii="Times New Roman" w:hAnsi="Times New Roman"/>
          <w:sz w:val="20"/>
        </w:rPr>
        <w:t xml:space="preserve"> </w:t>
      </w:r>
      <w:r>
        <w:rPr>
          <w:rFonts w:ascii="Calibri;sans-serif" w:hAnsi="Calibri;sans-serif"/>
          <w:b w:val="false"/>
          <w:sz w:val="20"/>
        </w:rPr>
        <w:t>shares of Class A common stock at an exercise price of $11.50</w:t>
      </w:r>
      <w:r>
        <w:rPr>
          <w:rFonts w:ascii="Times New Roman" w:hAnsi="Times New Roman"/>
          <w:sz w:val="20"/>
        </w:rPr>
        <w:t xml:space="preserve"> </w:t>
      </w:r>
      <w:r>
        <w:rPr>
          <w:rFonts w:ascii="Calibri;sans-serif" w:hAnsi="Calibri;sans-serif"/>
          <w:b w:val="false"/>
          <w:sz w:val="20"/>
        </w:rPr>
        <w:t>per share ("Public Warrants") to former warrant holders of Horizon Acquisition, of which 5,166,666</w:t>
      </w:r>
      <w:r>
        <w:rPr>
          <w:rFonts w:ascii="Times New Roman" w:hAnsi="Times New Roman"/>
          <w:sz w:val="20"/>
        </w:rPr>
        <w:t xml:space="preserve"> </w:t>
      </w:r>
      <w:r>
        <w:rPr>
          <w:rFonts w:ascii="Calibri;sans-serif" w:hAnsi="Calibri;sans-serif"/>
          <w:b w:val="false"/>
          <w:sz w:val="20"/>
        </w:rPr>
        <w:t>shares were issued to Horizon Sponsor. These warrants are traded on the Nasdaq Stock Market under the symbol “SEATW.” As of March 31, 2023, we had 6,766,853</w:t>
      </w:r>
      <w:r>
        <w:rPr>
          <w:rFonts w:ascii="Times New Roman" w:hAnsi="Times New Roman"/>
          <w:sz w:val="20"/>
        </w:rPr>
        <w:t xml:space="preserve"> </w:t>
      </w:r>
      <w:r>
        <w:rPr>
          <w:rFonts w:ascii="Calibri;sans-serif" w:hAnsi="Calibri;sans-serif"/>
          <w:b w:val="false"/>
          <w:sz w:val="20"/>
        </w:rPr>
        <w:t>outstanding Public</w:t>
      </w:r>
      <w:r>
        <w:rPr>
          <w:rFonts w:ascii="Times New Roman" w:hAnsi="Times New Roman"/>
          <w:sz w:val="20"/>
        </w:rPr>
        <w:t xml:space="preserve"> </w:t>
      </w:r>
      <w:r>
        <w:rPr>
          <w:rFonts w:ascii="Calibri;sans-serif" w:hAnsi="Calibri;sans-serif"/>
          <w:b w:val="false"/>
          <w:sz w:val="20"/>
        </w:rPr>
        <w:t>Warrants.</w:t>
      </w:r>
    </w:p>
    <w:p>
      <w:pPr>
        <w:pStyle w:val="TextBody"/>
        <w:spacing w:before="160" w:after="120"/>
        <w:jc w:val="left"/>
        <w:rPr>
          <w:rFonts w:ascii="Calibri;sans-serif" w:hAnsi="Calibri;sans-serif"/>
          <w:b w:val="false"/>
          <w:i/>
          <w:sz w:val="20"/>
        </w:rPr>
      </w:pPr>
      <w:r>
        <w:rPr>
          <w:rFonts w:ascii="Calibri;sans-serif" w:hAnsi="Calibri;sans-serif"/>
          <w:b w:val="false"/>
          <w:i/>
          <w:sz w:val="20"/>
        </w:rPr>
        <w:t>Private Warrants</w:t>
      </w:r>
    </w:p>
    <w:p>
      <w:pPr>
        <w:pStyle w:val="TextBody"/>
        <w:spacing w:before="160" w:after="120"/>
        <w:jc w:val="both"/>
        <w:rPr>
          <w:rFonts w:ascii="Times New Roman" w:hAnsi="Times New Roman"/>
          <w:sz w:val="20"/>
        </w:rPr>
      </w:pPr>
      <w:r>
        <w:rPr>
          <w:rFonts w:ascii="Calibri;sans-serif" w:hAnsi="Calibri;sans-serif"/>
          <w:b w:val="false"/>
          <w:sz w:val="20"/>
        </w:rPr>
        <w:t>We issued warrants to purchase 6,519,791</w:t>
      </w:r>
      <w:r>
        <w:rPr>
          <w:rFonts w:ascii="Times New Roman" w:hAnsi="Times New Roman"/>
          <w:sz w:val="20"/>
        </w:rPr>
        <w:t xml:space="preserve"> </w:t>
      </w:r>
      <w:r>
        <w:rPr>
          <w:rFonts w:ascii="Calibri;sans-serif" w:hAnsi="Calibri;sans-serif"/>
          <w:b w:val="false"/>
          <w:sz w:val="20"/>
        </w:rPr>
        <w:t>shares of our Class A common stock at an exercise price of $11.50</w:t>
      </w:r>
      <w:r>
        <w:rPr>
          <w:rFonts w:ascii="Times New Roman" w:hAnsi="Times New Roman"/>
          <w:sz w:val="20"/>
        </w:rPr>
        <w:t xml:space="preserve"> </w:t>
      </w:r>
      <w:r>
        <w:rPr>
          <w:rFonts w:ascii="Calibri;sans-serif" w:hAnsi="Calibri;sans-serif"/>
          <w:b w:val="false"/>
          <w:sz w:val="20"/>
        </w:rPr>
        <w:t>per share to Horizon Sponsor. The Private Warrants have similar terms to the Public Warrants, except that the Private Warrants are not redeemable by us. As of March</w:t>
      </w:r>
      <w:r>
        <w:rPr>
          <w:rFonts w:ascii="Times New Roman" w:hAnsi="Times New Roman"/>
          <w:sz w:val="20"/>
        </w:rPr>
        <w:t xml:space="preserve"> </w:t>
      </w:r>
      <w:r>
        <w:rPr>
          <w:rFonts w:ascii="Calibri;sans-serif" w:hAnsi="Calibri;sans-serif"/>
          <w:b w:val="false"/>
          <w:sz w:val="20"/>
        </w:rPr>
        <w:t>31, 2023, we had 6,519,791</w:t>
      </w:r>
      <w:r>
        <w:rPr>
          <w:rFonts w:ascii="Times New Roman" w:hAnsi="Times New Roman"/>
          <w:sz w:val="20"/>
        </w:rPr>
        <w:t xml:space="preserve"> </w:t>
      </w:r>
      <w:r>
        <w:rPr>
          <w:rFonts w:ascii="Calibri;sans-serif" w:hAnsi="Calibri;sans-serif"/>
          <w:b w:val="false"/>
          <w:sz w:val="20"/>
        </w:rPr>
        <w:t>outstanding Private Warrants.</w:t>
      </w:r>
    </w:p>
    <w:p>
      <w:pPr>
        <w:pStyle w:val="TextBody"/>
        <w:spacing w:before="160" w:after="120"/>
        <w:jc w:val="both"/>
        <w:rPr>
          <w:rFonts w:ascii="Calibri;sans-serif" w:hAnsi="Calibri;sans-serif"/>
          <w:b w:val="false"/>
          <w:i/>
          <w:sz w:val="20"/>
        </w:rPr>
      </w:pPr>
      <w:r>
        <w:rPr>
          <w:rFonts w:ascii="Calibri;sans-serif" w:hAnsi="Calibri;sans-serif"/>
          <w:b w:val="false"/>
          <w:i/>
          <w:sz w:val="20"/>
        </w:rPr>
        <w:t>Exercise Warrants</w:t>
      </w:r>
    </w:p>
    <w:p>
      <w:pPr>
        <w:pStyle w:val="TextBody"/>
        <w:spacing w:before="160" w:after="120"/>
        <w:jc w:val="both"/>
        <w:rPr>
          <w:rFonts w:ascii="Times New Roman" w:hAnsi="Times New Roman"/>
          <w:sz w:val="20"/>
        </w:rPr>
      </w:pPr>
      <w:r>
        <w:rPr>
          <w:rFonts w:ascii="Calibri;sans-serif" w:hAnsi="Calibri;sans-serif"/>
          <w:b w:val="false"/>
          <w:sz w:val="20"/>
        </w:rPr>
        <w:t>We issued warrants to purchase 17,000,000</w:t>
      </w:r>
      <w:r>
        <w:rPr>
          <w:rFonts w:ascii="Times New Roman" w:hAnsi="Times New Roman"/>
          <w:sz w:val="20"/>
        </w:rPr>
        <w:t xml:space="preserve"> </w:t>
      </w:r>
      <w:r>
        <w:rPr>
          <w:rFonts w:ascii="Calibri;sans-serif" w:hAnsi="Calibri;sans-serif"/>
          <w:b w:val="false"/>
          <w:sz w:val="20"/>
        </w:rPr>
        <w:t>shares of Class A common stock at an exercise price of $10.00</w:t>
      </w:r>
      <w:r>
        <w:rPr>
          <w:rFonts w:ascii="Times New Roman" w:hAnsi="Times New Roman"/>
          <w:sz w:val="20"/>
        </w:rPr>
        <w:t xml:space="preserve"> </w:t>
      </w:r>
      <w:r>
        <w:rPr>
          <w:rFonts w:ascii="Calibri;sans-serif" w:hAnsi="Calibri;sans-serif"/>
          <w:b w:val="false"/>
          <w:sz w:val="20"/>
        </w:rPr>
        <w:t>per share (“$10</w:t>
      </w:r>
      <w:r>
        <w:rPr>
          <w:rFonts w:ascii="Times New Roman" w:hAnsi="Times New Roman"/>
          <w:sz w:val="20"/>
        </w:rPr>
        <w:t xml:space="preserve"> </w:t>
      </w:r>
      <w:r>
        <w:rPr>
          <w:rFonts w:ascii="Calibri;sans-serif" w:hAnsi="Calibri;sans-serif"/>
          <w:b w:val="false"/>
          <w:sz w:val="20"/>
        </w:rPr>
        <w:t>Exercise Warrants”) and warrants to purchase 17,000,000</w:t>
      </w:r>
      <w:r>
        <w:rPr>
          <w:rFonts w:ascii="Times New Roman" w:hAnsi="Times New Roman"/>
          <w:sz w:val="20"/>
        </w:rPr>
        <w:t xml:space="preserve"> </w:t>
      </w:r>
      <w:r>
        <w:rPr>
          <w:rFonts w:ascii="Calibri;sans-serif" w:hAnsi="Calibri;sans-serif"/>
          <w:b w:val="false"/>
          <w:sz w:val="20"/>
        </w:rPr>
        <w:t>of Class A common stock at an exercise of $15.00</w:t>
      </w:r>
      <w:r>
        <w:rPr>
          <w:rFonts w:ascii="Times New Roman" w:hAnsi="Times New Roman"/>
          <w:sz w:val="20"/>
        </w:rPr>
        <w:t xml:space="preserve"> </w:t>
      </w:r>
      <w:r>
        <w:rPr>
          <w:rFonts w:ascii="Calibri;sans-serif" w:hAnsi="Calibri;sans-serif"/>
          <w:b w:val="false"/>
          <w:sz w:val="20"/>
        </w:rPr>
        <w:t>per share (“$15</w:t>
      </w:r>
      <w:r>
        <w:rPr>
          <w:rFonts w:ascii="Times New Roman" w:hAnsi="Times New Roman"/>
          <w:sz w:val="20"/>
        </w:rPr>
        <w:t xml:space="preserve"> </w:t>
      </w:r>
      <w:r>
        <w:rPr>
          <w:rFonts w:ascii="Calibri;sans-serif" w:hAnsi="Calibri;sans-serif"/>
          <w:b w:val="false"/>
          <w:sz w:val="20"/>
        </w:rPr>
        <w:t>Exercise Warrants”; together with the $10</w:t>
      </w:r>
      <w:r>
        <w:rPr>
          <w:rFonts w:ascii="Times New Roman" w:hAnsi="Times New Roman"/>
          <w:sz w:val="20"/>
        </w:rPr>
        <w:t xml:space="preserve"> </w:t>
      </w:r>
      <w:r>
        <w:rPr>
          <w:rFonts w:ascii="Calibri;sans-serif" w:hAnsi="Calibri;sans-serif"/>
          <w:b w:val="false"/>
          <w:sz w:val="20"/>
        </w:rPr>
        <w:t>Exercise Warrants, “Exercise Warrants”). The Exercise Warrants have similar terms to the Public Warrants, except that the Exercise Warrants have different exercise prices, an initial term of 10 years, are not redeemable by us, and are fully transferable. As of March 31, 2023, we had 17,000,000</w:t>
      </w:r>
      <w:r>
        <w:rPr>
          <w:rFonts w:ascii="Times New Roman" w:hAnsi="Times New Roman"/>
          <w:sz w:val="20"/>
        </w:rPr>
        <w:t xml:space="preserve"> </w:t>
      </w:r>
      <w:r>
        <w:rPr>
          <w:rFonts w:ascii="Calibri;sans-serif" w:hAnsi="Calibri;sans-serif"/>
          <w:b w:val="false"/>
          <w:sz w:val="20"/>
        </w:rPr>
        <w:t>$10</w:t>
      </w:r>
      <w:r>
        <w:rPr>
          <w:rFonts w:ascii="Times New Roman" w:hAnsi="Times New Roman"/>
          <w:sz w:val="20"/>
        </w:rPr>
        <w:t xml:space="preserve"> </w:t>
      </w:r>
      <w:r>
        <w:rPr>
          <w:rFonts w:ascii="Calibri;sans-serif" w:hAnsi="Calibri;sans-serif"/>
          <w:b w:val="false"/>
          <w:sz w:val="20"/>
        </w:rPr>
        <w:t>Exercise Warrants outstanding and 17,000,000</w:t>
      </w:r>
      <w:r>
        <w:rPr>
          <w:rFonts w:ascii="Times New Roman" w:hAnsi="Times New Roman"/>
          <w:sz w:val="20"/>
        </w:rPr>
        <w:t xml:space="preserve"> </w:t>
      </w:r>
      <w:r>
        <w:rPr>
          <w:rFonts w:ascii="Calibri;sans-serif" w:hAnsi="Calibri;sans-serif"/>
          <w:b w:val="false"/>
          <w:sz w:val="20"/>
        </w:rPr>
        <w:t>$15</w:t>
      </w:r>
      <w:r>
        <w:rPr>
          <w:rFonts w:ascii="Times New Roman" w:hAnsi="Times New Roman"/>
          <w:sz w:val="20"/>
        </w:rPr>
        <w:t xml:space="preserve"> </w:t>
      </w:r>
      <w:r>
        <w:rPr>
          <w:rFonts w:ascii="Calibri;sans-serif" w:hAnsi="Calibri;sans-serif"/>
          <w:b w:val="false"/>
          <w:sz w:val="20"/>
        </w:rPr>
        <w:t>Exercise Warrants outstanding.</w:t>
      </w:r>
    </w:p>
    <w:p>
      <w:pPr>
        <w:pStyle w:val="TextBody"/>
        <w:spacing w:before="160" w:after="120"/>
        <w:jc w:val="both"/>
        <w:rPr>
          <w:rFonts w:ascii="Calibri;sans-serif" w:hAnsi="Calibri;sans-serif"/>
          <w:b w:val="false"/>
          <w:i/>
          <w:sz w:val="20"/>
        </w:rPr>
      </w:pPr>
      <w:r>
        <w:rPr>
          <w:rFonts w:ascii="Calibri;sans-serif" w:hAnsi="Calibri;sans-serif"/>
          <w:b w:val="false"/>
          <w:i/>
          <w:sz w:val="20"/>
        </w:rPr>
        <w:t>Mirror Warrants</w:t>
      </w:r>
    </w:p>
    <w:p>
      <w:pPr>
        <w:pStyle w:val="TextBody"/>
        <w:spacing w:before="160" w:after="120"/>
        <w:jc w:val="both"/>
        <w:rPr>
          <w:rFonts w:ascii="Times New Roman" w:hAnsi="Times New Roman"/>
          <w:sz w:val="20"/>
        </w:rPr>
      </w:pPr>
      <w:r>
        <w:rPr>
          <w:rFonts w:ascii="Calibri;sans-serif" w:hAnsi="Calibri;sans-serif"/>
          <w:b w:val="false"/>
          <w:sz w:val="20"/>
        </w:rPr>
        <w:t>Hoya Intermediate issued warrants to VSI to purchase 17,000,000</w:t>
      </w:r>
      <w:r>
        <w:rPr>
          <w:rFonts w:ascii="Times New Roman" w:hAnsi="Times New Roman"/>
          <w:sz w:val="20"/>
        </w:rPr>
        <w:t xml:space="preserve"> </w:t>
      </w:r>
      <w:r>
        <w:rPr>
          <w:rFonts w:ascii="Calibri;sans-serif" w:hAnsi="Calibri;sans-serif"/>
          <w:b w:val="false"/>
          <w:sz w:val="20"/>
        </w:rPr>
        <w:t>Intermediate Units at an exercise price of $10.00</w:t>
      </w:r>
      <w:r>
        <w:rPr>
          <w:rFonts w:ascii="Times New Roman" w:hAnsi="Times New Roman"/>
          <w:sz w:val="20"/>
        </w:rPr>
        <w:t xml:space="preserve"> </w:t>
      </w:r>
      <w:r>
        <w:rPr>
          <w:rFonts w:ascii="Calibri;sans-serif" w:hAnsi="Calibri;sans-serif"/>
          <w:b w:val="false"/>
          <w:sz w:val="20"/>
        </w:rPr>
        <w:t>per unit (“$10</w:t>
      </w:r>
      <w:r>
        <w:rPr>
          <w:rFonts w:ascii="Times New Roman" w:hAnsi="Times New Roman"/>
          <w:sz w:val="20"/>
        </w:rPr>
        <w:t xml:space="preserve"> </w:t>
      </w:r>
      <w:r>
        <w:rPr>
          <w:rFonts w:ascii="Calibri;sans-serif" w:hAnsi="Calibri;sans-serif"/>
          <w:b w:val="false"/>
          <w:sz w:val="20"/>
        </w:rPr>
        <w:t>Mirror Warrants”), warrants to purchase 17,000,000</w:t>
      </w:r>
      <w:r>
        <w:rPr>
          <w:rFonts w:ascii="Times New Roman" w:hAnsi="Times New Roman"/>
          <w:sz w:val="20"/>
        </w:rPr>
        <w:t xml:space="preserve"> </w:t>
      </w:r>
      <w:r>
        <w:rPr>
          <w:rFonts w:ascii="Calibri;sans-serif" w:hAnsi="Calibri;sans-serif"/>
          <w:b w:val="false"/>
          <w:sz w:val="20"/>
        </w:rPr>
        <w:t>Intermediate Units at an exercise of $15.00</w:t>
      </w:r>
      <w:r>
        <w:rPr>
          <w:rFonts w:ascii="Times New Roman" w:hAnsi="Times New Roman"/>
          <w:sz w:val="20"/>
        </w:rPr>
        <w:t xml:space="preserve"> </w:t>
      </w:r>
      <w:r>
        <w:rPr>
          <w:rFonts w:ascii="Calibri;sans-serif" w:hAnsi="Calibri;sans-serif"/>
          <w:b w:val="false"/>
          <w:sz w:val="20"/>
        </w:rPr>
        <w:t>per unit (“$15</w:t>
      </w:r>
      <w:r>
        <w:rPr>
          <w:rFonts w:ascii="Times New Roman" w:hAnsi="Times New Roman"/>
          <w:sz w:val="20"/>
        </w:rPr>
        <w:t xml:space="preserve"> </w:t>
      </w:r>
      <w:r>
        <w:rPr>
          <w:rFonts w:ascii="Calibri;sans-serif" w:hAnsi="Calibri;sans-serif"/>
          <w:b w:val="false"/>
          <w:sz w:val="20"/>
        </w:rPr>
        <w:t>Mirror Warrants”), warrants to purchase 24,652,557</w:t>
      </w:r>
      <w:r>
        <w:rPr>
          <w:rFonts w:ascii="Times New Roman" w:hAnsi="Times New Roman"/>
          <w:sz w:val="20"/>
        </w:rPr>
        <w:t xml:space="preserve"> </w:t>
      </w:r>
      <w:r>
        <w:rPr>
          <w:rFonts w:ascii="Calibri;sans-serif" w:hAnsi="Calibri;sans-serif"/>
          <w:b w:val="false"/>
          <w:sz w:val="20"/>
        </w:rPr>
        <w:t>Intermediate Units at an exercise price of $11.50</w:t>
      </w:r>
      <w:r>
        <w:rPr>
          <w:rFonts w:ascii="Times New Roman" w:hAnsi="Times New Roman"/>
          <w:sz w:val="20"/>
        </w:rPr>
        <w:t xml:space="preserve"> </w:t>
      </w:r>
      <w:r>
        <w:rPr>
          <w:rFonts w:ascii="Calibri;sans-serif" w:hAnsi="Calibri;sans-serif"/>
          <w:b w:val="false"/>
          <w:sz w:val="20"/>
        </w:rPr>
        <w:t>per unit (“$11.50</w:t>
      </w:r>
      <w:r>
        <w:rPr>
          <w:rFonts w:ascii="Times New Roman" w:hAnsi="Times New Roman"/>
          <w:sz w:val="20"/>
        </w:rPr>
        <w:t xml:space="preserve"> </w:t>
      </w:r>
      <w:r>
        <w:rPr>
          <w:rFonts w:ascii="Calibri;sans-serif" w:hAnsi="Calibri;sans-serif"/>
          <w:b w:val="false"/>
          <w:sz w:val="20"/>
        </w:rPr>
        <w:t>Mirror Warrants”; together with the $10</w:t>
      </w:r>
      <w:r>
        <w:rPr>
          <w:rFonts w:ascii="Times New Roman" w:hAnsi="Times New Roman"/>
          <w:sz w:val="20"/>
        </w:rPr>
        <w:t xml:space="preserve"> </w:t>
      </w:r>
      <w:r>
        <w:rPr>
          <w:rFonts w:ascii="Calibri;sans-serif" w:hAnsi="Calibri;sans-serif"/>
          <w:b w:val="false"/>
          <w:sz w:val="20"/>
        </w:rPr>
        <w:t>Mirror Warrants and $15</w:t>
      </w:r>
      <w:r>
        <w:rPr>
          <w:rFonts w:ascii="Times New Roman" w:hAnsi="Times New Roman"/>
          <w:sz w:val="20"/>
        </w:rPr>
        <w:t xml:space="preserve"> </w:t>
      </w:r>
      <w:r>
        <w:rPr>
          <w:rFonts w:ascii="Calibri;sans-serif" w:hAnsi="Calibri;sans-serif"/>
          <w:b w:val="false"/>
          <w:sz w:val="20"/>
        </w:rPr>
        <w:t>Mirror Warrants, “Mirror Warrants”). The number and terms of the Mirror Warrants are identical to the Public, Private and Exercise Warrants, respectively. Upon the valid exercise of a Public Warrant, Private Warrant and Exercise Warrant, Hoya</w:t>
      </w:r>
      <w:r>
        <w:rPr>
          <w:rFonts w:ascii="Times New Roman" w:hAnsi="Times New Roman"/>
          <w:sz w:val="20"/>
        </w:rPr>
        <w:t xml:space="preserve"> </w:t>
      </w:r>
    </w:p>
    <w:p>
      <w:pPr>
        <w:pStyle w:val="TextBody"/>
        <w:spacing w:before="0" w:after="0"/>
        <w:jc w:val="center"/>
        <w:rPr>
          <w:rFonts w:ascii="Calibri;sans-serif" w:hAnsi="Calibri;sans-serif"/>
          <w:b w:val="false"/>
          <w:sz w:val="20"/>
        </w:rPr>
      </w:pPr>
      <w:r>
        <w:rPr>
          <w:rFonts w:ascii="Calibri;sans-serif" w:hAnsi="Calibri;sans-serif"/>
          <w:b w:val="false"/>
          <w:sz w:val="20"/>
        </w:rPr>
        <w:t>14</w:t>
      </w:r>
    </w:p>
    <w:p>
      <w:pPr>
        <w:pStyle w:val="HorizontalLine"/>
        <w:rPr/>
      </w:pPr>
      <w:r>
        <w:rPr/>
      </w:r>
    </w:p>
    <w:p>
      <w:pPr>
        <w:pStyle w:val="TextBody"/>
        <w:spacing w:before="0" w:after="0"/>
        <w:jc w:val="center"/>
        <w:rPr>
          <w:rFonts w:ascii="Calibri;sans-serif" w:hAnsi="Calibri;sans-serif"/>
          <w:b/>
          <w:caps/>
          <w:sz w:val="20"/>
        </w:rPr>
      </w:pPr>
      <w:r>
        <w:rPr>
          <w:rFonts w:ascii="Calibri;sans-serif" w:hAnsi="Calibri;sans-serif"/>
          <w:b/>
          <w:caps/>
          <w:sz w:val="20"/>
        </w:rPr>
        <w:t>Vivid Seats INC.</w:t>
      </w:r>
    </w:p>
    <w:p>
      <w:pPr>
        <w:pStyle w:val="TextBody"/>
        <w:spacing w:before="0" w:after="0"/>
        <w:jc w:val="center"/>
        <w:rPr>
          <w:rFonts w:ascii="Calibri;sans-serif" w:hAnsi="Calibri;sans-serif"/>
          <w:b/>
          <w:caps/>
          <w:sz w:val="20"/>
        </w:rPr>
      </w:pPr>
      <w:r>
        <w:rPr>
          <w:rFonts w:ascii="Calibri;sans-serif" w:hAnsi="Calibri;sans-serif"/>
          <w:b/>
          <w:caps/>
          <w:sz w:val="20"/>
        </w:rPr>
        <w:t>NOTES to the CONDENSED Consolidated Financial Statements</w:t>
      </w:r>
    </w:p>
    <w:p>
      <w:pPr>
        <w:pStyle w:val="TextBody"/>
        <w:spacing w:before="0" w:after="0"/>
        <w:jc w:val="center"/>
        <w:rPr>
          <w:rFonts w:ascii="Calibri;sans-serif" w:hAnsi="Calibri;sans-serif"/>
          <w:b/>
          <w:caps/>
          <w:sz w:val="20"/>
        </w:rPr>
      </w:pPr>
      <w:r>
        <w:rPr>
          <w:rFonts w:ascii="Calibri;sans-serif" w:hAnsi="Calibri;sans-serif"/>
          <w:b/>
          <w:caps/>
          <w:sz w:val="20"/>
        </w:rPr>
        <w:t>(UNAUDITED)</w:t>
      </w:r>
    </w:p>
    <w:p>
      <w:pPr>
        <w:pStyle w:val="TextBody"/>
        <w:spacing w:before="0" w:after="0"/>
        <w:jc w:val="left"/>
        <w:rPr/>
      </w:pPr>
      <w:r>
        <w:rPr/>
        <w:t> </w:t>
      </w:r>
    </w:p>
    <w:p>
      <w:pPr>
        <w:pStyle w:val="TextBody"/>
        <w:spacing w:before="0" w:after="0"/>
        <w:jc w:val="left"/>
        <w:rPr/>
      </w:pPr>
      <w:r>
        <w:rPr/>
        <w:t> </w:t>
      </w:r>
    </w:p>
    <w:p>
      <w:pPr>
        <w:pStyle w:val="TextBody"/>
        <w:spacing w:before="160" w:after="120"/>
        <w:jc w:val="both"/>
        <w:rPr>
          <w:rFonts w:ascii="Times New Roman" w:hAnsi="Times New Roman"/>
          <w:sz w:val="20"/>
        </w:rPr>
      </w:pPr>
      <w:r>
        <w:rPr>
          <w:rFonts w:ascii="Calibri;sans-serif" w:hAnsi="Calibri;sans-serif"/>
          <w:b w:val="false"/>
          <w:sz w:val="20"/>
        </w:rPr>
        <w:t>Intermediate will issue to VSI an equivalent number of Intermediate Units. Similarly, if a Public, Private or Exercise Warrant is tendered, an equivalent number of Mirror Warrants will be tendered. As of March 31, 2023, we had 17,000,000</w:t>
      </w:r>
      <w:r>
        <w:rPr>
          <w:rFonts w:ascii="Times New Roman" w:hAnsi="Times New Roman"/>
          <w:sz w:val="20"/>
        </w:rPr>
        <w:t xml:space="preserve"> </w:t>
      </w:r>
      <w:r>
        <w:rPr>
          <w:rFonts w:ascii="Calibri;sans-serif" w:hAnsi="Calibri;sans-serif"/>
          <w:b w:val="false"/>
          <w:sz w:val="20"/>
        </w:rPr>
        <w:t>$10</w:t>
      </w:r>
      <w:r>
        <w:rPr>
          <w:rFonts w:ascii="Times New Roman" w:hAnsi="Times New Roman"/>
          <w:sz w:val="20"/>
        </w:rPr>
        <w:t xml:space="preserve"> </w:t>
      </w:r>
      <w:r>
        <w:rPr>
          <w:rFonts w:ascii="Calibri;sans-serif" w:hAnsi="Calibri;sans-serif"/>
          <w:b w:val="false"/>
          <w:sz w:val="20"/>
        </w:rPr>
        <w:t>Mirror Warrants outstanding, 17,000,000</w:t>
      </w:r>
      <w:r>
        <w:rPr>
          <w:rFonts w:ascii="Times New Roman" w:hAnsi="Times New Roman"/>
          <w:sz w:val="20"/>
        </w:rPr>
        <w:t xml:space="preserve"> </w:t>
      </w:r>
      <w:r>
        <w:rPr>
          <w:rFonts w:ascii="Calibri;sans-serif" w:hAnsi="Calibri;sans-serif"/>
          <w:b w:val="false"/>
          <w:sz w:val="20"/>
        </w:rPr>
        <w:t>$15</w:t>
      </w:r>
      <w:r>
        <w:rPr>
          <w:rFonts w:ascii="Times New Roman" w:hAnsi="Times New Roman"/>
          <w:sz w:val="20"/>
        </w:rPr>
        <w:t xml:space="preserve"> </w:t>
      </w:r>
      <w:r>
        <w:rPr>
          <w:rFonts w:ascii="Calibri;sans-serif" w:hAnsi="Calibri;sans-serif"/>
          <w:b w:val="false"/>
          <w:sz w:val="20"/>
        </w:rPr>
        <w:t>Mirror Warrants outstanding and 13,286,644</w:t>
      </w:r>
      <w:r>
        <w:rPr>
          <w:rFonts w:ascii="Times New Roman" w:hAnsi="Times New Roman"/>
          <w:sz w:val="20"/>
        </w:rPr>
        <w:t xml:space="preserve"> </w:t>
      </w:r>
      <w:r>
        <w:rPr>
          <w:rFonts w:ascii="Calibri;sans-serif" w:hAnsi="Calibri;sans-serif"/>
          <w:b w:val="false"/>
          <w:sz w:val="20"/>
        </w:rPr>
        <w:t>$11.50</w:t>
      </w:r>
      <w:r>
        <w:rPr>
          <w:rFonts w:ascii="Times New Roman" w:hAnsi="Times New Roman"/>
          <w:sz w:val="20"/>
        </w:rPr>
        <w:t xml:space="preserve"> </w:t>
      </w:r>
      <w:r>
        <w:rPr>
          <w:rFonts w:ascii="Calibri;sans-serif" w:hAnsi="Calibri;sans-serif"/>
          <w:b w:val="false"/>
          <w:sz w:val="20"/>
        </w:rPr>
        <w:t>Mirror Warrants outstanding.</w:t>
      </w:r>
    </w:p>
    <w:p>
      <w:pPr>
        <w:pStyle w:val="TextBody"/>
        <w:spacing w:before="160" w:after="120"/>
        <w:jc w:val="both"/>
        <w:rPr>
          <w:rFonts w:ascii="Calibri;sans-serif" w:hAnsi="Calibri;sans-serif"/>
          <w:b w:val="false"/>
          <w:i/>
          <w:sz w:val="20"/>
        </w:rPr>
      </w:pPr>
      <w:r>
        <w:rPr>
          <w:rFonts w:ascii="Calibri;sans-serif" w:hAnsi="Calibri;sans-serif"/>
          <w:b w:val="false"/>
          <w:i/>
          <w:sz w:val="20"/>
        </w:rPr>
        <w:t>Hoya Intermediate Warrants</w:t>
      </w:r>
    </w:p>
    <w:p>
      <w:pPr>
        <w:pStyle w:val="TextBody"/>
        <w:spacing w:before="160" w:after="120"/>
        <w:jc w:val="both"/>
        <w:rPr>
          <w:rFonts w:ascii="Times New Roman" w:hAnsi="Times New Roman"/>
          <w:sz w:val="20"/>
        </w:rPr>
      </w:pPr>
      <w:r>
        <w:rPr>
          <w:rFonts w:ascii="Calibri;sans-serif" w:hAnsi="Calibri;sans-serif"/>
          <w:b w:val="false"/>
          <w:sz w:val="20"/>
        </w:rPr>
        <w:t>Hoya Intermediate issued the warrants to Hoya Topco, which consist of (i) warrants to purchase 3,000,000</w:t>
      </w:r>
      <w:r>
        <w:rPr>
          <w:rFonts w:ascii="Times New Roman" w:hAnsi="Times New Roman"/>
          <w:sz w:val="20"/>
        </w:rPr>
        <w:t xml:space="preserve"> </w:t>
      </w:r>
      <w:r>
        <w:rPr>
          <w:rFonts w:ascii="Calibri;sans-serif" w:hAnsi="Calibri;sans-serif"/>
          <w:b w:val="false"/>
          <w:sz w:val="20"/>
        </w:rPr>
        <w:t>shares of common units of Hoya Intermediate (“Intermediate Units”) at an exercise price of $10.00</w:t>
      </w:r>
      <w:r>
        <w:rPr>
          <w:rFonts w:ascii="Times New Roman" w:hAnsi="Times New Roman"/>
          <w:sz w:val="20"/>
        </w:rPr>
        <w:t xml:space="preserve"> </w:t>
      </w:r>
      <w:r>
        <w:rPr>
          <w:rFonts w:ascii="Calibri;sans-serif" w:hAnsi="Calibri;sans-serif"/>
          <w:b w:val="false"/>
          <w:sz w:val="20"/>
        </w:rPr>
        <w:t>per share, and (ii) warrants to purchase 3,000,000</w:t>
      </w:r>
      <w:r>
        <w:rPr>
          <w:rFonts w:ascii="Times New Roman" w:hAnsi="Times New Roman"/>
          <w:sz w:val="20"/>
        </w:rPr>
        <w:t xml:space="preserve"> </w:t>
      </w:r>
      <w:r>
        <w:rPr>
          <w:rFonts w:ascii="Calibri;sans-serif" w:hAnsi="Calibri;sans-serif"/>
          <w:b w:val="false"/>
          <w:sz w:val="20"/>
        </w:rPr>
        <w:t>shares of Intermediate Units at an exercise of $15.00</w:t>
      </w:r>
      <w:r>
        <w:rPr>
          <w:rFonts w:ascii="Times New Roman" w:hAnsi="Times New Roman"/>
          <w:sz w:val="20"/>
        </w:rPr>
        <w:t xml:space="preserve"> </w:t>
      </w:r>
      <w:r>
        <w:rPr>
          <w:rFonts w:ascii="Calibri;sans-serif" w:hAnsi="Calibri;sans-serif"/>
          <w:b w:val="false"/>
          <w:sz w:val="20"/>
        </w:rPr>
        <w:t>per share (collectively, the "Hoya Intermediate Warrants").</w:t>
      </w:r>
    </w:p>
    <w:p>
      <w:pPr>
        <w:pStyle w:val="TextBody"/>
        <w:spacing w:before="160" w:after="120"/>
        <w:jc w:val="both"/>
        <w:rPr>
          <w:rFonts w:ascii="Times New Roman" w:hAnsi="Times New Roman"/>
          <w:sz w:val="20"/>
        </w:rPr>
      </w:pPr>
      <w:r>
        <w:rPr>
          <w:rFonts w:ascii="Calibri;sans-serif" w:hAnsi="Calibri;sans-serif"/>
          <w:b w:val="false"/>
          <w:sz w:val="20"/>
        </w:rPr>
        <w:t>A portion of the Hoya Intermediate Warrants, consisting of warrants to purchase 1,000,000</w:t>
      </w:r>
      <w:r>
        <w:rPr>
          <w:rFonts w:ascii="Times New Roman" w:hAnsi="Times New Roman"/>
          <w:sz w:val="20"/>
        </w:rPr>
        <w:t xml:space="preserve"> </w:t>
      </w:r>
      <w:r>
        <w:rPr>
          <w:rFonts w:ascii="Calibri;sans-serif" w:hAnsi="Calibri;sans-serif"/>
          <w:b w:val="false"/>
          <w:sz w:val="20"/>
        </w:rPr>
        <w:t>Intermediate Units at exercise prices of $10.00</w:t>
      </w:r>
      <w:r>
        <w:rPr>
          <w:rFonts w:ascii="Times New Roman" w:hAnsi="Times New Roman"/>
          <w:sz w:val="20"/>
        </w:rPr>
        <w:t xml:space="preserve"> </w:t>
      </w:r>
      <w:r>
        <w:rPr>
          <w:rFonts w:ascii="Calibri;sans-serif" w:hAnsi="Calibri;sans-serif"/>
          <w:b w:val="false"/>
          <w:sz w:val="20"/>
        </w:rPr>
        <w:t>and $15.00</w:t>
      </w:r>
      <w:r>
        <w:rPr>
          <w:rFonts w:ascii="Times New Roman" w:hAnsi="Times New Roman"/>
          <w:sz w:val="20"/>
        </w:rPr>
        <w:t xml:space="preserve"> </w:t>
      </w:r>
      <w:r>
        <w:rPr>
          <w:rFonts w:ascii="Calibri;sans-serif" w:hAnsi="Calibri;sans-serif"/>
          <w:b w:val="false"/>
          <w:sz w:val="20"/>
        </w:rPr>
        <w:t>per unit, respectively (“Option Contingent Warrants”), were issued in tandem with stock options we issued to members of our management team (“Management Options”). The Option Contingent Warrants only become exercisable by Hoya Topco if a Management Option is forfeited or expires unexercised. As of March 31, 2023, less than 0.1</w:t>
      </w:r>
      <w:r>
        <w:rPr>
          <w:rFonts w:ascii="Times New Roman" w:hAnsi="Times New Roman"/>
          <w:sz w:val="20"/>
        </w:rPr>
        <w:t xml:space="preserve"> </w:t>
      </w:r>
      <w:r>
        <w:rPr>
          <w:rFonts w:ascii="Calibri;sans-serif" w:hAnsi="Calibri;sans-serif"/>
          <w:b w:val="false"/>
          <w:sz w:val="20"/>
        </w:rPr>
        <w:t>million of the corresponding Management Options had been forfeited or expired.</w:t>
      </w:r>
    </w:p>
    <w:p>
      <w:pPr>
        <w:pStyle w:val="TextBody"/>
        <w:spacing w:before="160" w:after="120"/>
        <w:jc w:val="both"/>
        <w:rPr>
          <w:rFonts w:ascii="Times New Roman" w:hAnsi="Times New Roman"/>
          <w:sz w:val="20"/>
        </w:rPr>
      </w:pPr>
      <w:r>
        <w:rPr>
          <w:rFonts w:ascii="Calibri;sans-serif" w:hAnsi="Calibri;sans-serif"/>
          <w:b w:val="false"/>
          <w:sz w:val="20"/>
        </w:rPr>
        <w:t>Hoya Intermediate Warrants allow for cash redemption at the option of the warrant holder. Hence, the Hoya Intermediate Warrants are classified as a liability in Other liabilities on our Condensed Consolidated Balance Sheets. Upon consummation of the Merger Transaction, we recorded a warrant liability of $20.4</w:t>
      </w:r>
      <w:r>
        <w:rPr>
          <w:rFonts w:ascii="Times New Roman" w:hAnsi="Times New Roman"/>
          <w:sz w:val="20"/>
        </w:rPr>
        <w:t xml:space="preserve"> </w:t>
      </w:r>
      <w:r>
        <w:rPr>
          <w:rFonts w:ascii="Calibri;sans-serif" w:hAnsi="Calibri;sans-serif"/>
          <w:b w:val="false"/>
          <w:sz w:val="20"/>
        </w:rPr>
        <w:t>million, reflecting the fair value of the Hoya Intermediate Warrants determined using the Black Scholes model. Upon consummation of the Merger Transaction, the fair value of the Hoya Intermediate Warrants included</w:t>
      </w:r>
      <w:r>
        <w:rPr>
          <w:rFonts w:ascii="Times New Roman" w:hAnsi="Times New Roman"/>
          <w:sz w:val="20"/>
        </w:rPr>
        <w:t xml:space="preserve"> </w:t>
      </w:r>
      <w:r>
        <w:rPr>
          <w:rFonts w:ascii="Calibri;sans-serif" w:hAnsi="Calibri;sans-serif"/>
          <w:b w:val="false"/>
          <w:sz w:val="20"/>
        </w:rPr>
        <w:t>Option Contingent Warrants of $1.6</w:t>
      </w:r>
      <w:r>
        <w:rPr>
          <w:rFonts w:ascii="Times New Roman" w:hAnsi="Times New Roman"/>
          <w:sz w:val="20"/>
        </w:rPr>
        <w:t xml:space="preserve"> </w:t>
      </w:r>
      <w:r>
        <w:rPr>
          <w:rFonts w:ascii="Calibri;sans-serif" w:hAnsi="Calibri;sans-serif"/>
          <w:b w:val="false"/>
          <w:sz w:val="20"/>
        </w:rPr>
        <w:t>million. The estimated fair value of the Option Contingent Warrants is adjusted to reflect the probability of forfeiture of the corresponding stock options based on historical forfeiture rates for Hoya Topco profits interests.</w:t>
      </w:r>
    </w:p>
    <w:p>
      <w:pPr>
        <w:pStyle w:val="TextBody"/>
        <w:spacing w:before="160" w:after="120"/>
        <w:jc w:val="both"/>
        <w:rPr>
          <w:rFonts w:ascii="Calibri;sans-serif" w:hAnsi="Calibri;sans-serif"/>
          <w:b w:val="false"/>
          <w:sz w:val="20"/>
        </w:rPr>
      </w:pPr>
      <w:r>
        <w:rPr>
          <w:rFonts w:ascii="Calibri;sans-serif" w:hAnsi="Calibri;sans-serif"/>
          <w:b w:val="false"/>
          <w:sz w:val="20"/>
        </w:rPr>
        <w:t>The following assumptions were used to calculate the fair value of the Hoya Intermediate Warrants and Option Contingent Warrants:</w:t>
      </w:r>
    </w:p>
    <w:tbl>
      <w:tblPr>
        <w:tblW w:w="4975" w:type="dxa"/>
        <w:jc w:val="left"/>
        <w:tblInd w:w="0" w:type="dxa"/>
        <w:tblCellMar>
          <w:top w:w="28" w:type="dxa"/>
          <w:left w:w="28" w:type="dxa"/>
          <w:bottom w:w="28" w:type="dxa"/>
          <w:right w:w="28" w:type="dxa"/>
        </w:tblCellMar>
      </w:tblPr>
      <w:tblGrid>
        <w:gridCol w:w="1981"/>
        <w:gridCol w:w="146"/>
        <w:gridCol w:w="217"/>
        <w:gridCol w:w="698"/>
        <w:gridCol w:w="241"/>
        <w:gridCol w:w="146"/>
        <w:gridCol w:w="300"/>
        <w:gridCol w:w="960"/>
        <w:gridCol w:w="286"/>
      </w:tblGrid>
      <w:tr>
        <w:trPr/>
        <w:tc>
          <w:tcPr>
            <w:tcW w:w="19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1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5" w:type="dxa"/>
            <w:gridSpan w:val="2"/>
            <w:tcBorders/>
            <w:shd w:fill="auto" w:val="cle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March 31,</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shd w:fill="auto" w:val="cle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December 31,</w:t>
            </w:r>
          </w:p>
        </w:tc>
        <w:tc>
          <w:tcPr>
            <w:tcW w:w="286" w:type="dxa"/>
            <w:tcBorders/>
            <w:shd w:fill="auto" w:val="clear"/>
            <w:vAlign w:val="center"/>
          </w:tcPr>
          <w:p>
            <w:pPr>
              <w:pStyle w:val="TableContents"/>
              <w:spacing w:before="0" w:after="0"/>
              <w:ind w:left="0" w:right="0" w:hanging="0"/>
              <w:jc w:val="center"/>
              <w:rPr/>
            </w:pPr>
            <w:r>
              <w:rPr/>
              <w:t> </w:t>
            </w:r>
          </w:p>
        </w:tc>
      </w:tr>
      <w:tr>
        <w:trPr/>
        <w:tc>
          <w:tcPr>
            <w:tcW w:w="1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2022</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8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Estimated volatility</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37.0</w:t>
            </w:r>
          </w:p>
        </w:tc>
        <w:tc>
          <w:tcPr>
            <w:tcW w:w="24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39.0</w:t>
            </w:r>
          </w:p>
        </w:tc>
        <w:tc>
          <w:tcPr>
            <w:tcW w:w="28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198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Expected term (years)</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8.6</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8.8</w:t>
            </w:r>
          </w:p>
        </w:tc>
        <w:tc>
          <w:tcPr>
            <w:tcW w:w="286" w:type="dxa"/>
            <w:tcBorders/>
            <w:shd w:fill="auto" w:val="clear"/>
            <w:vAlign w:val="center"/>
          </w:tcPr>
          <w:p>
            <w:pPr>
              <w:pStyle w:val="TableContents"/>
              <w:spacing w:before="0" w:after="0"/>
              <w:ind w:left="0" w:right="0" w:hanging="0"/>
              <w:jc w:val="left"/>
              <w:rPr/>
            </w:pPr>
            <w:r>
              <w:rPr/>
              <w:t> </w:t>
            </w:r>
          </w:p>
        </w:tc>
      </w:tr>
      <w:tr>
        <w:trPr/>
        <w:tc>
          <w:tcPr>
            <w:tcW w:w="198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Risk-free rate</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3.5</w:t>
            </w:r>
          </w:p>
        </w:tc>
        <w:tc>
          <w:tcPr>
            <w:tcW w:w="24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3.9</w:t>
            </w:r>
          </w:p>
        </w:tc>
        <w:tc>
          <w:tcPr>
            <w:tcW w:w="28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198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Expected dividend yield</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0.0</w:t>
            </w:r>
          </w:p>
        </w:tc>
        <w:tc>
          <w:tcPr>
            <w:tcW w:w="24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0.0</w:t>
            </w:r>
          </w:p>
        </w:tc>
        <w:tc>
          <w:tcPr>
            <w:tcW w:w="28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bl>
    <w:p>
      <w:pPr>
        <w:pStyle w:val="TextBody"/>
        <w:spacing w:before="160" w:after="120"/>
        <w:jc w:val="both"/>
        <w:rPr>
          <w:rFonts w:ascii="Times New Roman" w:hAnsi="Times New Roman"/>
          <w:sz w:val="20"/>
        </w:rPr>
      </w:pPr>
      <w:r>
        <w:rPr>
          <w:rFonts w:ascii="Calibri;sans-serif" w:hAnsi="Calibri;sans-serif"/>
          <w:b w:val="false"/>
          <w:sz w:val="20"/>
        </w:rPr>
        <w:t>For the three months ended March 31, 2023 and 2022, the fair value of the Hoya Intermediate Warrants and Option Contingent Warrants decreased by $0.3</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and increased by $2.3</w:t>
      </w:r>
      <w:r>
        <w:rPr>
          <w:rFonts w:ascii="Times New Roman" w:hAnsi="Times New Roman"/>
          <w:sz w:val="20"/>
        </w:rPr>
        <w:t xml:space="preserve"> </w:t>
      </w:r>
      <w:r>
        <w:rPr>
          <w:rFonts w:ascii="Calibri;sans-serif" w:hAnsi="Calibri;sans-serif"/>
          <w:b w:val="false"/>
          <w:sz w:val="20"/>
        </w:rPr>
        <w:t>million, respectively, which is presented in Other (income) expense on the Condensed Consolidated Statements of Operations.</w:t>
      </w:r>
    </w:p>
    <w:p>
      <w:pPr>
        <w:pStyle w:val="TextBody"/>
        <w:spacing w:before="160" w:after="120"/>
        <w:jc w:val="both"/>
        <w:rPr>
          <w:rFonts w:ascii="Calibri;sans-serif" w:hAnsi="Calibri;sans-serif"/>
          <w:b w:val="false"/>
          <w:sz w:val="20"/>
        </w:rPr>
      </w:pPr>
      <w:r>
        <w:rPr>
          <w:rFonts w:ascii="Calibri;sans-serif" w:hAnsi="Calibri;sans-serif"/>
          <w:b w:val="false"/>
          <w:sz w:val="20"/>
        </w:rPr>
        <w:t>Upon the valid exercise of a Hoya Intermediate Warrant for Intermediate Units, VSI will issue an equivalent amount of VSI Class B common shares to Hoya Topco.</w:t>
      </w:r>
    </w:p>
    <w:p>
      <w:pPr>
        <w:pStyle w:val="TextBody"/>
        <w:spacing w:before="160" w:after="120"/>
        <w:jc w:val="both"/>
        <w:rPr>
          <w:rFonts w:ascii="Calibri;sans-serif" w:hAnsi="Calibri;sans-serif"/>
          <w:b w:val="false"/>
          <w:sz w:val="20"/>
        </w:rPr>
      </w:pPr>
      <w:r>
        <w:rPr>
          <w:rFonts w:ascii="Calibri;sans-serif" w:hAnsi="Calibri;sans-serif"/>
          <w:b w:val="false"/>
          <w:sz w:val="20"/>
        </w:rPr>
        <w:t>Other financial instruments, including accounts receivable and accounts payable, are carried at cost, which approximates their fair value because of the short-term nature of these instruments.</w:t>
      </w:r>
    </w:p>
    <w:p>
      <w:pPr>
        <w:pStyle w:val="TextBody"/>
        <w:spacing w:before="160" w:after="120"/>
        <w:jc w:val="both"/>
        <w:rPr>
          <w:rFonts w:ascii="Calibri;sans-serif" w:hAnsi="Calibri;sans-serif"/>
          <w:b/>
          <w:smallCaps/>
          <w:sz w:val="20"/>
        </w:rPr>
      </w:pPr>
      <w:r>
        <w:rPr>
          <w:rFonts w:ascii="Calibri;sans-serif" w:hAnsi="Calibri;sans-serif"/>
          <w:b/>
          <w:smallCaps/>
          <w:sz w:val="20"/>
        </w:rPr>
        <w:t>11. Commitments and Contingencies</w:t>
      </w:r>
    </w:p>
    <w:p>
      <w:pPr>
        <w:pStyle w:val="TextBody"/>
        <w:spacing w:before="160" w:after="120"/>
        <w:jc w:val="both"/>
        <w:rPr>
          <w:rFonts w:ascii="Calibri;sans-serif" w:hAnsi="Calibri;sans-serif"/>
          <w:b/>
          <w:sz w:val="20"/>
        </w:rPr>
      </w:pPr>
      <w:r>
        <w:rPr>
          <w:rFonts w:ascii="Calibri;sans-serif" w:hAnsi="Calibri;sans-serif"/>
          <w:b/>
          <w:sz w:val="20"/>
        </w:rPr>
        <w:t>Litigation</w:t>
      </w:r>
    </w:p>
    <w:p>
      <w:pPr>
        <w:pStyle w:val="TextBody"/>
        <w:spacing w:before="160" w:after="120"/>
        <w:jc w:val="both"/>
        <w:rPr>
          <w:rFonts w:ascii="Times New Roman" w:hAnsi="Times New Roman"/>
          <w:sz w:val="20"/>
        </w:rPr>
      </w:pPr>
      <w:r>
        <w:rPr>
          <w:rFonts w:ascii="Calibri;sans-serif" w:hAnsi="Calibri;sans-serif"/>
          <w:b w:val="false"/>
          <w:sz w:val="20"/>
        </w:rPr>
        <w:t>From time to time, we are involved in various claims and legal actions arising in the ordinary course of business, none of which, in the opinion of management, could have a material effect on our business, financial position or results of operations other than those matters discussed herein.</w:t>
      </w:r>
      <w:r>
        <w:rPr>
          <w:rFonts w:ascii="Times New Roman" w:hAnsi="Times New Roman"/>
          <w:sz w:val="20"/>
        </w:rPr>
        <w:t xml:space="preserve"> </w:t>
      </w:r>
    </w:p>
    <w:p>
      <w:pPr>
        <w:pStyle w:val="TextBody"/>
        <w:spacing w:before="0" w:after="0"/>
        <w:jc w:val="center"/>
        <w:rPr>
          <w:rFonts w:ascii="Calibri;sans-serif" w:hAnsi="Calibri;sans-serif"/>
          <w:b w:val="false"/>
          <w:sz w:val="20"/>
        </w:rPr>
      </w:pPr>
      <w:r>
        <w:rPr>
          <w:rFonts w:ascii="Calibri;sans-serif" w:hAnsi="Calibri;sans-serif"/>
          <w:b w:val="false"/>
          <w:sz w:val="20"/>
        </w:rPr>
        <w:t>15</w:t>
      </w:r>
    </w:p>
    <w:p>
      <w:pPr>
        <w:pStyle w:val="HorizontalLine"/>
        <w:rPr/>
      </w:pPr>
      <w:r>
        <w:rPr/>
      </w:r>
    </w:p>
    <w:p>
      <w:pPr>
        <w:pStyle w:val="TextBody"/>
        <w:spacing w:before="0" w:after="0"/>
        <w:jc w:val="center"/>
        <w:rPr>
          <w:rFonts w:ascii="Calibri;sans-serif" w:hAnsi="Calibri;sans-serif"/>
          <w:b/>
          <w:caps/>
          <w:sz w:val="20"/>
        </w:rPr>
      </w:pPr>
      <w:r>
        <w:rPr>
          <w:rFonts w:ascii="Calibri;sans-serif" w:hAnsi="Calibri;sans-serif"/>
          <w:b/>
          <w:caps/>
          <w:sz w:val="20"/>
        </w:rPr>
        <w:t>Vivid Seats INC.</w:t>
      </w:r>
    </w:p>
    <w:p>
      <w:pPr>
        <w:pStyle w:val="TextBody"/>
        <w:spacing w:before="0" w:after="0"/>
        <w:jc w:val="center"/>
        <w:rPr>
          <w:rFonts w:ascii="Calibri;sans-serif" w:hAnsi="Calibri;sans-serif"/>
          <w:b/>
          <w:caps/>
          <w:sz w:val="20"/>
        </w:rPr>
      </w:pPr>
      <w:r>
        <w:rPr>
          <w:rFonts w:ascii="Calibri;sans-serif" w:hAnsi="Calibri;sans-serif"/>
          <w:b/>
          <w:caps/>
          <w:sz w:val="20"/>
        </w:rPr>
        <w:t>NOTES to the CONDENSED Consolidated Financial Statements</w:t>
      </w:r>
    </w:p>
    <w:p>
      <w:pPr>
        <w:pStyle w:val="TextBody"/>
        <w:spacing w:before="0" w:after="0"/>
        <w:jc w:val="center"/>
        <w:rPr>
          <w:rFonts w:ascii="Calibri;sans-serif" w:hAnsi="Calibri;sans-serif"/>
          <w:b/>
          <w:caps/>
          <w:sz w:val="20"/>
        </w:rPr>
      </w:pPr>
      <w:r>
        <w:rPr>
          <w:rFonts w:ascii="Calibri;sans-serif" w:hAnsi="Calibri;sans-serif"/>
          <w:b/>
          <w:caps/>
          <w:sz w:val="20"/>
        </w:rPr>
        <w:t>(UNAUDITED)</w:t>
      </w:r>
    </w:p>
    <w:p>
      <w:pPr>
        <w:pStyle w:val="TextBody"/>
        <w:spacing w:before="0" w:after="0"/>
        <w:jc w:val="left"/>
        <w:rPr/>
      </w:pPr>
      <w:r>
        <w:rPr/>
        <w:t> </w:t>
      </w:r>
    </w:p>
    <w:p>
      <w:pPr>
        <w:pStyle w:val="TextBody"/>
        <w:spacing w:before="0" w:after="0"/>
        <w:jc w:val="left"/>
        <w:rPr/>
      </w:pPr>
      <w:r>
        <w:rPr/>
        <w:t> </w:t>
      </w:r>
    </w:p>
    <w:p>
      <w:pPr>
        <w:pStyle w:val="TextBody"/>
        <w:spacing w:before="160" w:after="120"/>
        <w:jc w:val="both"/>
        <w:rPr>
          <w:rFonts w:ascii="Times New Roman" w:hAnsi="Times New Roman"/>
          <w:sz w:val="20"/>
        </w:rPr>
      </w:pPr>
      <w:r>
        <w:rPr>
          <w:rFonts w:ascii="Calibri;sans-serif" w:hAnsi="Calibri;sans-serif"/>
          <w:b w:val="false"/>
          <w:sz w:val="20"/>
        </w:rPr>
        <w:t>We are a co-defendant in a class action lawsuit in Canada alleging a failure to disclose service fees prior to checkout, which we have settled. On January 5, 2022, we issued coupons to certain members of the class. Other members were notified in 2022 that they are eligible to submit a claim for a coupon, which they received in 2023. As of March 31, 2023 and December 31, 2022, a liability of $0.9</w:t>
      </w:r>
      <w:r>
        <w:rPr>
          <w:rFonts w:ascii="Times New Roman" w:hAnsi="Times New Roman"/>
          <w:sz w:val="20"/>
        </w:rPr>
        <w:t xml:space="preserve"> </w:t>
      </w:r>
      <w:r>
        <w:rPr>
          <w:rFonts w:ascii="Calibri;sans-serif" w:hAnsi="Calibri;sans-serif"/>
          <w:b w:val="false"/>
          <w:sz w:val="20"/>
        </w:rPr>
        <w:t>million was recorded in Accrued expenses and other current liabilities in the Condensed Consolidated Balance Sheets related to expected claim submissions and credit redemptions as of the measurement date.</w:t>
      </w:r>
    </w:p>
    <w:p>
      <w:pPr>
        <w:pStyle w:val="TextBody"/>
        <w:spacing w:before="160" w:after="120"/>
        <w:jc w:val="both"/>
        <w:rPr>
          <w:rFonts w:ascii="Times New Roman" w:hAnsi="Times New Roman"/>
          <w:sz w:val="20"/>
        </w:rPr>
      </w:pPr>
      <w:r>
        <w:rPr>
          <w:rFonts w:ascii="Calibri;sans-serif" w:hAnsi="Calibri;sans-serif"/>
          <w:b w:val="false"/>
          <w:sz w:val="20"/>
        </w:rPr>
        <w:t>We received multiple class action lawsuits related to customer compensation for cancellations, primarily as a result of COVID-19 restrictions. A final order approving settlement of one of the lawsuits was entered by the court on November 1, 2021. As such, after insurance, $4.5</w:t>
      </w:r>
      <w:r>
        <w:rPr>
          <w:rFonts w:ascii="Times New Roman" w:hAnsi="Times New Roman"/>
          <w:sz w:val="20"/>
        </w:rPr>
        <w:t xml:space="preserve"> </w:t>
      </w:r>
      <w:r>
        <w:rPr>
          <w:rFonts w:ascii="Calibri;sans-serif" w:hAnsi="Calibri;sans-serif"/>
          <w:b w:val="false"/>
          <w:sz w:val="20"/>
        </w:rPr>
        <w:t>million was funded to a claims settlement pool in 2021 and fully disbursed in 2022. A settlement was reached in another of the lawsuits in July 2022 which established a separate claims settlement pool of up to $2.5</w:t>
      </w:r>
      <w:r>
        <w:rPr>
          <w:rFonts w:ascii="Times New Roman" w:hAnsi="Times New Roman"/>
          <w:sz w:val="20"/>
        </w:rPr>
        <w:t xml:space="preserve"> </w:t>
      </w:r>
      <w:r>
        <w:rPr>
          <w:rFonts w:ascii="Calibri;sans-serif" w:hAnsi="Calibri;sans-serif"/>
          <w:b w:val="false"/>
          <w:sz w:val="20"/>
        </w:rPr>
        <w:t>million. That settlement received final approval from the court on January 31, 2023 and the settlement pool will be funded in 2023. As of March 31, 2023 and December 31, 2022, we had accrued a liability of $1.5</w:t>
      </w:r>
      <w:r>
        <w:rPr>
          <w:rFonts w:ascii="Times New Roman" w:hAnsi="Times New Roman"/>
          <w:sz w:val="20"/>
        </w:rPr>
        <w:t xml:space="preserve"> </w:t>
      </w:r>
      <w:r>
        <w:rPr>
          <w:rFonts w:ascii="Calibri;sans-serif" w:hAnsi="Calibri;sans-serif"/>
          <w:b w:val="false"/>
          <w:sz w:val="20"/>
        </w:rPr>
        <w:t>million and $1.6</w:t>
      </w:r>
      <w:r>
        <w:rPr>
          <w:rFonts w:ascii="Times New Roman" w:hAnsi="Times New Roman"/>
          <w:sz w:val="20"/>
        </w:rPr>
        <w:t xml:space="preserve"> </w:t>
      </w:r>
      <w:r>
        <w:rPr>
          <w:rFonts w:ascii="Calibri;sans-serif" w:hAnsi="Calibri;sans-serif"/>
          <w:b w:val="false"/>
          <w:sz w:val="20"/>
        </w:rPr>
        <w:t>million, respectively, within Accrued expenses and other current liabilities in the Condensed Consolidated Balance Sheets related to these matters.</w:t>
      </w:r>
    </w:p>
    <w:p>
      <w:pPr>
        <w:pStyle w:val="TextBody"/>
        <w:spacing w:before="160" w:after="120"/>
        <w:jc w:val="both"/>
        <w:rPr>
          <w:rFonts w:ascii="Times New Roman" w:hAnsi="Times New Roman"/>
          <w:sz w:val="20"/>
        </w:rPr>
      </w:pPr>
      <w:r>
        <w:rPr>
          <w:rFonts w:ascii="Calibri;sans-serif" w:hAnsi="Calibri;sans-serif"/>
          <w:b w:val="false"/>
          <w:sz w:val="20"/>
        </w:rPr>
        <w:t>We are a defendant in a lawsuit related to an alleged violation of the Illinois Biometric Information Privacy Act. We deny these allegations and intend to vigorously defend against this lawsuit. Based on the information currently available, we are unable to reasonably estimate a possible loss or range of possible losses. As a result, no litigation reserve has been recorded in the Condensed Consolidated Balance Sheets related to this matter.</w:t>
      </w:r>
      <w:r>
        <w:rPr>
          <w:rFonts w:ascii="Times New Roman" w:hAnsi="Times New Roman"/>
          <w:sz w:val="20"/>
        </w:rPr>
        <w:t xml:space="preserve"> </w:t>
      </w:r>
    </w:p>
    <w:p>
      <w:pPr>
        <w:pStyle w:val="TextBody"/>
        <w:spacing w:before="160" w:after="120"/>
        <w:jc w:val="both"/>
        <w:rPr>
          <w:rFonts w:ascii="Calibri;sans-serif" w:hAnsi="Calibri;sans-serif"/>
          <w:b/>
          <w:sz w:val="20"/>
        </w:rPr>
      </w:pPr>
      <w:r>
        <w:rPr>
          <w:rFonts w:ascii="Calibri;sans-serif" w:hAnsi="Calibri;sans-serif"/>
          <w:b/>
          <w:sz w:val="20"/>
        </w:rPr>
        <w:t>Other</w:t>
      </w:r>
    </w:p>
    <w:p>
      <w:pPr>
        <w:pStyle w:val="TextBody"/>
        <w:spacing w:before="160" w:after="120"/>
        <w:jc w:val="both"/>
        <w:rPr>
          <w:rFonts w:ascii="Calibri;sans-serif" w:hAnsi="Calibri;sans-serif"/>
          <w:b w:val="false"/>
          <w:sz w:val="20"/>
        </w:rPr>
      </w:pPr>
      <w:r>
        <w:rPr>
          <w:rFonts w:ascii="Calibri;sans-serif" w:hAnsi="Calibri;sans-serif"/>
          <w:b w:val="false"/>
          <w:sz w:val="20"/>
        </w:rPr>
        <w:t>In 2018, the U.S. Supreme Court issued its decision in South Dakota v. Wayfair Inc., which overturned previous case law that had precluded states from imposing sales tax collection requirements on retailers without a physical presence in the state. In response, most states have already adopted laws that attempt to impose tax collection obligations on out-of-state companies, and we have registered and are collecting tax, where required by statute. However, states or local governments may continue to adopt laws requiring that we calculate, collect, and remit taxes on sales in their jurisdictions. A successful assertion by one or more jurisdictions could result in tax liabilities, including taxes on past sales, as well as penalties and interest. Based on our analysis of certain state regulations, specifically related to marketplace facilitators and ticket sales, we do not believe risk of loss is probable on historical revenue activities where tax has not already been remitted. We continuously monitor state regulations and will implement required collection and remittance procedures if and when we are subject to such regulations.</w:t>
      </w:r>
    </w:p>
    <w:p>
      <w:pPr>
        <w:pStyle w:val="TextBody"/>
        <w:spacing w:before="160" w:after="120"/>
        <w:jc w:val="both"/>
        <w:rPr>
          <w:rFonts w:ascii="Calibri;sans-serif" w:hAnsi="Calibri;sans-serif"/>
          <w:b/>
          <w:sz w:val="20"/>
        </w:rPr>
      </w:pPr>
      <w:r>
        <w:rPr>
          <w:rFonts w:ascii="Calibri;sans-serif" w:hAnsi="Calibri;sans-serif"/>
          <w:b/>
          <w:sz w:val="20"/>
        </w:rPr>
        <w:t>Share Repurchase Program</w:t>
      </w:r>
    </w:p>
    <w:p>
      <w:pPr>
        <w:pStyle w:val="TextBody"/>
        <w:spacing w:before="160" w:after="120"/>
        <w:jc w:val="both"/>
        <w:rPr>
          <w:rFonts w:ascii="Times New Roman" w:hAnsi="Times New Roman"/>
          <w:sz w:val="20"/>
        </w:rPr>
      </w:pPr>
      <w:r>
        <w:rPr>
          <w:rFonts w:ascii="Calibri;sans-serif" w:hAnsi="Calibri;sans-serif"/>
          <w:b w:val="false"/>
          <w:sz w:val="20"/>
        </w:rPr>
        <w:t>On May 25, 2022, our board of directors authorized a share repurchase program of our Class A common stock of up to $40.0</w:t>
      </w:r>
      <w:r>
        <w:rPr>
          <w:rFonts w:ascii="Times New Roman" w:hAnsi="Times New Roman"/>
          <w:sz w:val="20"/>
        </w:rPr>
        <w:t xml:space="preserve"> </w:t>
      </w:r>
      <w:r>
        <w:rPr>
          <w:rFonts w:ascii="Calibri;sans-serif" w:hAnsi="Calibri;sans-serif"/>
          <w:b w:val="false"/>
          <w:sz w:val="20"/>
        </w:rPr>
        <w:t>million ("Repurchase Program"). The Repurchase Program was announced on May 26, 2022 and was effective through March 31, 2023. For the period ended March 31, 2023, we repurchased 1.0</w:t>
      </w:r>
      <w:r>
        <w:rPr>
          <w:rFonts w:ascii="Times New Roman" w:hAnsi="Times New Roman"/>
          <w:sz w:val="20"/>
        </w:rPr>
        <w:t xml:space="preserve"> </w:t>
      </w:r>
      <w:r>
        <w:rPr>
          <w:rFonts w:ascii="Calibri;sans-serif" w:hAnsi="Calibri;sans-serif"/>
          <w:b w:val="false"/>
          <w:sz w:val="20"/>
        </w:rPr>
        <w:t>million shares of our Class A common stock for $7.6</w:t>
      </w:r>
      <w:r>
        <w:rPr>
          <w:rFonts w:ascii="Times New Roman" w:hAnsi="Times New Roman"/>
          <w:sz w:val="20"/>
        </w:rPr>
        <w:t xml:space="preserve"> </w:t>
      </w:r>
      <w:r>
        <w:rPr>
          <w:rFonts w:ascii="Calibri;sans-serif" w:hAnsi="Calibri;sans-serif"/>
          <w:b w:val="false"/>
          <w:sz w:val="20"/>
        </w:rPr>
        <w:t>million under the Repurchase Program and paid less than $0.1</w:t>
      </w:r>
      <w:r>
        <w:rPr>
          <w:rFonts w:ascii="Times New Roman" w:hAnsi="Times New Roman"/>
          <w:sz w:val="20"/>
        </w:rPr>
        <w:t xml:space="preserve"> </w:t>
      </w:r>
      <w:r>
        <w:rPr>
          <w:rFonts w:ascii="Calibri;sans-serif" w:hAnsi="Calibri;sans-serif"/>
          <w:b w:val="false"/>
          <w:sz w:val="20"/>
        </w:rPr>
        <w:t>million in commissions. Cumulatively under the Repurchase Program, we repurchased 5.3</w:t>
      </w:r>
      <w:r>
        <w:rPr>
          <w:rFonts w:ascii="Times New Roman" w:hAnsi="Times New Roman"/>
          <w:sz w:val="20"/>
        </w:rPr>
        <w:t xml:space="preserve"> </w:t>
      </w:r>
      <w:r>
        <w:rPr>
          <w:rFonts w:ascii="Calibri;sans-serif" w:hAnsi="Calibri;sans-serif"/>
          <w:b w:val="false"/>
          <w:sz w:val="20"/>
        </w:rPr>
        <w:t>million shares of our Class A common stock for $40.0</w:t>
      </w:r>
      <w:r>
        <w:rPr>
          <w:rFonts w:ascii="Times New Roman" w:hAnsi="Times New Roman"/>
          <w:sz w:val="20"/>
        </w:rPr>
        <w:t xml:space="preserve"> </w:t>
      </w:r>
      <w:r>
        <w:rPr>
          <w:rFonts w:ascii="Calibri;sans-serif" w:hAnsi="Calibri;sans-serif"/>
          <w:b w:val="false"/>
          <w:sz w:val="20"/>
        </w:rPr>
        <w:t>million and paid $0.1</w:t>
      </w:r>
      <w:r>
        <w:rPr>
          <w:rFonts w:ascii="Times New Roman" w:hAnsi="Times New Roman"/>
          <w:sz w:val="20"/>
        </w:rPr>
        <w:t xml:space="preserve"> </w:t>
      </w:r>
      <w:r>
        <w:rPr>
          <w:rFonts w:ascii="Calibri;sans-serif" w:hAnsi="Calibri;sans-serif"/>
          <w:b w:val="false"/>
          <w:sz w:val="20"/>
        </w:rPr>
        <w:t>million in commissions. The share repurchases are accounted for as Treasury stock in the Condensed Consolidated Balance Sheets.</w:t>
      </w:r>
    </w:p>
    <w:p>
      <w:pPr>
        <w:pStyle w:val="TextBody"/>
        <w:spacing w:before="160" w:after="120"/>
        <w:jc w:val="left"/>
        <w:rPr>
          <w:rFonts w:ascii="Calibri;sans-serif" w:hAnsi="Calibri;sans-serif"/>
          <w:b/>
          <w:smallCaps/>
          <w:sz w:val="20"/>
        </w:rPr>
      </w:pPr>
      <w:r>
        <w:rPr>
          <w:rFonts w:ascii="Calibri;sans-serif" w:hAnsi="Calibri;sans-serif"/>
          <w:b/>
          <w:smallCaps/>
          <w:sz w:val="20"/>
        </w:rPr>
        <w:t>12. Related-Party Transactions</w:t>
      </w:r>
    </w:p>
    <w:p>
      <w:pPr>
        <w:pStyle w:val="TextBody"/>
        <w:spacing w:before="160" w:after="120"/>
        <w:jc w:val="both"/>
        <w:rPr>
          <w:rFonts w:ascii="Calibri;sans-serif" w:hAnsi="Calibri;sans-serif"/>
          <w:b w:val="false"/>
          <w:i/>
          <w:sz w:val="20"/>
        </w:rPr>
      </w:pPr>
      <w:r>
        <w:rPr>
          <w:rFonts w:ascii="Calibri;sans-serif" w:hAnsi="Calibri;sans-serif"/>
          <w:b w:val="false"/>
          <w:i/>
          <w:sz w:val="20"/>
        </w:rPr>
        <w:t>Vivid Cheers Inc.</w:t>
      </w:r>
    </w:p>
    <w:p>
      <w:pPr>
        <w:pStyle w:val="TextBody"/>
        <w:spacing w:before="160" w:after="120"/>
        <w:jc w:val="both"/>
        <w:rPr>
          <w:rFonts w:ascii="Times New Roman" w:hAnsi="Times New Roman"/>
          <w:sz w:val="20"/>
        </w:rPr>
      </w:pPr>
      <w:r>
        <w:rPr>
          <w:rFonts w:ascii="Calibri;sans-serif" w:hAnsi="Calibri;sans-serif"/>
          <w:b w:val="false"/>
          <w:sz w:val="20"/>
        </w:rPr>
        <w:t>In December 2020, Vivid Cheers Inc. (“Vivid Cheers”) was incorporated as a non-profit organization within the meaning of Section 501(c)(3) of the Internal Revenue Code. Vivid Cheers’ mission is to support causes and organizations dedicated to healthcare, education, and support of workers in the live events industry during times of</w:t>
      </w:r>
      <w:r>
        <w:rPr>
          <w:rFonts w:ascii="Times New Roman" w:hAnsi="Times New Roman"/>
          <w:sz w:val="20"/>
        </w:rPr>
        <w:t xml:space="preserve"> </w:t>
      </w:r>
    </w:p>
    <w:p>
      <w:pPr>
        <w:pStyle w:val="TextBody"/>
        <w:spacing w:before="0" w:after="0"/>
        <w:jc w:val="center"/>
        <w:rPr>
          <w:rFonts w:ascii="Calibri;sans-serif" w:hAnsi="Calibri;sans-serif"/>
          <w:b w:val="false"/>
          <w:sz w:val="20"/>
        </w:rPr>
      </w:pPr>
      <w:r>
        <w:rPr>
          <w:rFonts w:ascii="Calibri;sans-serif" w:hAnsi="Calibri;sans-serif"/>
          <w:b w:val="false"/>
          <w:sz w:val="20"/>
        </w:rPr>
        <w:t>16</w:t>
      </w:r>
    </w:p>
    <w:p>
      <w:pPr>
        <w:pStyle w:val="HorizontalLine"/>
        <w:rPr/>
      </w:pPr>
      <w:r>
        <w:rPr/>
      </w:r>
    </w:p>
    <w:p>
      <w:pPr>
        <w:pStyle w:val="TextBody"/>
        <w:spacing w:before="0" w:after="0"/>
        <w:jc w:val="center"/>
        <w:rPr>
          <w:rFonts w:ascii="Calibri;sans-serif" w:hAnsi="Calibri;sans-serif"/>
          <w:b/>
          <w:caps/>
          <w:sz w:val="20"/>
        </w:rPr>
      </w:pPr>
      <w:r>
        <w:rPr>
          <w:rFonts w:ascii="Calibri;sans-serif" w:hAnsi="Calibri;sans-serif"/>
          <w:b/>
          <w:caps/>
          <w:sz w:val="20"/>
        </w:rPr>
        <w:t>Vivid Seats INC.</w:t>
      </w:r>
    </w:p>
    <w:p>
      <w:pPr>
        <w:pStyle w:val="TextBody"/>
        <w:spacing w:before="0" w:after="0"/>
        <w:jc w:val="center"/>
        <w:rPr>
          <w:rFonts w:ascii="Calibri;sans-serif" w:hAnsi="Calibri;sans-serif"/>
          <w:b/>
          <w:caps/>
          <w:sz w:val="20"/>
        </w:rPr>
      </w:pPr>
      <w:r>
        <w:rPr>
          <w:rFonts w:ascii="Calibri;sans-serif" w:hAnsi="Calibri;sans-serif"/>
          <w:b/>
          <w:caps/>
          <w:sz w:val="20"/>
        </w:rPr>
        <w:t>NOTES to the CONDENSED Consolidated Financial Statements</w:t>
      </w:r>
    </w:p>
    <w:p>
      <w:pPr>
        <w:pStyle w:val="TextBody"/>
        <w:spacing w:before="0" w:after="0"/>
        <w:jc w:val="center"/>
        <w:rPr>
          <w:rFonts w:ascii="Calibri;sans-serif" w:hAnsi="Calibri;sans-serif"/>
          <w:b/>
          <w:caps/>
          <w:sz w:val="20"/>
        </w:rPr>
      </w:pPr>
      <w:r>
        <w:rPr>
          <w:rFonts w:ascii="Calibri;sans-serif" w:hAnsi="Calibri;sans-serif"/>
          <w:b/>
          <w:caps/>
          <w:sz w:val="20"/>
        </w:rPr>
        <w:t>(UNAUDITED)</w:t>
      </w:r>
    </w:p>
    <w:p>
      <w:pPr>
        <w:pStyle w:val="TextBody"/>
        <w:spacing w:before="0" w:after="0"/>
        <w:jc w:val="left"/>
        <w:rPr/>
      </w:pPr>
      <w:r>
        <w:rPr/>
        <w:t> </w:t>
      </w:r>
    </w:p>
    <w:p>
      <w:pPr>
        <w:pStyle w:val="TextBody"/>
        <w:spacing w:before="0" w:after="0"/>
        <w:jc w:val="left"/>
        <w:rPr/>
      </w:pPr>
      <w:r>
        <w:rPr/>
        <w:t> </w:t>
      </w:r>
    </w:p>
    <w:p>
      <w:pPr>
        <w:pStyle w:val="TextBody"/>
        <w:spacing w:before="160" w:after="120"/>
        <w:jc w:val="both"/>
        <w:rPr>
          <w:rFonts w:ascii="Times New Roman" w:hAnsi="Times New Roman"/>
          <w:sz w:val="20"/>
        </w:rPr>
      </w:pPr>
      <w:r>
        <w:rPr>
          <w:rFonts w:ascii="Calibri;sans-serif" w:hAnsi="Calibri;sans-serif"/>
          <w:b w:val="false"/>
          <w:sz w:val="20"/>
        </w:rPr>
        <w:t>need. We have the right to elect the Board of Directors of Vivid Cheers, which currently comprises our executives. We do not have a controlling financial interest in Vivid Cheers, and accordingly, do not consolidate Vivid Cheers’ statement of activities with its financial results. We made no</w:t>
      </w:r>
      <w:r>
        <w:rPr>
          <w:rFonts w:ascii="Times New Roman" w:hAnsi="Times New Roman"/>
          <w:sz w:val="20"/>
        </w:rPr>
        <w:t xml:space="preserve"> </w:t>
      </w:r>
      <w:r>
        <w:rPr>
          <w:rFonts w:ascii="Calibri;sans-serif" w:hAnsi="Calibri;sans-serif"/>
          <w:b w:val="false"/>
          <w:sz w:val="20"/>
        </w:rPr>
        <w:t>charitable contributions to Vivid Cheers during the three months ended March 31, 2023. We made charitable contributions to Vivid Cheers of $0.6</w:t>
      </w:r>
      <w:r>
        <w:rPr>
          <w:rFonts w:ascii="Times New Roman" w:hAnsi="Times New Roman"/>
          <w:sz w:val="20"/>
        </w:rPr>
        <w:t xml:space="preserve"> </w:t>
      </w:r>
      <w:r>
        <w:rPr>
          <w:rFonts w:ascii="Calibri;sans-serif" w:hAnsi="Calibri;sans-serif"/>
          <w:b w:val="false"/>
          <w:sz w:val="20"/>
        </w:rPr>
        <w:t>million</w:t>
      </w:r>
      <w:r>
        <w:rPr>
          <w:rFonts w:ascii="Times New Roman" w:hAnsi="Times New Roman"/>
          <w:sz w:val="20"/>
        </w:rPr>
        <w:t xml:space="preserve"> </w:t>
      </w:r>
      <w:r>
        <w:rPr>
          <w:rFonts w:ascii="Calibri;sans-serif" w:hAnsi="Calibri;sans-serif"/>
          <w:b w:val="false"/>
          <w:sz w:val="20"/>
        </w:rPr>
        <w:t>during the three months ended March 31, 2022. We had no</w:t>
      </w:r>
      <w:r>
        <w:rPr>
          <w:rFonts w:ascii="Times New Roman" w:hAnsi="Times New Roman"/>
          <w:sz w:val="20"/>
        </w:rPr>
        <w:t xml:space="preserve"> </w:t>
      </w:r>
      <w:r>
        <w:rPr>
          <w:rFonts w:ascii="Calibri;sans-serif" w:hAnsi="Calibri;sans-serif"/>
          <w:b w:val="false"/>
          <w:sz w:val="20"/>
        </w:rPr>
        <w:t>accrued charitable contributions payable as of March 31, 2023 and December 31, 2022.</w:t>
      </w:r>
    </w:p>
    <w:p>
      <w:pPr>
        <w:pStyle w:val="TextBody"/>
        <w:spacing w:before="160" w:after="120"/>
        <w:jc w:val="both"/>
        <w:rPr>
          <w:rFonts w:ascii="Calibri;sans-serif" w:hAnsi="Calibri;sans-serif"/>
          <w:b w:val="false"/>
          <w:i/>
          <w:sz w:val="20"/>
        </w:rPr>
      </w:pPr>
      <w:r>
        <w:rPr>
          <w:rFonts w:ascii="Calibri;sans-serif" w:hAnsi="Calibri;sans-serif"/>
          <w:b w:val="false"/>
          <w:i/>
          <w:sz w:val="20"/>
        </w:rPr>
        <w:t>Viral Nation Inc.</w:t>
      </w:r>
    </w:p>
    <w:p>
      <w:pPr>
        <w:pStyle w:val="TextBody"/>
        <w:spacing w:before="160" w:after="120"/>
        <w:jc w:val="both"/>
        <w:rPr>
          <w:rFonts w:ascii="Times New Roman" w:hAnsi="Times New Roman"/>
          <w:sz w:val="20"/>
        </w:rPr>
      </w:pPr>
      <w:r>
        <w:rPr>
          <w:rFonts w:ascii="Calibri;sans-serif" w:hAnsi="Calibri;sans-serif"/>
          <w:b w:val="false"/>
          <w:sz w:val="20"/>
        </w:rPr>
        <w:t>Viral Nation Inc. ("Viral Nation") is a marketing agency that creates viral and social media influencer campaigns and provides advertising, marketing, and technology services. Todd Boehly, a member of our Board, is the co-founder, Chairman and CEO of Eldridge Industries, which owns in excess of 25% of Viral Nation. We incurred no</w:t>
      </w:r>
      <w:r>
        <w:rPr>
          <w:rFonts w:ascii="Times New Roman" w:hAnsi="Times New Roman"/>
          <w:sz w:val="20"/>
        </w:rPr>
        <w:t xml:space="preserve"> </w:t>
      </w:r>
      <w:r>
        <w:rPr>
          <w:rFonts w:ascii="Calibri;sans-serif" w:hAnsi="Calibri;sans-serif"/>
          <w:b w:val="false"/>
          <w:sz w:val="20"/>
        </w:rPr>
        <w:t>expense and $0.1</w:t>
      </w:r>
      <w:r>
        <w:rPr>
          <w:rFonts w:ascii="Times New Roman" w:hAnsi="Times New Roman"/>
          <w:sz w:val="20"/>
        </w:rPr>
        <w:t xml:space="preserve"> </w:t>
      </w:r>
      <w:r>
        <w:rPr>
          <w:rFonts w:ascii="Calibri;sans-serif" w:hAnsi="Calibri;sans-serif"/>
          <w:b w:val="false"/>
          <w:sz w:val="20"/>
        </w:rPr>
        <w:t>million for the</w:t>
      </w:r>
      <w:r>
        <w:rPr>
          <w:rFonts w:ascii="Times New Roman" w:hAnsi="Times New Roman"/>
          <w:sz w:val="20"/>
        </w:rPr>
        <w:t xml:space="preserve"> </w:t>
      </w:r>
      <w:r>
        <w:rPr>
          <w:rFonts w:ascii="Calibri;sans-serif" w:hAnsi="Calibri;sans-serif"/>
          <w:b w:val="false"/>
          <w:sz w:val="20"/>
        </w:rPr>
        <w:t>three months ended March 31, 2023 and 2022, respectively, which is presented in Marketing and selling expenses in the Consolidated Statements of Operations.</w:t>
      </w:r>
    </w:p>
    <w:p>
      <w:pPr>
        <w:pStyle w:val="TextBody"/>
        <w:spacing w:before="160" w:after="120"/>
        <w:jc w:val="both"/>
        <w:rPr>
          <w:rFonts w:ascii="Calibri;sans-serif" w:hAnsi="Calibri;sans-serif"/>
          <w:b w:val="false"/>
          <w:i/>
          <w:sz w:val="20"/>
        </w:rPr>
      </w:pPr>
      <w:r>
        <w:rPr>
          <w:rFonts w:ascii="Calibri;sans-serif" w:hAnsi="Calibri;sans-serif"/>
          <w:b w:val="false"/>
          <w:i/>
          <w:sz w:val="20"/>
        </w:rPr>
        <w:t>Rolling Stone</w:t>
      </w:r>
    </w:p>
    <w:p>
      <w:pPr>
        <w:pStyle w:val="TextBody"/>
        <w:spacing w:before="160" w:after="120"/>
        <w:jc w:val="both"/>
        <w:rPr>
          <w:rFonts w:ascii="Times New Roman" w:hAnsi="Times New Roman"/>
          <w:sz w:val="20"/>
        </w:rPr>
      </w:pPr>
      <w:r>
        <w:rPr>
          <w:rFonts w:ascii="Calibri;sans-serif" w:hAnsi="Calibri;sans-serif"/>
          <w:b w:val="false"/>
          <w:sz w:val="20"/>
        </w:rPr>
        <w:t>Rolling Stone is a high-profile magazine and media platform that focuses on music, film, TV, and news coverages. Todd Boehly, a member of our Board, is the co-founder, Chairman and CEO of Eldridge Industries, which owns in excess of 20% of Rolling Stone. We incurred an expense of $0.3</w:t>
      </w:r>
      <w:r>
        <w:rPr>
          <w:rFonts w:ascii="Times New Roman" w:hAnsi="Times New Roman"/>
          <w:sz w:val="20"/>
        </w:rPr>
        <w:t xml:space="preserve"> </w:t>
      </w:r>
      <w:r>
        <w:rPr>
          <w:rFonts w:ascii="Calibri;sans-serif" w:hAnsi="Calibri;sans-serif"/>
          <w:b w:val="false"/>
          <w:sz w:val="20"/>
        </w:rPr>
        <w:t>million and $0.1</w:t>
      </w:r>
      <w:r>
        <w:rPr>
          <w:rFonts w:ascii="Times New Roman" w:hAnsi="Times New Roman"/>
          <w:sz w:val="20"/>
        </w:rPr>
        <w:t xml:space="preserve"> </w:t>
      </w:r>
      <w:r>
        <w:rPr>
          <w:rFonts w:ascii="Calibri;sans-serif" w:hAnsi="Calibri;sans-serif"/>
          <w:b w:val="false"/>
          <w:sz w:val="20"/>
        </w:rPr>
        <w:t>million as part of our multifaceted partnership with Rolling Stone for the three months ended March 31, 2023 and 2022, respectively, which is presented in Marketing and selling expenses in the Consolidated Statements of Operations.</w:t>
      </w:r>
    </w:p>
    <w:p>
      <w:pPr>
        <w:pStyle w:val="TextBody"/>
        <w:spacing w:before="160" w:after="120"/>
        <w:jc w:val="both"/>
        <w:rPr>
          <w:rFonts w:ascii="Calibri;sans-serif" w:hAnsi="Calibri;sans-serif"/>
          <w:b w:val="false"/>
          <w:i/>
          <w:sz w:val="20"/>
        </w:rPr>
      </w:pPr>
      <w:r>
        <w:rPr>
          <w:rFonts w:ascii="Calibri;sans-serif" w:hAnsi="Calibri;sans-serif"/>
          <w:b w:val="false"/>
          <w:i/>
          <w:sz w:val="20"/>
        </w:rPr>
        <w:t>Khoros, LLC</w:t>
      </w:r>
    </w:p>
    <w:p>
      <w:pPr>
        <w:pStyle w:val="TextBody"/>
        <w:spacing w:before="160" w:after="120"/>
        <w:jc w:val="both"/>
        <w:rPr>
          <w:rFonts w:ascii="Times New Roman" w:hAnsi="Times New Roman"/>
          <w:sz w:val="20"/>
        </w:rPr>
      </w:pPr>
      <w:r>
        <w:rPr>
          <w:rFonts w:ascii="Calibri;sans-serif" w:hAnsi="Calibri;sans-serif"/>
          <w:b w:val="false"/>
          <w:sz w:val="20"/>
        </w:rPr>
        <w:t>Khoros, LLC ("Khoros") is a social media engagement and management platform. Martin Taylor, a member of our Board, is a principal at Vista Equity Partners, which is one of our investors and a majority owner of Khoros. We incurred an expense of less than $0.1</w:t>
      </w:r>
      <w:r>
        <w:rPr>
          <w:rFonts w:ascii="Times New Roman" w:hAnsi="Times New Roman"/>
          <w:sz w:val="20"/>
        </w:rPr>
        <w:t xml:space="preserve"> </w:t>
      </w:r>
      <w:r>
        <w:rPr>
          <w:rFonts w:ascii="Calibri;sans-serif" w:hAnsi="Calibri;sans-serif"/>
          <w:b w:val="false"/>
          <w:sz w:val="20"/>
        </w:rPr>
        <w:t>million for the three months ended March 31, 2023, which is presented in General and administrative expenses in the Consolidated Statements of Operations. There was no</w:t>
      </w:r>
      <w:r>
        <w:rPr>
          <w:rFonts w:ascii="Times New Roman" w:hAnsi="Times New Roman"/>
          <w:sz w:val="20"/>
        </w:rPr>
        <w:t xml:space="preserve"> </w:t>
      </w:r>
      <w:r>
        <w:rPr>
          <w:rFonts w:ascii="Calibri;sans-serif" w:hAnsi="Calibri;sans-serif"/>
          <w:b w:val="false"/>
          <w:sz w:val="20"/>
        </w:rPr>
        <w:t>expense for the three months ended March 31, 2022.</w:t>
      </w:r>
    </w:p>
    <w:p>
      <w:pPr>
        <w:pStyle w:val="TextBody"/>
        <w:spacing w:before="160" w:after="120"/>
        <w:jc w:val="left"/>
        <w:rPr>
          <w:rFonts w:ascii="Calibri;sans-serif" w:hAnsi="Calibri;sans-serif"/>
          <w:b/>
          <w:smallCaps/>
          <w:sz w:val="20"/>
        </w:rPr>
      </w:pPr>
      <w:r>
        <w:rPr>
          <w:rFonts w:ascii="Calibri;sans-serif" w:hAnsi="Calibri;sans-serif"/>
          <w:b/>
          <w:smallCaps/>
          <w:sz w:val="20"/>
        </w:rPr>
        <w:t>13. Income Taxes</w:t>
      </w:r>
    </w:p>
    <w:p>
      <w:pPr>
        <w:pStyle w:val="TextBody"/>
        <w:spacing w:before="160" w:after="120"/>
        <w:jc w:val="both"/>
        <w:rPr>
          <w:rFonts w:ascii="Calibri;sans-serif" w:hAnsi="Calibri;sans-serif"/>
          <w:b w:val="false"/>
          <w:sz w:val="20"/>
        </w:rPr>
      </w:pPr>
      <w:r>
        <w:rPr>
          <w:rFonts w:ascii="Calibri;sans-serif" w:hAnsi="Calibri;sans-serif"/>
          <w:b w:val="false"/>
          <w:sz w:val="20"/>
        </w:rPr>
        <w:t>We recorded a valuation allowance against our net deferred tax asset as of March 31, 2023 and December 31, 2022. We expect to continue maintaining a full valuation allowance on our net deferred tax asset until there is sufficient positive evidence to support the reversal of a portion of this allowance. However, given our current earnings and anticipated future earnings, we believe that there is a reasonable possibility that within the next 3 to 6 months, sufficient positive evidence may become available to allow us to reach a conclusion that a significant portion or the entirety of the valuation allowance will no longer be necessary to be recorded against our net deferred tax asset. Release of the valuation allowance would result in the recognition of previously unrecognized deferred tax assets and an income tax benefit in the period in which the release of the valuation allowance is recorded. However, the exact timing and amount of the valuation allowance release are subject to change on the basis of the level of positive evidence becoming available.</w:t>
      </w:r>
    </w:p>
    <w:p>
      <w:pPr>
        <w:pStyle w:val="TextBody"/>
        <w:spacing w:before="160" w:after="120"/>
        <w:jc w:val="both"/>
        <w:rPr>
          <w:rFonts w:ascii="Times New Roman" w:hAnsi="Times New Roman"/>
          <w:sz w:val="20"/>
        </w:rPr>
      </w:pPr>
      <w:r>
        <w:rPr>
          <w:rFonts w:ascii="Calibri;sans-serif" w:hAnsi="Calibri;sans-serif"/>
          <w:b w:val="false"/>
          <w:sz w:val="20"/>
        </w:rPr>
        <w:t>For the three months ended March 31, 2023 and 2022, we recorded a $0.3</w:t>
      </w:r>
      <w:r>
        <w:rPr>
          <w:rFonts w:ascii="Times New Roman" w:hAnsi="Times New Roman"/>
          <w:sz w:val="20"/>
        </w:rPr>
        <w:t xml:space="preserve"> </w:t>
      </w:r>
      <w:r>
        <w:rPr>
          <w:rFonts w:ascii="Calibri;sans-serif" w:hAnsi="Calibri;sans-serif"/>
          <w:b w:val="false"/>
          <w:sz w:val="20"/>
        </w:rPr>
        <w:t>million and $0.1</w:t>
      </w:r>
      <w:r>
        <w:rPr>
          <w:rFonts w:ascii="Times New Roman" w:hAnsi="Times New Roman"/>
          <w:sz w:val="20"/>
        </w:rPr>
        <w:t xml:space="preserve"> </w:t>
      </w:r>
      <w:r>
        <w:rPr>
          <w:rFonts w:ascii="Calibri;sans-serif" w:hAnsi="Calibri;sans-serif"/>
          <w:b w:val="false"/>
          <w:sz w:val="20"/>
        </w:rPr>
        <w:t>million income tax expense in continuing operations, respectively. Our effective income tax rate differs from the 21% U.S. federal statutory rate due to a non-controlling interest adjustment for VSI's allocable share of Hoya Intermediate's income, release of valuation allowances due to utilization of attributes, and state taxes.</w:t>
      </w:r>
    </w:p>
    <w:p>
      <w:pPr>
        <w:pStyle w:val="TextBody"/>
        <w:spacing w:before="160" w:after="120"/>
        <w:jc w:val="left"/>
        <w:rPr>
          <w:rFonts w:ascii="Calibri;sans-serif" w:hAnsi="Calibri;sans-serif"/>
          <w:b/>
          <w:smallCaps/>
          <w:sz w:val="20"/>
        </w:rPr>
      </w:pPr>
      <w:r>
        <w:rPr>
          <w:rFonts w:ascii="Calibri;sans-serif" w:hAnsi="Calibri;sans-serif"/>
          <w:b/>
          <w:smallCaps/>
          <w:sz w:val="20"/>
        </w:rPr>
        <w:t>14. Equity Based Compensation</w:t>
      </w:r>
    </w:p>
    <w:p>
      <w:pPr>
        <w:pStyle w:val="TextBody"/>
        <w:spacing w:before="0" w:after="0"/>
        <w:jc w:val="center"/>
        <w:rPr>
          <w:rFonts w:ascii="Calibri;sans-serif" w:hAnsi="Calibri;sans-serif"/>
          <w:b w:val="false"/>
          <w:sz w:val="20"/>
        </w:rPr>
      </w:pPr>
      <w:r>
        <w:rPr>
          <w:rFonts w:ascii="Calibri;sans-serif" w:hAnsi="Calibri;sans-serif"/>
          <w:b w:val="false"/>
          <w:sz w:val="20"/>
        </w:rPr>
        <w:t>17</w:t>
      </w:r>
    </w:p>
    <w:p>
      <w:pPr>
        <w:pStyle w:val="HorizontalLine"/>
        <w:rPr/>
      </w:pPr>
      <w:r>
        <w:rPr/>
      </w:r>
    </w:p>
    <w:p>
      <w:pPr>
        <w:pStyle w:val="TextBody"/>
        <w:spacing w:before="0" w:after="0"/>
        <w:jc w:val="center"/>
        <w:rPr>
          <w:rFonts w:ascii="Calibri;sans-serif" w:hAnsi="Calibri;sans-serif"/>
          <w:b/>
          <w:caps/>
          <w:sz w:val="20"/>
        </w:rPr>
      </w:pPr>
      <w:r>
        <w:rPr>
          <w:rFonts w:ascii="Calibri;sans-serif" w:hAnsi="Calibri;sans-serif"/>
          <w:b/>
          <w:caps/>
          <w:sz w:val="20"/>
        </w:rPr>
        <w:t>Vivid Seats INC.</w:t>
      </w:r>
    </w:p>
    <w:p>
      <w:pPr>
        <w:pStyle w:val="TextBody"/>
        <w:spacing w:before="0" w:after="0"/>
        <w:jc w:val="center"/>
        <w:rPr>
          <w:rFonts w:ascii="Calibri;sans-serif" w:hAnsi="Calibri;sans-serif"/>
          <w:b/>
          <w:caps/>
          <w:sz w:val="20"/>
        </w:rPr>
      </w:pPr>
      <w:r>
        <w:rPr>
          <w:rFonts w:ascii="Calibri;sans-serif" w:hAnsi="Calibri;sans-serif"/>
          <w:b/>
          <w:caps/>
          <w:sz w:val="20"/>
        </w:rPr>
        <w:t>NOTES to the CONDENSED Consolidated Financial Statements</w:t>
      </w:r>
    </w:p>
    <w:p>
      <w:pPr>
        <w:pStyle w:val="TextBody"/>
        <w:spacing w:before="0" w:after="0"/>
        <w:jc w:val="center"/>
        <w:rPr>
          <w:rFonts w:ascii="Calibri;sans-serif" w:hAnsi="Calibri;sans-serif"/>
          <w:b/>
          <w:caps/>
          <w:sz w:val="20"/>
        </w:rPr>
      </w:pPr>
      <w:r>
        <w:rPr>
          <w:rFonts w:ascii="Calibri;sans-serif" w:hAnsi="Calibri;sans-serif"/>
          <w:b/>
          <w:caps/>
          <w:sz w:val="20"/>
        </w:rPr>
        <w:t>(UNAUDITED)</w:t>
      </w:r>
    </w:p>
    <w:p>
      <w:pPr>
        <w:pStyle w:val="TextBody"/>
        <w:spacing w:before="0" w:after="0"/>
        <w:jc w:val="left"/>
        <w:rPr/>
      </w:pPr>
      <w:r>
        <w:rPr/>
        <w:t> </w:t>
      </w:r>
    </w:p>
    <w:p>
      <w:pPr>
        <w:pStyle w:val="TextBody"/>
        <w:spacing w:before="0" w:after="0"/>
        <w:jc w:val="left"/>
        <w:rPr/>
      </w:pPr>
      <w:r>
        <w:rPr/>
        <w:t> </w:t>
      </w:r>
    </w:p>
    <w:p>
      <w:pPr>
        <w:pStyle w:val="TextBody"/>
        <w:spacing w:before="160" w:after="120"/>
        <w:jc w:val="both"/>
        <w:rPr>
          <w:rFonts w:ascii="Calibri;sans-serif" w:hAnsi="Calibri;sans-serif"/>
          <w:b w:val="false"/>
          <w:sz w:val="20"/>
        </w:rPr>
      </w:pPr>
      <w:r>
        <w:rPr>
          <w:rFonts w:ascii="Calibri;sans-serif" w:hAnsi="Calibri;sans-serif"/>
          <w:b w:val="false"/>
          <w:sz w:val="20"/>
        </w:rPr>
        <w:t>The 2021 Incentive Award Plan ("2021 Plan") was approved and adopted in order to facilitate the grant of equity incentive awards to our employees, directors and consultants. The 2021 Plan became effective on October 18, 2021 upon closing of the Merger Transaction.</w:t>
      </w:r>
    </w:p>
    <w:p>
      <w:pPr>
        <w:pStyle w:val="TextBody"/>
        <w:spacing w:before="160" w:after="120"/>
        <w:jc w:val="both"/>
        <w:rPr>
          <w:rFonts w:ascii="Calibri;sans-serif" w:hAnsi="Calibri;sans-serif"/>
          <w:b w:val="false"/>
          <w:i/>
          <w:sz w:val="20"/>
        </w:rPr>
      </w:pPr>
      <w:r>
        <w:rPr>
          <w:rFonts w:ascii="Calibri;sans-serif" w:hAnsi="Calibri;sans-serif"/>
          <w:b w:val="false"/>
          <w:i/>
          <w:sz w:val="20"/>
        </w:rPr>
        <w:t>Restricted Stock Units ("RSUs")</w:t>
      </w:r>
    </w:p>
    <w:p>
      <w:pPr>
        <w:pStyle w:val="TextBody"/>
        <w:spacing w:before="160" w:after="120"/>
        <w:jc w:val="both"/>
        <w:rPr>
          <w:rFonts w:ascii="Times New Roman" w:hAnsi="Times New Roman"/>
          <w:sz w:val="20"/>
        </w:rPr>
      </w:pPr>
      <w:r>
        <w:rPr>
          <w:rFonts w:ascii="Calibri;sans-serif" w:hAnsi="Calibri;sans-serif"/>
          <w:b w:val="false"/>
          <w:sz w:val="20"/>
        </w:rPr>
        <w:t>On March 11, 2023, we granted 2.5</w:t>
      </w:r>
      <w:r>
        <w:rPr>
          <w:rFonts w:ascii="Times New Roman" w:hAnsi="Times New Roman"/>
          <w:sz w:val="20"/>
        </w:rPr>
        <w:t xml:space="preserve"> </w:t>
      </w:r>
      <w:r>
        <w:rPr>
          <w:rFonts w:ascii="Calibri;sans-serif" w:hAnsi="Calibri;sans-serif"/>
          <w:b w:val="false"/>
          <w:sz w:val="20"/>
        </w:rPr>
        <w:t>million RSUs to certain employees at a weighted average grant date fair value of $7.17</w:t>
      </w:r>
      <w:r>
        <w:rPr>
          <w:rFonts w:ascii="Times New Roman" w:hAnsi="Times New Roman"/>
          <w:sz w:val="20"/>
        </w:rPr>
        <w:t xml:space="preserve"> </w:t>
      </w:r>
      <w:r>
        <w:rPr>
          <w:rFonts w:ascii="Calibri;sans-serif" w:hAnsi="Calibri;sans-serif"/>
          <w:b w:val="false"/>
          <w:sz w:val="20"/>
        </w:rPr>
        <w:t>per share. RSUs granted to employees vest over three years, with one-third vesting upon the one-year anniversary of the grant date and the remaining portion vesting on a quarterly basis thereafter, subject to the employee’s continued employment through the applicable vesting date.</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sz w:val="20"/>
        </w:rPr>
        <w:t>We account for forfeitures of outstanding, but unvested grants, in the period they occur. During the three months ended March 31, 2023, there were less than 0.1</w:t>
      </w:r>
      <w:r>
        <w:rPr>
          <w:rFonts w:ascii="Times New Roman" w:hAnsi="Times New Roman"/>
          <w:sz w:val="20"/>
        </w:rPr>
        <w:t xml:space="preserve"> </w:t>
      </w:r>
      <w:r>
        <w:rPr>
          <w:rFonts w:ascii="Calibri;sans-serif" w:hAnsi="Calibri;sans-serif"/>
          <w:b w:val="false"/>
          <w:sz w:val="20"/>
        </w:rPr>
        <w:t>million RSUs forfeited. During the three months ended March 31, 2023 and 2022, 0.5</w:t>
      </w:r>
      <w:r>
        <w:rPr>
          <w:rFonts w:ascii="Times New Roman" w:hAnsi="Times New Roman"/>
          <w:sz w:val="20"/>
        </w:rPr>
        <w:t xml:space="preserve"> </w:t>
      </w:r>
      <w:r>
        <w:rPr>
          <w:rFonts w:ascii="Calibri;sans-serif" w:hAnsi="Calibri;sans-serif"/>
          <w:b w:val="false"/>
          <w:sz w:val="20"/>
        </w:rPr>
        <w:t>million and less than 0.1</w:t>
      </w:r>
      <w:r>
        <w:rPr>
          <w:rFonts w:ascii="Times New Roman" w:hAnsi="Times New Roman"/>
          <w:sz w:val="20"/>
        </w:rPr>
        <w:t xml:space="preserve"> </w:t>
      </w:r>
      <w:r>
        <w:rPr>
          <w:rFonts w:ascii="Calibri;sans-serif" w:hAnsi="Calibri;sans-serif"/>
          <w:b w:val="false"/>
          <w:sz w:val="20"/>
        </w:rPr>
        <w:t>million RSUs vested, respectively. At March 31, 2023, we had 4.5</w:t>
      </w:r>
      <w:r>
        <w:rPr>
          <w:rFonts w:ascii="Times New Roman" w:hAnsi="Times New Roman"/>
          <w:sz w:val="20"/>
        </w:rPr>
        <w:t xml:space="preserve"> </w:t>
      </w:r>
      <w:r>
        <w:rPr>
          <w:rFonts w:ascii="Calibri;sans-serif" w:hAnsi="Calibri;sans-serif"/>
          <w:b w:val="false"/>
          <w:sz w:val="20"/>
        </w:rPr>
        <w:t>million total RSUs outstanding and 2.6</w:t>
      </w:r>
      <w:r>
        <w:rPr>
          <w:rFonts w:ascii="Times New Roman" w:hAnsi="Times New Roman"/>
          <w:sz w:val="20"/>
        </w:rPr>
        <w:t xml:space="preserve"> </w:t>
      </w:r>
      <w:r>
        <w:rPr>
          <w:rFonts w:ascii="Calibri;sans-serif" w:hAnsi="Calibri;sans-serif"/>
          <w:b w:val="false"/>
          <w:sz w:val="20"/>
        </w:rPr>
        <w:t>million RSUs were outstanding at December 31, 2022.</w:t>
      </w:r>
      <w:r>
        <w:rPr>
          <w:rFonts w:ascii="Times New Roman" w:hAnsi="Times New Roman"/>
          <w:sz w:val="20"/>
        </w:rPr>
        <w:t xml:space="preserve"> </w:t>
      </w:r>
    </w:p>
    <w:p>
      <w:pPr>
        <w:pStyle w:val="TextBody"/>
        <w:spacing w:before="160" w:after="120"/>
        <w:jc w:val="both"/>
        <w:rPr>
          <w:rFonts w:ascii="Calibri;sans-serif" w:hAnsi="Calibri;sans-serif"/>
          <w:b w:val="false"/>
          <w:i/>
          <w:sz w:val="20"/>
        </w:rPr>
      </w:pPr>
      <w:r>
        <w:rPr>
          <w:rFonts w:ascii="Calibri;sans-serif" w:hAnsi="Calibri;sans-serif"/>
          <w:b w:val="false"/>
          <w:i/>
          <w:sz w:val="20"/>
        </w:rPr>
        <w:t>Stock options</w:t>
      </w:r>
    </w:p>
    <w:p>
      <w:pPr>
        <w:pStyle w:val="TextBody"/>
        <w:spacing w:before="160" w:after="120"/>
        <w:jc w:val="both"/>
        <w:rPr>
          <w:rFonts w:ascii="Times New Roman" w:hAnsi="Times New Roman"/>
          <w:sz w:val="20"/>
        </w:rPr>
      </w:pPr>
      <w:r>
        <w:rPr>
          <w:rFonts w:ascii="Calibri;sans-serif" w:hAnsi="Calibri;sans-serif"/>
          <w:b w:val="false"/>
          <w:sz w:val="20"/>
        </w:rPr>
        <w:t>On March 10, 2023, we granted 3.6</w:t>
      </w:r>
      <w:r>
        <w:rPr>
          <w:rFonts w:ascii="Times New Roman" w:hAnsi="Times New Roman"/>
          <w:sz w:val="20"/>
        </w:rPr>
        <w:t xml:space="preserve"> </w:t>
      </w:r>
      <w:r>
        <w:rPr>
          <w:rFonts w:ascii="Calibri;sans-serif" w:hAnsi="Calibri;sans-serif"/>
          <w:b w:val="false"/>
          <w:sz w:val="20"/>
        </w:rPr>
        <w:t>million stock options at an exercise price of $7.17</w:t>
      </w:r>
      <w:r>
        <w:rPr>
          <w:rFonts w:ascii="Times New Roman" w:hAnsi="Times New Roman"/>
          <w:sz w:val="20"/>
        </w:rPr>
        <w:t xml:space="preserve"> </w:t>
      </w:r>
      <w:r>
        <w:rPr>
          <w:rFonts w:ascii="Calibri;sans-serif" w:hAnsi="Calibri;sans-serif"/>
          <w:b w:val="false"/>
          <w:sz w:val="20"/>
        </w:rPr>
        <w:t>to certain employees. The grant date fair value is $3.30</w:t>
      </w:r>
      <w:r>
        <w:rPr>
          <w:rFonts w:ascii="Times New Roman" w:hAnsi="Times New Roman"/>
          <w:sz w:val="20"/>
        </w:rPr>
        <w:t xml:space="preserve"> </w:t>
      </w:r>
      <w:r>
        <w:rPr>
          <w:rFonts w:ascii="Calibri;sans-serif" w:hAnsi="Calibri;sans-serif"/>
          <w:b w:val="false"/>
          <w:sz w:val="20"/>
        </w:rPr>
        <w:t>per option. Stock options provide for the purchase of shares of our Class A common stock in the future at an exercise price set on the grant date. These stock options vest over three years, with one-third vesting upon the one-year anniversary of the grant date and the remaining portion vesting on a quarterly basis thereafter. The stock options have a contractual term of ten years</w:t>
      </w:r>
      <w:r>
        <w:rPr>
          <w:rFonts w:ascii="Times New Roman" w:hAnsi="Times New Roman"/>
          <w:sz w:val="20"/>
        </w:rPr>
        <w:t xml:space="preserve"> </w:t>
      </w:r>
      <w:r>
        <w:rPr>
          <w:rFonts w:ascii="Calibri;sans-serif" w:hAnsi="Calibri;sans-serif"/>
          <w:b w:val="false"/>
          <w:sz w:val="20"/>
        </w:rPr>
        <w:t>from the date of the grant, subject to the employee’s continued employment through the applicable vesting date. The fair value of stock options granted is estimated on the grant date using the Black-Scholes model. The following assumptions were used to calculate the fair value of our stock awards on March 10, 2023:</w:t>
      </w:r>
    </w:p>
    <w:tbl>
      <w:tblPr>
        <w:tblW w:w="2875" w:type="dxa"/>
        <w:jc w:val="left"/>
        <w:tblInd w:w="0" w:type="dxa"/>
        <w:tblCellMar>
          <w:top w:w="28" w:type="dxa"/>
          <w:left w:w="28" w:type="dxa"/>
          <w:bottom w:w="28" w:type="dxa"/>
          <w:right w:w="28" w:type="dxa"/>
        </w:tblCellMar>
      </w:tblPr>
      <w:tblGrid>
        <w:gridCol w:w="1831"/>
        <w:gridCol w:w="146"/>
        <w:gridCol w:w="146"/>
        <w:gridCol w:w="466"/>
        <w:gridCol w:w="286"/>
      </w:tblGrid>
      <w:tr>
        <w:trPr/>
        <w:tc>
          <w:tcPr>
            <w:tcW w:w="18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183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Volatility</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42.0</w:t>
            </w:r>
          </w:p>
        </w:tc>
        <w:tc>
          <w:tcPr>
            <w:tcW w:w="28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183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Expected term (years)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5.9</w:t>
            </w:r>
          </w:p>
        </w:tc>
        <w:tc>
          <w:tcPr>
            <w:tcW w:w="286" w:type="dxa"/>
            <w:tcBorders/>
            <w:shd w:fill="auto" w:val="clear"/>
            <w:vAlign w:val="center"/>
          </w:tcPr>
          <w:p>
            <w:pPr>
              <w:pStyle w:val="TableContents"/>
              <w:spacing w:before="0" w:after="0"/>
              <w:ind w:left="0" w:right="0" w:hanging="0"/>
              <w:jc w:val="left"/>
              <w:rPr/>
            </w:pPr>
            <w:r>
              <w:rPr/>
              <w:t> </w:t>
            </w:r>
          </w:p>
        </w:tc>
      </w:tr>
      <w:tr>
        <w:trPr/>
        <w:tc>
          <w:tcPr>
            <w:tcW w:w="183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Risk-free rate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3.9</w:t>
            </w:r>
          </w:p>
        </w:tc>
        <w:tc>
          <w:tcPr>
            <w:tcW w:w="28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183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Dividend yield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0.0</w:t>
            </w:r>
          </w:p>
        </w:tc>
        <w:tc>
          <w:tcPr>
            <w:tcW w:w="28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bl>
    <w:p>
      <w:pPr>
        <w:pStyle w:val="TextBody"/>
        <w:spacing w:before="160" w:after="120"/>
        <w:jc w:val="both"/>
        <w:rPr>
          <w:rFonts w:ascii="Times New Roman" w:hAnsi="Times New Roman"/>
          <w:sz w:val="20"/>
        </w:rPr>
      </w:pPr>
      <w:r>
        <w:rPr>
          <w:rFonts w:ascii="Calibri;sans-serif" w:hAnsi="Calibri;sans-serif"/>
          <w:b w:val="false"/>
          <w:sz w:val="20"/>
        </w:rPr>
        <w:t>At March 31, 2023, there were 9.7</w:t>
      </w:r>
      <w:r>
        <w:rPr>
          <w:rFonts w:ascii="Times New Roman" w:hAnsi="Times New Roman"/>
          <w:sz w:val="20"/>
        </w:rPr>
        <w:t xml:space="preserve"> </w:t>
      </w:r>
      <w:r>
        <w:rPr>
          <w:rFonts w:ascii="Calibri;sans-serif" w:hAnsi="Calibri;sans-serif"/>
          <w:b w:val="false"/>
          <w:sz w:val="20"/>
        </w:rPr>
        <w:t>million total stock options outstanding and 6.1</w:t>
      </w:r>
      <w:r>
        <w:rPr>
          <w:rFonts w:ascii="Times New Roman" w:hAnsi="Times New Roman"/>
          <w:sz w:val="20"/>
        </w:rPr>
        <w:t xml:space="preserve"> </w:t>
      </w:r>
      <w:r>
        <w:rPr>
          <w:rFonts w:ascii="Calibri;sans-serif" w:hAnsi="Calibri;sans-serif"/>
          <w:b w:val="false"/>
          <w:sz w:val="20"/>
        </w:rPr>
        <w:t>million stock options were outstanding as of December 31, 2022. No</w:t>
      </w:r>
      <w:r>
        <w:rPr>
          <w:rFonts w:ascii="Times New Roman" w:hAnsi="Times New Roman"/>
          <w:sz w:val="20"/>
        </w:rPr>
        <w:t xml:space="preserve"> </w:t>
      </w:r>
      <w:r>
        <w:rPr>
          <w:rFonts w:ascii="Calibri;sans-serif" w:hAnsi="Calibri;sans-serif"/>
          <w:b w:val="false"/>
          <w:sz w:val="20"/>
        </w:rPr>
        <w:t>stock options were exercised during the three months ended March 31, 2023. During the three months ended March 31, 2023, there were less than 0.1</w:t>
      </w:r>
      <w:r>
        <w:rPr>
          <w:rFonts w:ascii="Times New Roman" w:hAnsi="Times New Roman"/>
          <w:sz w:val="20"/>
        </w:rPr>
        <w:t xml:space="preserve"> </w:t>
      </w:r>
      <w:r>
        <w:rPr>
          <w:rFonts w:ascii="Calibri;sans-serif" w:hAnsi="Calibri;sans-serif"/>
          <w:b w:val="false"/>
          <w:sz w:val="20"/>
        </w:rPr>
        <w:t>million stock options forfeited or expired.</w:t>
      </w:r>
    </w:p>
    <w:p>
      <w:pPr>
        <w:pStyle w:val="TextBody"/>
        <w:spacing w:before="160" w:after="120"/>
        <w:jc w:val="both"/>
        <w:rPr>
          <w:rFonts w:ascii="Calibri;sans-serif" w:hAnsi="Calibri;sans-serif"/>
          <w:b w:val="false"/>
          <w:i/>
          <w:sz w:val="20"/>
        </w:rPr>
      </w:pPr>
      <w:r>
        <w:rPr>
          <w:rFonts w:ascii="Calibri;sans-serif" w:hAnsi="Calibri;sans-serif"/>
          <w:b w:val="false"/>
          <w:i/>
          <w:sz w:val="20"/>
        </w:rPr>
        <w:t>Compensation expense</w:t>
      </w:r>
    </w:p>
    <w:p>
      <w:pPr>
        <w:pStyle w:val="TextBody"/>
        <w:spacing w:before="160" w:after="120"/>
        <w:jc w:val="both"/>
        <w:rPr>
          <w:rFonts w:ascii="Times New Roman" w:hAnsi="Times New Roman"/>
          <w:sz w:val="20"/>
        </w:rPr>
      </w:pPr>
      <w:r>
        <w:rPr>
          <w:rFonts w:ascii="Calibri;sans-serif" w:hAnsi="Calibri;sans-serif"/>
          <w:b w:val="false"/>
          <w:sz w:val="20"/>
        </w:rPr>
        <w:t>For the three months ended March 31, 2023, equity-based compensation expense related to RSUs was $2.7</w:t>
      </w:r>
      <w:r>
        <w:rPr>
          <w:rFonts w:ascii="Times New Roman" w:hAnsi="Times New Roman"/>
          <w:sz w:val="20"/>
        </w:rPr>
        <w:t xml:space="preserve"> </w:t>
      </w:r>
      <w:r>
        <w:rPr>
          <w:rFonts w:ascii="Calibri;sans-serif" w:hAnsi="Calibri;sans-serif"/>
          <w:b w:val="false"/>
          <w:sz w:val="20"/>
        </w:rPr>
        <w:t>million compared to $1.3</w:t>
      </w:r>
      <w:r>
        <w:rPr>
          <w:rFonts w:ascii="Times New Roman" w:hAnsi="Times New Roman"/>
          <w:sz w:val="20"/>
        </w:rPr>
        <w:t xml:space="preserve"> </w:t>
      </w:r>
      <w:r>
        <w:rPr>
          <w:rFonts w:ascii="Calibri;sans-serif" w:hAnsi="Calibri;sans-serif"/>
          <w:b w:val="false"/>
          <w:sz w:val="20"/>
        </w:rPr>
        <w:t>million for the three months ended March 31, 2022. Unrecognized compensation expense relating to unvested RSUs as of March 31, 2023, was $41.7</w:t>
      </w:r>
      <w:r>
        <w:rPr>
          <w:rFonts w:ascii="Times New Roman" w:hAnsi="Times New Roman"/>
          <w:sz w:val="20"/>
        </w:rPr>
        <w:t xml:space="preserve"> </w:t>
      </w:r>
      <w:r>
        <w:rPr>
          <w:rFonts w:ascii="Calibri;sans-serif" w:hAnsi="Calibri;sans-serif"/>
          <w:b w:val="false"/>
          <w:sz w:val="20"/>
        </w:rPr>
        <w:t>million, which is expected to be recognized over a weighted average period of approximately</w:t>
      </w:r>
      <w:r>
        <w:rPr>
          <w:rFonts w:ascii="Times New Roman" w:hAnsi="Times New Roman"/>
          <w:sz w:val="20"/>
        </w:rPr>
        <w:t xml:space="preserve"> </w:t>
      </w:r>
      <w:r>
        <w:rPr>
          <w:rFonts w:ascii="Calibri;sans-serif" w:hAnsi="Calibri;sans-serif"/>
          <w:b w:val="false"/>
          <w:sz w:val="20"/>
        </w:rPr>
        <w:t>three years.</w:t>
      </w:r>
    </w:p>
    <w:p>
      <w:pPr>
        <w:pStyle w:val="TextBody"/>
        <w:spacing w:before="160" w:after="120"/>
        <w:jc w:val="both"/>
        <w:rPr>
          <w:rFonts w:ascii="Times New Roman" w:hAnsi="Times New Roman"/>
          <w:sz w:val="20"/>
        </w:rPr>
      </w:pPr>
      <w:r>
        <w:rPr>
          <w:rFonts w:ascii="Calibri;sans-serif" w:hAnsi="Calibri;sans-serif"/>
          <w:b w:val="false"/>
          <w:sz w:val="20"/>
        </w:rPr>
        <w:t>For the three months ended March 31, 2023, equity-based compensation expense related to stock options was $1.8</w:t>
      </w:r>
      <w:r>
        <w:rPr>
          <w:rFonts w:ascii="Times New Roman" w:hAnsi="Times New Roman"/>
          <w:sz w:val="20"/>
        </w:rPr>
        <w:t xml:space="preserve"> </w:t>
      </w:r>
      <w:r>
        <w:rPr>
          <w:rFonts w:ascii="Calibri;sans-serif" w:hAnsi="Calibri;sans-serif"/>
          <w:b w:val="false"/>
          <w:sz w:val="20"/>
        </w:rPr>
        <w:t>million compared to $1.1</w:t>
      </w:r>
      <w:r>
        <w:rPr>
          <w:rFonts w:ascii="Times New Roman" w:hAnsi="Times New Roman"/>
          <w:sz w:val="20"/>
        </w:rPr>
        <w:t xml:space="preserve"> </w:t>
      </w:r>
      <w:r>
        <w:rPr>
          <w:rFonts w:ascii="Calibri;sans-serif" w:hAnsi="Calibri;sans-serif"/>
          <w:b w:val="false"/>
          <w:sz w:val="20"/>
        </w:rPr>
        <w:t>million for the three months ended March 31, 2022. Unrecognized compensation expense relating to unvested stock options as of March 31, 2023, was $29.1</w:t>
      </w:r>
      <w:r>
        <w:rPr>
          <w:rFonts w:ascii="Times New Roman" w:hAnsi="Times New Roman"/>
          <w:sz w:val="20"/>
        </w:rPr>
        <w:t xml:space="preserve"> </w:t>
      </w:r>
      <w:r>
        <w:rPr>
          <w:rFonts w:ascii="Calibri;sans-serif" w:hAnsi="Calibri;sans-serif"/>
          <w:b w:val="false"/>
          <w:sz w:val="20"/>
        </w:rPr>
        <w:t>million, which is expected to be recognized over a weighted average period of approximately three years.</w:t>
      </w:r>
    </w:p>
    <w:p>
      <w:pPr>
        <w:pStyle w:val="TextBody"/>
        <w:spacing w:before="160" w:after="120"/>
        <w:jc w:val="both"/>
        <w:rPr>
          <w:rFonts w:ascii="Times New Roman" w:hAnsi="Times New Roman"/>
          <w:sz w:val="20"/>
        </w:rPr>
      </w:pPr>
      <w:r>
        <w:rPr>
          <w:rFonts w:ascii="Calibri;sans-serif" w:hAnsi="Calibri;sans-serif"/>
          <w:b w:val="false"/>
          <w:sz w:val="20"/>
        </w:rPr>
        <w:t>For the three months ended March 31, 2023 and 2022, equity-based compensation expense related to profit interests was $1.0</w:t>
      </w:r>
      <w:r>
        <w:rPr>
          <w:rFonts w:ascii="Times New Roman" w:hAnsi="Times New Roman"/>
          <w:sz w:val="20"/>
        </w:rPr>
        <w:t xml:space="preserve"> </w:t>
      </w:r>
      <w:r>
        <w:rPr>
          <w:rFonts w:ascii="Calibri;sans-serif" w:hAnsi="Calibri;sans-serif"/>
          <w:b w:val="false"/>
          <w:sz w:val="20"/>
        </w:rPr>
        <w:t>million. Unrecognized compensation expense as of March 31, 2023 related to these incentive units was $3.5</w:t>
      </w:r>
      <w:r>
        <w:rPr>
          <w:rFonts w:ascii="Times New Roman" w:hAnsi="Times New Roman"/>
          <w:sz w:val="20"/>
        </w:rPr>
        <w:t xml:space="preserve"> </w:t>
      </w:r>
      <w:r>
        <w:rPr>
          <w:rFonts w:ascii="Calibri;sans-serif" w:hAnsi="Calibri;sans-serif"/>
          <w:b w:val="false"/>
          <w:sz w:val="20"/>
        </w:rPr>
        <w:t>million, which is expected to be recognized over a weighted average period of approximately two years.</w:t>
      </w:r>
    </w:p>
    <w:p>
      <w:pPr>
        <w:pStyle w:val="TextBody"/>
        <w:spacing w:before="0" w:after="0"/>
        <w:jc w:val="center"/>
        <w:rPr>
          <w:rFonts w:ascii="Calibri;sans-serif" w:hAnsi="Calibri;sans-serif"/>
          <w:b w:val="false"/>
          <w:sz w:val="20"/>
        </w:rPr>
      </w:pPr>
      <w:r>
        <w:rPr>
          <w:rFonts w:ascii="Calibri;sans-serif" w:hAnsi="Calibri;sans-serif"/>
          <w:b w:val="false"/>
          <w:sz w:val="20"/>
        </w:rPr>
        <w:t>18</w:t>
      </w:r>
    </w:p>
    <w:p>
      <w:pPr>
        <w:pStyle w:val="HorizontalLine"/>
        <w:rPr/>
      </w:pPr>
      <w:r>
        <w:rPr/>
      </w:r>
    </w:p>
    <w:p>
      <w:pPr>
        <w:pStyle w:val="TextBody"/>
        <w:spacing w:before="0" w:after="0"/>
        <w:jc w:val="center"/>
        <w:rPr>
          <w:rFonts w:ascii="Calibri;sans-serif" w:hAnsi="Calibri;sans-serif"/>
          <w:b/>
          <w:caps/>
          <w:sz w:val="20"/>
        </w:rPr>
      </w:pPr>
      <w:r>
        <w:rPr>
          <w:rFonts w:ascii="Calibri;sans-serif" w:hAnsi="Calibri;sans-serif"/>
          <w:b/>
          <w:caps/>
          <w:sz w:val="20"/>
        </w:rPr>
        <w:t>Vivid Seats INC.</w:t>
      </w:r>
    </w:p>
    <w:p>
      <w:pPr>
        <w:pStyle w:val="TextBody"/>
        <w:spacing w:before="0" w:after="0"/>
        <w:jc w:val="center"/>
        <w:rPr>
          <w:rFonts w:ascii="Calibri;sans-serif" w:hAnsi="Calibri;sans-serif"/>
          <w:b/>
          <w:caps/>
          <w:sz w:val="20"/>
        </w:rPr>
      </w:pPr>
      <w:r>
        <w:rPr>
          <w:rFonts w:ascii="Calibri;sans-serif" w:hAnsi="Calibri;sans-serif"/>
          <w:b/>
          <w:caps/>
          <w:sz w:val="20"/>
        </w:rPr>
        <w:t>NOTES to the CONDENSED Consolidated Financial Statements</w:t>
      </w:r>
    </w:p>
    <w:p>
      <w:pPr>
        <w:pStyle w:val="TextBody"/>
        <w:spacing w:before="0" w:after="0"/>
        <w:jc w:val="center"/>
        <w:rPr>
          <w:rFonts w:ascii="Calibri;sans-serif" w:hAnsi="Calibri;sans-serif"/>
          <w:b/>
          <w:caps/>
          <w:sz w:val="20"/>
        </w:rPr>
      </w:pPr>
      <w:r>
        <w:rPr>
          <w:rFonts w:ascii="Calibri;sans-serif" w:hAnsi="Calibri;sans-serif"/>
          <w:b/>
          <w:caps/>
          <w:sz w:val="20"/>
        </w:rPr>
        <w:t>(UNAUDITED)</w:t>
      </w:r>
    </w:p>
    <w:p>
      <w:pPr>
        <w:pStyle w:val="TextBody"/>
        <w:spacing w:before="0" w:after="0"/>
        <w:jc w:val="left"/>
        <w:rPr/>
      </w:pPr>
      <w:r>
        <w:rPr/>
        <w:t> </w:t>
      </w:r>
    </w:p>
    <w:p>
      <w:pPr>
        <w:pStyle w:val="TextBody"/>
        <w:spacing w:before="0" w:after="0"/>
        <w:jc w:val="left"/>
        <w:rPr/>
      </w:pPr>
      <w:r>
        <w:rPr/>
        <w:t> </w:t>
      </w:r>
    </w:p>
    <w:p>
      <w:pPr>
        <w:pStyle w:val="TextBody"/>
        <w:spacing w:before="160" w:after="120"/>
        <w:jc w:val="left"/>
        <w:rPr>
          <w:rFonts w:ascii="Times New Roman" w:hAnsi="Times New Roman"/>
          <w:sz w:val="20"/>
        </w:rPr>
      </w:pPr>
      <w:r>
        <w:rPr>
          <w:rFonts w:ascii="Calibri;sans-serif" w:hAnsi="Calibri;sans-serif"/>
          <w:b w:val="false"/>
          <w:sz w:val="20"/>
        </w:rPr>
        <w:t>For the three months ended March 31, 2023, equity-based compensation expense excludes $0.5</w:t>
      </w:r>
      <w:r>
        <w:rPr>
          <w:rFonts w:ascii="Times New Roman" w:hAnsi="Times New Roman"/>
          <w:sz w:val="20"/>
        </w:rPr>
        <w:t xml:space="preserve"> </w:t>
      </w:r>
      <w:r>
        <w:rPr>
          <w:rFonts w:ascii="Calibri;sans-serif" w:hAnsi="Calibri;sans-serif"/>
          <w:b w:val="false"/>
          <w:sz w:val="20"/>
        </w:rPr>
        <w:t>million related to capitalized development costs.</w:t>
      </w:r>
    </w:p>
    <w:p>
      <w:pPr>
        <w:pStyle w:val="TextBody"/>
        <w:spacing w:before="160" w:after="120"/>
        <w:jc w:val="left"/>
        <w:rPr>
          <w:rFonts w:ascii="Calibri;sans-serif" w:hAnsi="Calibri;sans-serif"/>
          <w:b/>
          <w:smallCaps/>
          <w:sz w:val="20"/>
        </w:rPr>
      </w:pPr>
      <w:r>
        <w:rPr>
          <w:rFonts w:ascii="Calibri;sans-serif" w:hAnsi="Calibri;sans-serif"/>
          <w:b/>
          <w:smallCaps/>
          <w:sz w:val="20"/>
        </w:rPr>
        <w:t>15. Earnings Per Share</w:t>
      </w:r>
    </w:p>
    <w:p>
      <w:pPr>
        <w:pStyle w:val="TextBody"/>
        <w:spacing w:before="160" w:after="120"/>
        <w:jc w:val="both"/>
        <w:rPr>
          <w:rFonts w:ascii="Calibri;sans-serif" w:hAnsi="Calibri;sans-serif"/>
          <w:b w:val="false"/>
          <w:sz w:val="20"/>
        </w:rPr>
      </w:pPr>
      <w:r>
        <w:rPr>
          <w:rFonts w:ascii="Calibri;sans-serif" w:hAnsi="Calibri;sans-serif"/>
          <w:b w:val="false"/>
          <w:sz w:val="20"/>
        </w:rPr>
        <w:t>We calculate basic and diluted net income per share of Class A common stock in accordance with ASC 260, Earnings per Share. Class B common stock does not have economic rights in VSI and as a result, is not considered a participating security for basic and diluted income per share. As such, basic and diluted income per share of Class B common stock has not been presented. However, holders of Class B common stock are allocated income in Hoya Intermediate (our operating entity) according to their weighted average percentage ownership of Intermediate Units during each quarter.</w:t>
      </w:r>
    </w:p>
    <w:p>
      <w:pPr>
        <w:pStyle w:val="TextBody"/>
        <w:spacing w:before="160" w:after="120"/>
        <w:jc w:val="both"/>
        <w:rPr>
          <w:rFonts w:ascii="Calibri;sans-serif" w:hAnsi="Calibri;sans-serif"/>
          <w:b w:val="false"/>
          <w:sz w:val="20"/>
        </w:rPr>
      </w:pPr>
      <w:r>
        <w:rPr>
          <w:rFonts w:ascii="Calibri;sans-serif" w:hAnsi="Calibri;sans-serif"/>
          <w:b w:val="false"/>
          <w:sz w:val="20"/>
        </w:rPr>
        <w:t>Net income attributable to redeemable noncontrolling interests is calculated by multiplying Hoya Intermediate's net income incurred in each quarterly period by Hoya Topco's weighted average percentage ownership of Intermediate Units during the period. Hoya Topco has the right to exchange its Intermediate Units for shares of VSI Class A common stock on a one-to-one basis or cash proceeds of equal value at the time of redemption. The option to redeem Intermediate Units for cash proceeds must be approved by the Board of VSI, which as of March 31, 2023, is controlled by investors in Hoya Topco. The ability to put Intermediate Units is solely within the control of the holder of the redeemable noncontrolling interests. If Hoya Topco elects the redemption to be settled in cash, the cash used to settle the redemption must be funded through a private or public offering of Class A common stock and subject to our Board's approval.</w:t>
      </w:r>
    </w:p>
    <w:p>
      <w:pPr>
        <w:pStyle w:val="TextBody"/>
        <w:spacing w:before="160" w:after="120"/>
        <w:jc w:val="both"/>
        <w:rPr>
          <w:rFonts w:ascii="Calibri;sans-serif" w:hAnsi="Calibri;sans-serif"/>
          <w:b w:val="false"/>
          <w:sz w:val="20"/>
        </w:rPr>
      </w:pPr>
      <w:r>
        <w:rPr>
          <w:rFonts w:ascii="Calibri;sans-serif" w:hAnsi="Calibri;sans-serif"/>
          <w:b w:val="false"/>
          <w:sz w:val="20"/>
        </w:rPr>
        <w:t>The following table provides the net income attributable to Hoya Topco's redeemable noncontrolling interest (in thousands):</w:t>
      </w:r>
    </w:p>
    <w:tbl>
      <w:tblPr>
        <w:tblW w:w="10205" w:type="dxa"/>
        <w:jc w:val="left"/>
        <w:tblInd w:w="0" w:type="dxa"/>
        <w:tblCellMar>
          <w:top w:w="28" w:type="dxa"/>
          <w:left w:w="28" w:type="dxa"/>
          <w:bottom w:w="28" w:type="dxa"/>
          <w:right w:w="28" w:type="dxa"/>
        </w:tblCellMar>
      </w:tblPr>
      <w:tblGrid>
        <w:gridCol w:w="4657"/>
        <w:gridCol w:w="146"/>
        <w:gridCol w:w="146"/>
        <w:gridCol w:w="537"/>
        <w:gridCol w:w="1724"/>
        <w:gridCol w:w="241"/>
        <w:gridCol w:w="146"/>
        <w:gridCol w:w="599"/>
        <w:gridCol w:w="1621"/>
        <w:gridCol w:w="388"/>
      </w:tblGrid>
      <w:tr>
        <w:trPr/>
        <w:tc>
          <w:tcPr>
            <w:tcW w:w="46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7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621"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r>
      <w:tr>
        <w:trPr/>
        <w:tc>
          <w:tcPr>
            <w:tcW w:w="465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Three Months Ended March 31, 2023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Three Months Ended March 31, 2022</w:t>
            </w:r>
          </w:p>
        </w:tc>
        <w:tc>
          <w:tcPr>
            <w:tcW w:w="3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57"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Net income—Hoya Intermediate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7"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724"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30,272</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62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3,138</w:t>
            </w:r>
          </w:p>
        </w:tc>
        <w:tc>
          <w:tcPr>
            <w:tcW w:w="388" w:type="dxa"/>
            <w:tcBorders/>
            <w:shd w:fill="auto" w:val="clear"/>
            <w:vAlign w:val="center"/>
          </w:tcPr>
          <w:p>
            <w:pPr>
              <w:pStyle w:val="TableContents"/>
              <w:spacing w:before="0" w:after="0"/>
              <w:ind w:left="0" w:right="0" w:hanging="0"/>
              <w:jc w:val="left"/>
              <w:rPr/>
            </w:pPr>
            <w:r>
              <w:rPr/>
              <w:t> </w:t>
            </w:r>
          </w:p>
        </w:tc>
      </w:tr>
      <w:tr>
        <w:trPr/>
        <w:tc>
          <w:tcPr>
            <w:tcW w:w="4657"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Hoya Topco’s weighted average % allocation of Hoya Intermediate's net income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59.8</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59.9</w:t>
            </w:r>
          </w:p>
        </w:tc>
        <w:tc>
          <w:tcPr>
            <w:tcW w:w="3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Calibri;sans-serif" w:hAnsi="Calibri;sans-serif"/>
                <w:b w:val="false"/>
                <w:sz w:val="20"/>
              </w:rPr>
            </w:pPr>
            <w:r>
              <w:rPr>
                <w:rFonts w:ascii="Calibri;sans-serif" w:hAnsi="Calibri;sans-serif"/>
                <w:b w:val="false"/>
                <w:sz w:val="20"/>
              </w:rPr>
              <w:t>%</w:t>
            </w:r>
          </w:p>
        </w:tc>
      </w:tr>
      <w:tr>
        <w:trPr/>
        <w:tc>
          <w:tcPr>
            <w:tcW w:w="4657"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Net income attributable to Hoya Topco's redeemable 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7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18,090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6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1,879</w:t>
            </w:r>
          </w:p>
        </w:tc>
        <w:tc>
          <w:tcPr>
            <w:tcW w:w="3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60" w:after="120"/>
        <w:jc w:val="both"/>
        <w:rPr>
          <w:rFonts w:ascii="Times New Roman" w:hAnsi="Times New Roman"/>
          <w:sz w:val="20"/>
        </w:rPr>
      </w:pPr>
      <w:r>
        <w:rPr>
          <w:rFonts w:ascii="Calibri;sans-serif" w:hAnsi="Calibri;sans-serif"/>
          <w:b w:val="false"/>
          <w:sz w:val="20"/>
        </w:rPr>
        <w:t>Net income to Class A common stock–basic is calculated by subtracting the portion of Hoya Intermediate's net income attributable to redeemable noncontrolling interests from our total net income, which includes our net income for activities outside of our investment in Hoya Intermediate as well as the full results of Hoya Intermediate on a consolidated basis.</w:t>
      </w:r>
      <w:r>
        <w:rPr>
          <w:rFonts w:ascii="Times New Roman" w:hAnsi="Times New Roman"/>
          <w:sz w:val="20"/>
        </w:rPr>
        <w:t xml:space="preserve"> </w:t>
      </w:r>
    </w:p>
    <w:p>
      <w:pPr>
        <w:pStyle w:val="TextBody"/>
        <w:spacing w:before="160" w:after="120"/>
        <w:jc w:val="both"/>
        <w:rPr>
          <w:rFonts w:ascii="Calibri;sans-serif" w:hAnsi="Calibri;sans-serif"/>
          <w:b w:val="false"/>
          <w:sz w:val="20"/>
        </w:rPr>
      </w:pPr>
      <w:r>
        <w:rPr>
          <w:rFonts w:ascii="Calibri;sans-serif" w:hAnsi="Calibri;sans-serif"/>
          <w:b w:val="false"/>
          <w:sz w:val="20"/>
        </w:rPr>
        <w:t>Net income per Class A common stock–diluted is based on the average number of shares of Class A common stock used for the basic earnings per share calculation, adjusted for the weighted-average number of common share equivalents outstanding for the period determined using the treasury stock method and if-converted method, as applicable. Net income attributable to Class A common stockholders–diluted is adjusted for our share of Hoya Intermediate’s consolidated net income after giving effect to Intermediate Units that convert into potential shares of Class A common stock, to the extent it is dilutive. In addition, Net income attributable to Class A common stockholders–diluted is adjusted for the impact of changes in the fair value of Hoya Intermediate Warrants, to the extent they are dilutive.</w:t>
      </w:r>
    </w:p>
    <w:p>
      <w:pPr>
        <w:pStyle w:val="TextBody"/>
        <w:spacing w:before="160" w:after="120"/>
        <w:jc w:val="both"/>
        <w:rPr>
          <w:rFonts w:ascii="Calibri;sans-serif" w:hAnsi="Calibri;sans-serif"/>
          <w:b w:val="false"/>
          <w:sz w:val="20"/>
        </w:rPr>
      </w:pPr>
      <w:r>
        <w:rPr>
          <w:rFonts w:ascii="Calibri;sans-serif" w:hAnsi="Calibri;sans-serif"/>
          <w:b w:val="false"/>
          <w:sz w:val="20"/>
        </w:rPr>
        <w:t>The following tables set forth the computation of basic and diluted net income per share of Class A common stock for the periods where we had Class A and Class B common stock outstanding (in thousands, except share and per share data):</w:t>
      </w:r>
    </w:p>
    <w:p>
      <w:pPr>
        <w:pStyle w:val="TextBody"/>
        <w:spacing w:before="0" w:after="0"/>
        <w:jc w:val="center"/>
        <w:rPr>
          <w:rFonts w:ascii="Calibri;sans-serif" w:hAnsi="Calibri;sans-serif"/>
          <w:b w:val="false"/>
          <w:sz w:val="20"/>
        </w:rPr>
      </w:pPr>
      <w:r>
        <w:rPr>
          <w:rFonts w:ascii="Calibri;sans-serif" w:hAnsi="Calibri;sans-serif"/>
          <w:b w:val="false"/>
          <w:sz w:val="20"/>
        </w:rPr>
        <w:t>19</w:t>
      </w:r>
    </w:p>
    <w:p>
      <w:pPr>
        <w:pStyle w:val="HorizontalLine"/>
        <w:rPr/>
      </w:pPr>
      <w:r>
        <w:rPr/>
      </w:r>
    </w:p>
    <w:p>
      <w:pPr>
        <w:pStyle w:val="TextBody"/>
        <w:spacing w:before="0" w:after="0"/>
        <w:jc w:val="center"/>
        <w:rPr>
          <w:rFonts w:ascii="Calibri;sans-serif" w:hAnsi="Calibri;sans-serif"/>
          <w:b/>
          <w:caps/>
          <w:sz w:val="20"/>
        </w:rPr>
      </w:pPr>
      <w:r>
        <w:rPr>
          <w:rFonts w:ascii="Calibri;sans-serif" w:hAnsi="Calibri;sans-serif"/>
          <w:b/>
          <w:caps/>
          <w:sz w:val="20"/>
        </w:rPr>
        <w:t>Vivid Seats INC.</w:t>
      </w:r>
    </w:p>
    <w:p>
      <w:pPr>
        <w:pStyle w:val="TextBody"/>
        <w:spacing w:before="0" w:after="0"/>
        <w:jc w:val="center"/>
        <w:rPr>
          <w:rFonts w:ascii="Calibri;sans-serif" w:hAnsi="Calibri;sans-serif"/>
          <w:b/>
          <w:caps/>
          <w:sz w:val="20"/>
        </w:rPr>
      </w:pPr>
      <w:r>
        <w:rPr>
          <w:rFonts w:ascii="Calibri;sans-serif" w:hAnsi="Calibri;sans-serif"/>
          <w:b/>
          <w:caps/>
          <w:sz w:val="20"/>
        </w:rPr>
        <w:t>NOTES to the CONDENSED Consolidated Financial Statements</w:t>
      </w:r>
    </w:p>
    <w:p>
      <w:pPr>
        <w:pStyle w:val="TextBody"/>
        <w:spacing w:before="0" w:after="0"/>
        <w:jc w:val="center"/>
        <w:rPr>
          <w:rFonts w:ascii="Calibri;sans-serif" w:hAnsi="Calibri;sans-serif"/>
          <w:b/>
          <w:caps/>
          <w:sz w:val="20"/>
        </w:rPr>
      </w:pPr>
      <w:r>
        <w:rPr>
          <w:rFonts w:ascii="Calibri;sans-serif" w:hAnsi="Calibri;sans-serif"/>
          <w:b/>
          <w:caps/>
          <w:sz w:val="20"/>
        </w:rPr>
        <w:t>(UNAUDITED)</w:t>
      </w:r>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147"/>
        <w:gridCol w:w="146"/>
        <w:gridCol w:w="146"/>
        <w:gridCol w:w="404"/>
        <w:gridCol w:w="2186"/>
        <w:gridCol w:w="146"/>
        <w:gridCol w:w="146"/>
        <w:gridCol w:w="404"/>
        <w:gridCol w:w="2186"/>
        <w:gridCol w:w="294"/>
      </w:tblGrid>
      <w:tr>
        <w:trPr/>
        <w:tc>
          <w:tcPr>
            <w:tcW w:w="41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21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218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r>
      <w:tr>
        <w:trPr/>
        <w:tc>
          <w:tcPr>
            <w:tcW w:w="414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Three Months Ended 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Three Months Ended March 31, 2022</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47"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Numerator—basic:</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0" w:type="dxa"/>
            <w:gridSpan w:val="2"/>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firstLine="100"/>
              <w:jc w:val="left"/>
              <w:rPr/>
            </w:pPr>
            <w:r>
              <w:rPr/>
              <w:t> </w:t>
            </w:r>
          </w:p>
        </w:tc>
      </w:tr>
      <w:tr>
        <w:trPr/>
        <w:tc>
          <w:tcPr>
            <w:tcW w:w="4147"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Net income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218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30,272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218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3,138</w:t>
            </w:r>
          </w:p>
        </w:tc>
        <w:tc>
          <w:tcPr>
            <w:tcW w:w="294" w:type="dxa"/>
            <w:tcBorders/>
            <w:shd w:fill="auto" w:val="clear"/>
            <w:vAlign w:val="center"/>
          </w:tcPr>
          <w:p>
            <w:pPr>
              <w:pStyle w:val="TableContents"/>
              <w:spacing w:before="0" w:after="0"/>
              <w:ind w:left="0" w:right="0" w:firstLine="100"/>
              <w:jc w:val="left"/>
              <w:rPr/>
            </w:pPr>
            <w:r>
              <w:rPr/>
              <w:t> </w:t>
            </w:r>
          </w:p>
        </w:tc>
      </w:tr>
      <w:tr>
        <w:trPr/>
        <w:tc>
          <w:tcPr>
            <w:tcW w:w="4147"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Less: Income attributable to redeemable noncontrolling interests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18,090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1,879</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4147"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Net income attributable to Class A Common Stockholders—basic</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12,182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1,259</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47"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Denominator—basic:</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0" w:type="dxa"/>
            <w:gridSpan w:val="2"/>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firstLine="100"/>
              <w:jc w:val="left"/>
              <w:rPr/>
            </w:pPr>
            <w:r>
              <w:rPr/>
              <w:t> </w:t>
            </w:r>
          </w:p>
        </w:tc>
      </w:tr>
      <w:tr>
        <w:trPr/>
        <w:tc>
          <w:tcPr>
            <w:tcW w:w="4147"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Weighted average Class A common stock outstanding—basic</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77,410,820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79,151,929</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47"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Net income per Class A common stock—basic</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21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0.16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21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0.02</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4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0" w:type="dxa"/>
            <w:gridSpan w:val="2"/>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r>
      <w:tr>
        <w:trPr/>
        <w:tc>
          <w:tcPr>
            <w:tcW w:w="4147"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Numerator—diluted: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0" w:type="dxa"/>
            <w:gridSpan w:val="2"/>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firstLine="100"/>
              <w:jc w:val="left"/>
              <w:rPr/>
            </w:pPr>
            <w:r>
              <w:rPr/>
              <w:t> </w:t>
            </w:r>
          </w:p>
        </w:tc>
      </w:tr>
      <w:tr>
        <w:trPr/>
        <w:tc>
          <w:tcPr>
            <w:tcW w:w="4147"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Net income attributable to Class A Common Stockholders—basic</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218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12,182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218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1,259</w:t>
            </w:r>
          </w:p>
        </w:tc>
        <w:tc>
          <w:tcPr>
            <w:tcW w:w="294" w:type="dxa"/>
            <w:tcBorders/>
            <w:shd w:fill="auto" w:val="clear"/>
            <w:vAlign w:val="center"/>
          </w:tcPr>
          <w:p>
            <w:pPr>
              <w:pStyle w:val="TableContents"/>
              <w:spacing w:before="0" w:after="0"/>
              <w:ind w:left="0" w:right="0" w:firstLine="100"/>
              <w:jc w:val="left"/>
              <w:rPr/>
            </w:pPr>
            <w:r>
              <w:rPr/>
              <w:t> </w:t>
            </w:r>
          </w:p>
        </w:tc>
      </w:tr>
      <w:tr>
        <w:trPr/>
        <w:tc>
          <w:tcPr>
            <w:tcW w:w="4147"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Net income effect of dilutive securities: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0" w:type="dxa"/>
            <w:gridSpan w:val="2"/>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firstLine="100"/>
              <w:jc w:val="left"/>
              <w:rPr/>
            </w:pPr>
            <w:r>
              <w:rPr/>
              <w:t> </w:t>
            </w:r>
          </w:p>
        </w:tc>
      </w:tr>
      <w:tr>
        <w:trPr/>
        <w:tc>
          <w:tcPr>
            <w:tcW w:w="4147"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Effect of dilutive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pPr>
            <w:r>
              <w:rPr/>
              <w:t> </w:t>
            </w:r>
          </w:p>
        </w:tc>
        <w:tc>
          <w:tcPr>
            <w:tcW w:w="218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16,849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pPr>
            <w:r>
              <w:rPr/>
              <w:t> </w:t>
            </w:r>
          </w:p>
        </w:tc>
        <w:tc>
          <w:tcPr>
            <w:tcW w:w="218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1,720</w:t>
            </w:r>
          </w:p>
        </w:tc>
        <w:tc>
          <w:tcPr>
            <w:tcW w:w="294" w:type="dxa"/>
            <w:tcBorders/>
            <w:shd w:fill="auto" w:val="clear"/>
            <w:vAlign w:val="center"/>
          </w:tcPr>
          <w:p>
            <w:pPr>
              <w:pStyle w:val="TableContents"/>
              <w:spacing w:before="0" w:after="0"/>
              <w:ind w:left="0" w:right="0" w:firstLine="100"/>
              <w:jc w:val="left"/>
              <w:rPr/>
            </w:pPr>
            <w:r>
              <w:rPr/>
              <w:t> </w:t>
            </w:r>
          </w:p>
        </w:tc>
      </w:tr>
      <w:tr>
        <w:trPr/>
        <w:tc>
          <w:tcPr>
            <w:tcW w:w="4147"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Effect of Exercise Warrants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pPr>
            <w:r>
              <w:rPr/>
              <w:t> </w:t>
            </w:r>
          </w:p>
        </w:tc>
        <w:tc>
          <w:tcPr>
            <w:tcW w:w="21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pPr>
            <w:r>
              <w:rPr/>
              <w:t> </w:t>
            </w:r>
          </w:p>
        </w:tc>
        <w:tc>
          <w:tcPr>
            <w:tcW w:w="218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9</w:t>
            </w:r>
          </w:p>
        </w:tc>
        <w:tc>
          <w:tcPr>
            <w:tcW w:w="294" w:type="dxa"/>
            <w:tcBorders/>
            <w:shd w:fill="auto" w:val="clear"/>
            <w:vAlign w:val="center"/>
          </w:tcPr>
          <w:p>
            <w:pPr>
              <w:pStyle w:val="TableContents"/>
              <w:spacing w:before="0" w:after="0"/>
              <w:ind w:left="0" w:right="0" w:firstLine="100"/>
              <w:jc w:val="left"/>
              <w:rPr/>
            </w:pPr>
            <w:r>
              <w:rPr/>
              <w:t> </w:t>
            </w:r>
          </w:p>
        </w:tc>
      </w:tr>
      <w:tr>
        <w:trPr/>
        <w:tc>
          <w:tcPr>
            <w:tcW w:w="4147"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Effect of RSUs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4147"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Net income attributable to Class A Common Stockholders—diluted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29,051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2,988</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47"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Denominator—diluted: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0" w:type="dxa"/>
            <w:gridSpan w:val="2"/>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firstLine="100"/>
              <w:jc w:val="left"/>
              <w:rPr/>
            </w:pPr>
            <w:r>
              <w:rPr/>
              <w:t> </w:t>
            </w:r>
          </w:p>
        </w:tc>
      </w:tr>
      <w:tr>
        <w:trPr/>
        <w:tc>
          <w:tcPr>
            <w:tcW w:w="4147"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Weighted average Class A common stock outstanding—basic</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pPr>
            <w:r>
              <w:rPr/>
              <w:t> </w:t>
            </w:r>
          </w:p>
        </w:tc>
        <w:tc>
          <w:tcPr>
            <w:tcW w:w="218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77,410,820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pPr>
            <w:r>
              <w:rPr/>
              <w:t> </w:t>
            </w:r>
          </w:p>
        </w:tc>
        <w:tc>
          <w:tcPr>
            <w:tcW w:w="218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79,151,929</w:t>
            </w:r>
          </w:p>
        </w:tc>
        <w:tc>
          <w:tcPr>
            <w:tcW w:w="294" w:type="dxa"/>
            <w:tcBorders/>
            <w:shd w:fill="auto" w:val="clear"/>
            <w:vAlign w:val="center"/>
          </w:tcPr>
          <w:p>
            <w:pPr>
              <w:pStyle w:val="TableContents"/>
              <w:spacing w:before="0" w:after="0"/>
              <w:ind w:left="0" w:right="0" w:firstLine="100"/>
              <w:jc w:val="left"/>
              <w:rPr/>
            </w:pPr>
            <w:r>
              <w:rPr/>
              <w:t> </w:t>
            </w:r>
          </w:p>
        </w:tc>
      </w:tr>
      <w:tr>
        <w:trPr/>
        <w:tc>
          <w:tcPr>
            <w:tcW w:w="4147"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Weighted average effect of dilutive securities: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90" w:type="dxa"/>
            <w:gridSpan w:val="2"/>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firstLine="100"/>
              <w:jc w:val="left"/>
              <w:rPr/>
            </w:pPr>
            <w:r>
              <w:rPr/>
              <w:t> </w:t>
            </w:r>
          </w:p>
        </w:tc>
      </w:tr>
      <w:tr>
        <w:trPr/>
        <w:tc>
          <w:tcPr>
            <w:tcW w:w="4147"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Effect of dilutive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pPr>
            <w:r>
              <w:rPr/>
              <w:t> </w:t>
            </w:r>
          </w:p>
        </w:tc>
        <w:tc>
          <w:tcPr>
            <w:tcW w:w="218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118,200,000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pPr>
            <w:r>
              <w:rPr/>
              <w:t> </w:t>
            </w:r>
          </w:p>
        </w:tc>
        <w:tc>
          <w:tcPr>
            <w:tcW w:w="218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118,200,000</w:t>
            </w:r>
          </w:p>
        </w:tc>
        <w:tc>
          <w:tcPr>
            <w:tcW w:w="294" w:type="dxa"/>
            <w:tcBorders/>
            <w:shd w:fill="auto" w:val="clear"/>
            <w:vAlign w:val="center"/>
          </w:tcPr>
          <w:p>
            <w:pPr>
              <w:pStyle w:val="TableContents"/>
              <w:spacing w:before="0" w:after="0"/>
              <w:ind w:left="0" w:right="0" w:firstLine="100"/>
              <w:jc w:val="left"/>
              <w:rPr/>
            </w:pPr>
            <w:r>
              <w:rPr/>
              <w:t> </w:t>
            </w:r>
          </w:p>
        </w:tc>
      </w:tr>
      <w:tr>
        <w:trPr/>
        <w:tc>
          <w:tcPr>
            <w:tcW w:w="4147"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Effect of Exercise Warrants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pPr>
            <w:r>
              <w:rPr/>
              <w:t> </w:t>
            </w:r>
          </w:p>
        </w:tc>
        <w:tc>
          <w:tcPr>
            <w:tcW w:w="21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shd w:fill="auto" w:val="clear"/>
            <w:vAlign w:val="center"/>
          </w:tcPr>
          <w:p>
            <w:pPr>
              <w:pStyle w:val="TableContents"/>
              <w:spacing w:before="0" w:after="0"/>
              <w:ind w:left="0" w:right="0" w:hanging="0"/>
              <w:jc w:val="left"/>
              <w:rPr/>
            </w:pPr>
            <w:r>
              <w:rPr/>
              <w:t> </w:t>
            </w:r>
          </w:p>
        </w:tc>
        <w:tc>
          <w:tcPr>
            <w:tcW w:w="218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1,035,625</w:t>
            </w:r>
          </w:p>
        </w:tc>
        <w:tc>
          <w:tcPr>
            <w:tcW w:w="294" w:type="dxa"/>
            <w:tcBorders/>
            <w:shd w:fill="auto" w:val="clear"/>
            <w:vAlign w:val="center"/>
          </w:tcPr>
          <w:p>
            <w:pPr>
              <w:pStyle w:val="TableContents"/>
              <w:spacing w:before="0" w:after="0"/>
              <w:ind w:left="0" w:right="0" w:firstLine="100"/>
              <w:jc w:val="left"/>
              <w:rPr/>
            </w:pPr>
            <w:r>
              <w:rPr/>
              <w:t> </w:t>
            </w:r>
          </w:p>
        </w:tc>
      </w:tr>
      <w:tr>
        <w:trPr/>
        <w:tc>
          <w:tcPr>
            <w:tcW w:w="4147"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Effect of RSUs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213,162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26,593</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4147" w:type="dxa"/>
            <w:tcBorders/>
            <w:shd w:fill="auto" w:val="clear"/>
            <w:vAlign w:val="center"/>
          </w:tcPr>
          <w:p>
            <w:pPr>
              <w:pStyle w:val="TableContents"/>
              <w:spacing w:before="0" w:after="0"/>
              <w:ind w:left="100" w:right="0" w:hanging="0"/>
              <w:jc w:val="left"/>
              <w:rPr>
                <w:rFonts w:ascii="Calibri;sans-serif" w:hAnsi="Calibri;sans-serif"/>
                <w:b w:val="false"/>
                <w:sz w:val="20"/>
              </w:rPr>
            </w:pPr>
            <w:r>
              <w:rPr>
                <w:rFonts w:ascii="Calibri;sans-serif" w:hAnsi="Calibri;sans-serif"/>
                <w:b w:val="false"/>
                <w:sz w:val="20"/>
              </w:rPr>
              <w:t>Weighted average Class A common stock outstanding—diluted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195,823,982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198,414,147</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4147" w:type="dxa"/>
            <w:tcBorders/>
            <w:shd w:fill="auto" w:val="clear"/>
            <w:vAlign w:val="center"/>
          </w:tcPr>
          <w:p>
            <w:pPr>
              <w:pStyle w:val="TableContents"/>
              <w:spacing w:before="0" w:after="0"/>
              <w:ind w:left="100" w:right="0" w:hanging="0"/>
              <w:jc w:val="left"/>
              <w:rPr>
                <w:rFonts w:ascii="Calibri;sans-serif" w:hAnsi="Calibri;sans-serif"/>
                <w:b/>
                <w:sz w:val="20"/>
              </w:rPr>
            </w:pPr>
            <w:r>
              <w:rPr>
                <w:rFonts w:ascii="Calibri;sans-serif" w:hAnsi="Calibri;sans-serif"/>
                <w:b/>
                <w:sz w:val="20"/>
              </w:rPr>
              <w:t>Net income per Class A common stock—diluted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21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0.15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21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0.02</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60" w:after="120"/>
        <w:jc w:val="both"/>
        <w:rPr>
          <w:rFonts w:ascii="Times New Roman" w:hAnsi="Times New Roman"/>
          <w:sz w:val="20"/>
        </w:rPr>
      </w:pPr>
      <w:r>
        <w:rPr>
          <w:rFonts w:ascii="Calibri;sans-serif" w:hAnsi="Calibri;sans-serif"/>
          <w:b w:val="false"/>
          <w:sz w:val="20"/>
        </w:rPr>
        <w:t>Potential shares of common stock are excluded from the computation of diluted net income per share if their effect would have been anti-dilutive for the period presented or if the issuance of shares is contingent upon events that did not occur by the end of the period.</w:t>
      </w:r>
      <w:r>
        <w:rPr>
          <w:rFonts w:ascii="Times New Roman" w:hAnsi="Times New Roman"/>
          <w:sz w:val="20"/>
        </w:rPr>
        <w:t xml:space="preserve"> </w:t>
      </w:r>
    </w:p>
    <w:p>
      <w:pPr>
        <w:pStyle w:val="TextBody"/>
        <w:spacing w:before="160" w:after="120"/>
        <w:jc w:val="both"/>
        <w:rPr>
          <w:rFonts w:ascii="Calibri;sans-serif" w:hAnsi="Calibri;sans-serif"/>
          <w:b w:val="false"/>
          <w:sz w:val="20"/>
        </w:rPr>
      </w:pPr>
      <w:r>
        <w:rPr>
          <w:rFonts w:ascii="Calibri;sans-serif" w:hAnsi="Calibri;sans-serif"/>
          <w:b w:val="false"/>
          <w:sz w:val="20"/>
        </w:rPr>
        <w:t>The following tables present potentially dilutive securities excluded from the computation of diluted net income per share for the periods presented that could potentially dilute earnings per share in the future:</w:t>
      </w:r>
    </w:p>
    <w:tbl>
      <w:tblPr>
        <w:tblW w:w="10181" w:type="dxa"/>
        <w:jc w:val="left"/>
        <w:tblInd w:w="0" w:type="dxa"/>
        <w:tblCellMar>
          <w:top w:w="28" w:type="dxa"/>
          <w:left w:w="28" w:type="dxa"/>
          <w:bottom w:w="28" w:type="dxa"/>
          <w:right w:w="28" w:type="dxa"/>
        </w:tblCellMar>
      </w:tblPr>
      <w:tblGrid>
        <w:gridCol w:w="3136"/>
        <w:gridCol w:w="146"/>
        <w:gridCol w:w="146"/>
        <w:gridCol w:w="387"/>
        <w:gridCol w:w="2748"/>
        <w:gridCol w:w="146"/>
        <w:gridCol w:w="146"/>
        <w:gridCol w:w="387"/>
        <w:gridCol w:w="2748"/>
        <w:gridCol w:w="191"/>
      </w:tblGrid>
      <w:tr>
        <w:trPr/>
        <w:tc>
          <w:tcPr>
            <w:tcW w:w="31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27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274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1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Three Months Ended 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Three Months Ended March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3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RSUs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2748"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991,301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2748"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1,292,011</w:t>
            </w:r>
          </w:p>
        </w:tc>
        <w:tc>
          <w:tcPr>
            <w:tcW w:w="191"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2748"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9,698,759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2748"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6,660,995</w:t>
            </w:r>
          </w:p>
        </w:tc>
        <w:tc>
          <w:tcPr>
            <w:tcW w:w="191"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Public Warrants and Private Warrants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2748"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13,286,644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2748"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24,652,569</w:t>
            </w:r>
          </w:p>
        </w:tc>
        <w:tc>
          <w:tcPr>
            <w:tcW w:w="191"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Exercise Warrants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2748"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34,000,000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2748"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17,000,000</w:t>
            </w:r>
          </w:p>
        </w:tc>
        <w:tc>
          <w:tcPr>
            <w:tcW w:w="191"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Hoya Intermediate Warrants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2748"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6,000,000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2748"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6,000,000</w:t>
            </w:r>
          </w:p>
        </w:tc>
        <w:tc>
          <w:tcPr>
            <w:tcW w:w="191" w:type="dxa"/>
            <w:tcBorders/>
            <w:shd w:fill="auto" w:val="clear"/>
            <w:vAlign w:val="center"/>
          </w:tcPr>
          <w:p>
            <w:pPr>
              <w:pStyle w:val="TableContents"/>
              <w:spacing w:before="0" w:after="0"/>
              <w:ind w:left="0" w:right="0" w:hanging="0"/>
              <w:jc w:val="left"/>
              <w:rPr/>
            </w:pPr>
            <w:r>
              <w:rPr/>
              <w:t> </w:t>
            </w:r>
          </w:p>
        </w:tc>
      </w:tr>
      <w:tr>
        <w:trPr/>
        <w:tc>
          <w:tcPr>
            <w:tcW w:w="313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274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2748"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60" w:after="120"/>
        <w:jc w:val="both"/>
        <w:rPr/>
      </w:pPr>
      <w:r>
        <w:rPr/>
        <w:t> </w:t>
      </w:r>
    </w:p>
    <w:p>
      <w:pPr>
        <w:pStyle w:val="TextBody"/>
        <w:spacing w:before="0" w:after="0"/>
        <w:jc w:val="center"/>
        <w:rPr>
          <w:rFonts w:ascii="Calibri;sans-serif" w:hAnsi="Calibri;sans-serif"/>
          <w:b w:val="false"/>
          <w:sz w:val="20"/>
        </w:rPr>
      </w:pPr>
      <w:r>
        <w:rPr>
          <w:rFonts w:ascii="Calibri;sans-serif" w:hAnsi="Calibri;sans-serif"/>
          <w:b w:val="false"/>
          <w:sz w:val="20"/>
        </w:rPr>
        <w:t>20</w:t>
      </w:r>
    </w:p>
    <w:p>
      <w:pPr>
        <w:pStyle w:val="HorizontalLine"/>
        <w:rPr/>
      </w:pPr>
      <w:r>
        <w:rPr/>
      </w:r>
    </w:p>
    <w:p>
      <w:pPr>
        <w:pStyle w:val="TextBody"/>
        <w:spacing w:before="0" w:after="0"/>
        <w:jc w:val="left"/>
        <w:rPr/>
      </w:pPr>
      <w:r>
        <w:rPr/>
        <w:t> </w:t>
      </w:r>
    </w:p>
    <w:p>
      <w:pPr>
        <w:pStyle w:val="TextBody"/>
        <w:spacing w:before="160" w:after="120"/>
        <w:jc w:val="center"/>
        <w:rPr>
          <w:rFonts w:ascii="Calibri;sans-serif" w:hAnsi="Calibri;sans-serif"/>
          <w:b/>
          <w:sz w:val="20"/>
        </w:rPr>
      </w:pPr>
      <w:bookmarkStart w:id="11" w:name="management_discussion_analysis"/>
      <w:bookmarkEnd w:id="11"/>
      <w:r>
        <w:rPr>
          <w:rFonts w:ascii="Calibri;sans-serif" w:hAnsi="Calibri;sans-serif"/>
          <w:b/>
          <w:sz w:val="20"/>
        </w:rPr>
        <w:t>VIVID SEATS INC.</w:t>
      </w:r>
    </w:p>
    <w:p>
      <w:pPr>
        <w:pStyle w:val="TextBody"/>
        <w:spacing w:before="160" w:after="120"/>
        <w:jc w:val="center"/>
        <w:rPr>
          <w:rFonts w:ascii="Calibri;sans-serif" w:hAnsi="Calibri;sans-serif"/>
          <w:b/>
          <w:sz w:val="20"/>
        </w:rPr>
      </w:pPr>
      <w:r>
        <w:rPr>
          <w:rFonts w:ascii="Calibri;sans-serif" w:hAnsi="Calibri;sans-serif"/>
          <w:b/>
          <w:sz w:val="20"/>
        </w:rPr>
        <w:t>Item 2. MANAGEMENT’S DISCUSSION AND ANALYSIS OF FINANCIAL CONDITION AND RESULTS OF OPERATIONS</w:t>
      </w:r>
    </w:p>
    <w:p>
      <w:pPr>
        <w:pStyle w:val="TextBody"/>
        <w:spacing w:before="160" w:after="120"/>
        <w:jc w:val="both"/>
        <w:rPr>
          <w:rFonts w:ascii="Calibri;sans-serif" w:hAnsi="Calibri;sans-serif"/>
          <w:b w:val="false"/>
          <w:i/>
          <w:sz w:val="20"/>
        </w:rPr>
      </w:pPr>
      <w:r>
        <w:rPr>
          <w:rFonts w:ascii="Calibri;sans-serif" w:hAnsi="Calibri;sans-serif"/>
          <w:b w:val="false"/>
          <w:i/>
          <w:sz w:val="20"/>
        </w:rPr>
        <w:t>Our discussion and analysis is intended to help the reader understand our results of operations and financial condition and is provided as an addition to, and should be read in connection with, our condensed consolidated financial statements and related notes included elsewhere in this Quarterly Report on Form 10-Q, as well as our consolidated financial statements and the accompanying notes contained in our Annual Report on Form 10-K for the year ended December 31, 2022 (the “2022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 of our 2022 Form 10-K and other factors set forth in other parts of this Quarterly Report on Form 10-Q and our filings with the SEC.</w:t>
      </w:r>
    </w:p>
    <w:p>
      <w:pPr>
        <w:pStyle w:val="TextBody"/>
        <w:spacing w:before="160" w:after="120"/>
        <w:jc w:val="both"/>
        <w:rPr>
          <w:rFonts w:ascii="Times New Roman" w:hAnsi="Times New Roman"/>
          <w:sz w:val="20"/>
        </w:rPr>
      </w:pPr>
      <w:r>
        <w:rPr>
          <w:rFonts w:ascii="Calibri;sans-serif" w:hAnsi="Calibri;sans-serif"/>
          <w:b/>
          <w:sz w:val="20"/>
        </w:rPr>
        <w:t>Overview</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sz w:val="20"/>
        </w:rPr>
        <w:t>We are an online ticket marketplace that utilizes our technology platform to connect fans of live events seamlessly with ticket sellers. Our mission is to empower and enable fans to Experience It Live. We believe in the power of shared experiences to connect people with live events delivering some of life’s most exciting moments. We operate a technology platform and marketplace that enables ticket buyers to easily discover and purchase tickets from ticket sellers while enabling ticket sellers to seamlessly manage their operations. We differentiate from competitors by offering an extensive breadth and depth of ticket listings at a competitive value. During the three months ended March 31, 2023, our revenues were $161.1 million and our Marketplace Gross Order Value ("Marketplace GOV") was $855.5 million. During the three months ended March 31, 2022, our revenues were $130.8 million and our Marketplace GOV was $742.1 million. Our net income was $30.3 million and $3.1 million for the three months ended March 31, 2023 and 2022, respectively.</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sz w:val="20"/>
        </w:rPr>
        <w:t>Our Business Model</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sz w:val="20"/>
        </w:rPr>
        <w:t>We operate our business in two segments, Marketplace and Resale.</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i/>
          <w:sz w:val="20"/>
        </w:rPr>
        <w:t>Marketplace</w:t>
      </w:r>
      <w:r>
        <w:rPr>
          <w:rFonts w:ascii="Times New Roman" w:hAnsi="Times New Roman"/>
          <w:sz w:val="20"/>
        </w:rPr>
        <w:t xml:space="preserve"> </w:t>
      </w:r>
    </w:p>
    <w:p>
      <w:pPr>
        <w:pStyle w:val="TextBody"/>
        <w:spacing w:before="160" w:after="120"/>
        <w:jc w:val="both"/>
        <w:rPr>
          <w:rFonts w:ascii="Calibri;sans-serif" w:hAnsi="Calibri;sans-serif"/>
          <w:b w:val="false"/>
          <w:sz w:val="20"/>
        </w:rPr>
      </w:pPr>
      <w:r>
        <w:rPr>
          <w:rFonts w:ascii="Calibri;sans-serif" w:hAnsi="Calibri;sans-serif"/>
          <w:b w:val="false"/>
          <w:sz w:val="20"/>
        </w:rPr>
        <w:t>In our Marketplace segment, we act as an intermediary between ticket buyers and sellers through which we earn revenue from processing ticket sales on our website and mobile applications and sales initiated through our numerous distribution partners. Our Marketplace segment also includes our daily fantasy sports offering, where users partake in contests by making picks from a variety of sport and player matchups. Using our online platform, we facilitate customer payments, deposits and withdrawals, coordinate ticket deliveries, and provide customer service to our ticket buyers and sellers and daily fantasy sports users. We do not hold ticket inventory in our Marketplace segment.</w:t>
      </w:r>
    </w:p>
    <w:p>
      <w:pPr>
        <w:pStyle w:val="TextBody"/>
        <w:spacing w:before="160" w:after="120"/>
        <w:jc w:val="both"/>
        <w:rPr>
          <w:rFonts w:ascii="Times New Roman" w:hAnsi="Times New Roman"/>
          <w:sz w:val="20"/>
        </w:rPr>
      </w:pPr>
      <w:r>
        <w:rPr>
          <w:rFonts w:ascii="Calibri;sans-serif" w:hAnsi="Calibri;sans-serif"/>
          <w:b w:val="false"/>
          <w:sz w:val="20"/>
        </w:rPr>
        <w:t>We primarily earn revenue from service and delivery fees charged to ticket buyers. We also earn referral fee revenue by offering event ticket insurance to ticket buyers, using a third-party insurance provider. The revenue we earn from our daily fantasy sports offering is the difference between cash entry fees collected and cash amounts paid out to users for winning picks, less customer promotions and incentives in a period.</w:t>
      </w:r>
      <w:r>
        <w:rPr>
          <w:rFonts w:ascii="Times New Roman" w:hAnsi="Times New Roman"/>
          <w:sz w:val="20"/>
        </w:rPr>
        <w:t xml:space="preserve"> </w:t>
      </w:r>
    </w:p>
    <w:p>
      <w:pPr>
        <w:pStyle w:val="TextBody"/>
        <w:spacing w:before="160" w:after="120"/>
        <w:jc w:val="both"/>
        <w:rPr>
          <w:rFonts w:ascii="Calibri;sans-serif" w:hAnsi="Calibri;sans-serif"/>
          <w:b w:val="false"/>
          <w:sz w:val="20"/>
        </w:rPr>
      </w:pPr>
      <w:r>
        <w:rPr>
          <w:rFonts w:ascii="Calibri;sans-serif" w:hAnsi="Calibri;sans-serif"/>
          <w:b w:val="false"/>
          <w:sz w:val="20"/>
        </w:rPr>
        <w:t>We incur costs for developing and maintaining our platform, providing back-office and customer support to ticket buyers, sellers and daily fantasy sports users, facilitating payments and deposits, and shipping non-electronic tickets. We also incur substantial marketing costs, primarily related to online advertising.</w:t>
      </w:r>
    </w:p>
    <w:p>
      <w:pPr>
        <w:pStyle w:val="TextBody"/>
        <w:spacing w:before="160" w:after="120"/>
        <w:jc w:val="both"/>
        <w:rPr>
          <w:rFonts w:ascii="Calibri;sans-serif" w:hAnsi="Calibri;sans-serif"/>
          <w:b w:val="false"/>
          <w:sz w:val="20"/>
        </w:rPr>
      </w:pPr>
      <w:r>
        <w:rPr>
          <w:rFonts w:ascii="Calibri;sans-serif" w:hAnsi="Calibri;sans-serif"/>
          <w:b w:val="false"/>
          <w:sz w:val="20"/>
        </w:rPr>
        <w:t>A key component of our platform is Skybox, a proprietary ERP tool used by the majority of our ticket sellers. Skybox is a free-to-use system that helps ticket sellers manage ticket inventories, adjust pricing, and fulfill orders across multiple ticket resale marketplaces. Professional ticket sellers use an ERP to manage their operations and Skybox is their most widely adopted ERP.</w:t>
      </w:r>
    </w:p>
    <w:p>
      <w:pPr>
        <w:pStyle w:val="TextBody"/>
        <w:spacing w:before="160" w:after="120"/>
        <w:jc w:val="both"/>
        <w:rPr>
          <w:rFonts w:ascii="Times New Roman" w:hAnsi="Times New Roman"/>
          <w:sz w:val="20"/>
        </w:rPr>
      </w:pPr>
      <w:r>
        <w:rPr>
          <w:rFonts w:ascii="Calibri;sans-serif" w:hAnsi="Calibri;sans-serif"/>
          <w:b w:val="false"/>
          <w:i/>
          <w:sz w:val="20"/>
        </w:rPr>
        <w:t>Resale</w:t>
      </w:r>
      <w:r>
        <w:rPr>
          <w:rFonts w:ascii="Times New Roman" w:hAnsi="Times New Roman"/>
          <w:sz w:val="20"/>
        </w:rPr>
        <w:t xml:space="preserve"> </w:t>
      </w:r>
    </w:p>
    <w:p>
      <w:pPr>
        <w:pStyle w:val="TextBody"/>
        <w:spacing w:before="0" w:after="0"/>
        <w:jc w:val="center"/>
        <w:rPr>
          <w:rFonts w:ascii="Calibri;sans-serif" w:hAnsi="Calibri;sans-serif"/>
          <w:b w:val="false"/>
          <w:sz w:val="20"/>
        </w:rPr>
      </w:pPr>
      <w:r>
        <w:rPr>
          <w:rFonts w:ascii="Calibri;sans-serif" w:hAnsi="Calibri;sans-serif"/>
          <w:b w:val="false"/>
          <w:sz w:val="20"/>
        </w:rPr>
        <w:t>21</w:t>
      </w:r>
    </w:p>
    <w:p>
      <w:pPr>
        <w:pStyle w:val="HorizontalLine"/>
        <w:rPr/>
      </w:pPr>
      <w:r>
        <w:rPr/>
      </w:r>
    </w:p>
    <w:p>
      <w:pPr>
        <w:pStyle w:val="TextBody"/>
        <w:spacing w:before="0" w:after="0"/>
        <w:jc w:val="left"/>
        <w:rPr/>
      </w:pPr>
      <w:r>
        <w:rPr/>
        <w:t> </w:t>
      </w:r>
    </w:p>
    <w:p>
      <w:pPr>
        <w:pStyle w:val="TextBody"/>
        <w:spacing w:before="160" w:after="120"/>
        <w:jc w:val="both"/>
        <w:rPr>
          <w:rFonts w:ascii="Calibri;sans-serif" w:hAnsi="Calibri;sans-serif"/>
          <w:b w:val="false"/>
          <w:sz w:val="20"/>
        </w:rPr>
      </w:pPr>
      <w:r>
        <w:rPr>
          <w:rFonts w:ascii="Calibri;sans-serif" w:hAnsi="Calibri;sans-serif"/>
          <w:b w:val="false"/>
          <w:sz w:val="20"/>
        </w:rPr>
        <w:t>In our Resale segment, we acquire tickets to resell on secondary ticketing marketplaces, including our own. Our Resale segment also provides internal research and development support for Skybox and our ongoing efforts to deliver industry-leading seller software and tools.</w:t>
      </w:r>
    </w:p>
    <w:p>
      <w:pPr>
        <w:pStyle w:val="TextBody"/>
        <w:spacing w:before="160" w:after="120"/>
        <w:jc w:val="both"/>
        <w:rPr>
          <w:rFonts w:ascii="Times New Roman" w:hAnsi="Times New Roman"/>
          <w:sz w:val="20"/>
        </w:rPr>
      </w:pPr>
      <w:r>
        <w:rPr>
          <w:rFonts w:ascii="Calibri;sans-serif" w:hAnsi="Calibri;sans-serif"/>
          <w:b/>
          <w:sz w:val="20"/>
        </w:rPr>
        <w:t>Key Business Metrics and Non-GAAP Financial Measures</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sz w:val="20"/>
        </w:rPr>
        <w:t>We use the following metrics to evaluate our performance, identify trends, formulate financial projections, and make strategic decisions. We believe that these metrics provide useful information to investors and others in understanding and evaluating our results of operations in the same manner as our management team.</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sz w:val="20"/>
        </w:rPr>
        <w:t>The following table summarizes our key business metrics and non-GAAP financial measure (in thousands):</w:t>
      </w:r>
      <w:r>
        <w:rPr>
          <w:rFonts w:ascii="Times New Roman" w:hAnsi="Times New Roman"/>
          <w:sz w:val="20"/>
        </w:rPr>
        <w:t xml:space="preserve"> </w:t>
      </w:r>
    </w:p>
    <w:tbl>
      <w:tblPr>
        <w:tblW w:w="5271" w:type="dxa"/>
        <w:jc w:val="left"/>
        <w:tblInd w:w="0" w:type="dxa"/>
        <w:tblCellMar>
          <w:top w:w="28" w:type="dxa"/>
          <w:left w:w="28" w:type="dxa"/>
          <w:bottom w:w="28" w:type="dxa"/>
          <w:right w:w="28" w:type="dxa"/>
        </w:tblCellMar>
      </w:tblPr>
      <w:tblGrid>
        <w:gridCol w:w="2266"/>
        <w:gridCol w:w="146"/>
        <w:gridCol w:w="247"/>
        <w:gridCol w:w="916"/>
        <w:gridCol w:w="171"/>
        <w:gridCol w:w="171"/>
        <w:gridCol w:w="247"/>
        <w:gridCol w:w="916"/>
        <w:gridCol w:w="191"/>
      </w:tblGrid>
      <w:tr>
        <w:trPr/>
        <w:tc>
          <w:tcPr>
            <w:tcW w:w="2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6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6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2023</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16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66" w:type="dxa"/>
            <w:tcBorders/>
            <w:shd w:fill="auto" w:val="clear"/>
            <w:vAlign w:val="center"/>
          </w:tcPr>
          <w:p>
            <w:pPr>
              <w:pStyle w:val="TableContents"/>
              <w:spacing w:before="0" w:after="0"/>
              <w:ind w:left="0" w:right="0" w:hanging="0"/>
              <w:jc w:val="left"/>
              <w:rPr>
                <w:rFonts w:ascii="Times New Roman" w:hAnsi="Times New Roman"/>
                <w:sz w:val="20"/>
              </w:rPr>
            </w:pPr>
            <w:r>
              <w:rPr>
                <w:rFonts w:ascii="Calibri;sans-serif" w:hAnsi="Calibri;sans-serif"/>
                <w:b w:val="false"/>
                <w:sz w:val="20"/>
              </w:rPr>
              <w:t>Marketplace GOV</w:t>
            </w:r>
            <w:r>
              <w:rPr>
                <w:rFonts w:ascii="Calibri;sans-serif" w:hAnsi="Calibri;sans-serif"/>
                <w:b w:val="false"/>
                <w:sz w:val="13"/>
              </w:rPr>
              <w:t>(1)</w:t>
            </w:r>
          </w:p>
        </w:tc>
        <w:tc>
          <w:tcPr>
            <w:tcW w:w="146" w:type="dxa"/>
            <w:tcBorders/>
            <w:shd w:fill="auto" w:val="clear"/>
            <w:vAlign w:val="center"/>
          </w:tcPr>
          <w:p>
            <w:pPr>
              <w:pStyle w:val="TableContents"/>
              <w:spacing w:before="0" w:after="0"/>
              <w:ind w:left="0" w:right="0" w:hanging="0"/>
              <w:jc w:val="center"/>
              <w:rPr/>
            </w:pPr>
            <w:r>
              <w:rPr/>
              <w:t> </w:t>
            </w:r>
          </w:p>
        </w:tc>
        <w:tc>
          <w:tcPr>
            <w:tcW w:w="247"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1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855,528</w:t>
            </w:r>
          </w:p>
        </w:tc>
        <w:tc>
          <w:tcPr>
            <w:tcW w:w="171"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center"/>
              <w:rPr/>
            </w:pPr>
            <w:r>
              <w:rPr/>
              <w:t> </w:t>
            </w:r>
          </w:p>
        </w:tc>
        <w:tc>
          <w:tcPr>
            <w:tcW w:w="247"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1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742,138</w:t>
            </w:r>
          </w:p>
        </w:tc>
        <w:tc>
          <w:tcPr>
            <w:tcW w:w="191" w:type="dxa"/>
            <w:tcBorders/>
            <w:shd w:fill="auto" w:val="cle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rFonts w:ascii="Times New Roman" w:hAnsi="Times New Roman"/>
                <w:sz w:val="20"/>
              </w:rPr>
            </w:pPr>
            <w:r>
              <w:rPr>
                <w:rFonts w:ascii="Calibri;sans-serif" w:hAnsi="Calibri;sans-serif"/>
                <w:b w:val="false"/>
                <w:sz w:val="20"/>
              </w:rPr>
              <w:t>Total Marketplace orders</w:t>
            </w:r>
            <w:r>
              <w:rPr>
                <w:rFonts w:ascii="Calibri;sans-serif" w:hAnsi="Calibri;sans-serif"/>
                <w:b w:val="false"/>
                <w:sz w:val="13"/>
              </w:rPr>
              <w:t>(2)</w:t>
            </w:r>
          </w:p>
        </w:tc>
        <w:tc>
          <w:tcPr>
            <w:tcW w:w="146" w:type="dxa"/>
            <w:tcBorders/>
            <w:shd w:fill="auto" w:val="clear"/>
            <w:vAlign w:val="center"/>
          </w:tcPr>
          <w:p>
            <w:pPr>
              <w:pStyle w:val="TableContents"/>
              <w:spacing w:before="0" w:after="0"/>
              <w:ind w:left="0" w:right="0" w:hanging="0"/>
              <w:jc w:val="center"/>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2,275</w:t>
            </w:r>
          </w:p>
        </w:tc>
        <w:tc>
          <w:tcPr>
            <w:tcW w:w="171"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center"/>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2,019</w:t>
            </w:r>
          </w:p>
        </w:tc>
        <w:tc>
          <w:tcPr>
            <w:tcW w:w="191" w:type="dxa"/>
            <w:tcBorders/>
            <w:shd w:fill="auto" w:val="cle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rFonts w:ascii="Times New Roman" w:hAnsi="Times New Roman"/>
                <w:sz w:val="20"/>
              </w:rPr>
            </w:pPr>
            <w:r>
              <w:rPr>
                <w:rFonts w:ascii="Calibri;sans-serif" w:hAnsi="Calibri;sans-serif"/>
                <w:b w:val="false"/>
                <w:sz w:val="20"/>
              </w:rPr>
              <w:t>Total Resale orders</w:t>
            </w:r>
            <w:r>
              <w:rPr>
                <w:rFonts w:ascii="Calibri;sans-serif" w:hAnsi="Calibri;sans-serif"/>
                <w:b w:val="false"/>
                <w:sz w:val="13"/>
              </w:rPr>
              <w:t>(3)</w:t>
            </w:r>
          </w:p>
        </w:tc>
        <w:tc>
          <w:tcPr>
            <w:tcW w:w="146" w:type="dxa"/>
            <w:tcBorders/>
            <w:shd w:fill="auto" w:val="clear"/>
            <w:vAlign w:val="center"/>
          </w:tcPr>
          <w:p>
            <w:pPr>
              <w:pStyle w:val="TableContents"/>
              <w:spacing w:before="0" w:after="0"/>
              <w:ind w:left="0" w:right="0" w:hanging="0"/>
              <w:jc w:val="center"/>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87</w:t>
            </w:r>
          </w:p>
        </w:tc>
        <w:tc>
          <w:tcPr>
            <w:tcW w:w="171"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center"/>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68</w:t>
            </w:r>
          </w:p>
        </w:tc>
        <w:tc>
          <w:tcPr>
            <w:tcW w:w="191" w:type="dxa"/>
            <w:tcBorders/>
            <w:shd w:fill="auto" w:val="clear"/>
            <w:vAlign w:val="center"/>
          </w:tcPr>
          <w:p>
            <w:pPr>
              <w:pStyle w:val="TableContents"/>
              <w:spacing w:before="0" w:after="0"/>
              <w:ind w:left="0" w:right="0" w:hanging="0"/>
              <w:jc w:val="left"/>
              <w:rPr/>
            </w:pPr>
            <w:r>
              <w:rPr/>
              <w:t> </w:t>
            </w:r>
          </w:p>
        </w:tc>
      </w:tr>
      <w:tr>
        <w:trPr/>
        <w:tc>
          <w:tcPr>
            <w:tcW w:w="2266" w:type="dxa"/>
            <w:tcBorders/>
            <w:shd w:fill="auto" w:val="clear"/>
            <w:vAlign w:val="center"/>
          </w:tcPr>
          <w:p>
            <w:pPr>
              <w:pStyle w:val="TableContents"/>
              <w:spacing w:before="0" w:after="0"/>
              <w:ind w:left="0" w:right="0" w:hanging="0"/>
              <w:jc w:val="left"/>
              <w:rPr>
                <w:rFonts w:ascii="Times New Roman" w:hAnsi="Times New Roman"/>
                <w:sz w:val="20"/>
              </w:rPr>
            </w:pPr>
            <w:r>
              <w:rPr>
                <w:rFonts w:ascii="Calibri;sans-serif" w:hAnsi="Calibri;sans-serif"/>
                <w:b w:val="false"/>
                <w:sz w:val="20"/>
              </w:rPr>
              <w:t>Adjusted EBITDA</w:t>
            </w:r>
            <w:r>
              <w:rPr>
                <w:rFonts w:ascii="Calibri;sans-serif" w:hAnsi="Calibri;sans-serif"/>
                <w:b w:val="false"/>
                <w:sz w:val="13"/>
              </w:rPr>
              <w:t>(4)</w:t>
            </w:r>
          </w:p>
        </w:tc>
        <w:tc>
          <w:tcPr>
            <w:tcW w:w="146" w:type="dxa"/>
            <w:tcBorders/>
            <w:shd w:fill="auto" w:val="clear"/>
            <w:vAlign w:val="center"/>
          </w:tcPr>
          <w:p>
            <w:pPr>
              <w:pStyle w:val="TableContents"/>
              <w:spacing w:before="0" w:after="0"/>
              <w:ind w:left="0" w:right="0" w:hanging="0"/>
              <w:jc w:val="center"/>
              <w:rPr/>
            </w:pPr>
            <w:r>
              <w:rPr/>
              <w:t> </w:t>
            </w:r>
          </w:p>
        </w:tc>
        <w:tc>
          <w:tcPr>
            <w:tcW w:w="247"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1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42,435</w:t>
            </w:r>
          </w:p>
        </w:tc>
        <w:tc>
          <w:tcPr>
            <w:tcW w:w="171"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center"/>
              <w:rPr/>
            </w:pPr>
            <w:r>
              <w:rPr/>
              <w:t> </w:t>
            </w:r>
          </w:p>
        </w:tc>
        <w:tc>
          <w:tcPr>
            <w:tcW w:w="247"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1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21,012</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60" w:after="120"/>
        <w:jc w:val="both"/>
        <w:rPr>
          <w:rFonts w:ascii="Calibri" w:hAnsi="Calibri"/>
          <w:b w:val="false"/>
          <w:sz w:val="20"/>
        </w:rPr>
      </w:pPr>
      <w:r>
        <w:rPr>
          <w:rFonts w:ascii="Calibri" w:hAnsi="Calibri"/>
          <w:b w:val="false"/>
          <w:sz w:val="20"/>
        </w:rPr>
        <w:t>(1)</w:t>
      </w:r>
    </w:p>
    <w:p>
      <w:pPr>
        <w:pStyle w:val="TextBody"/>
        <w:spacing w:before="160" w:after="120"/>
        <w:jc w:val="both"/>
        <w:rPr>
          <w:rFonts w:ascii="Calibri;sans-serif" w:hAnsi="Calibri;sans-serif"/>
          <w:b w:val="false"/>
          <w:sz w:val="20"/>
        </w:rPr>
      </w:pPr>
      <w:r>
        <w:rPr>
          <w:rFonts w:ascii="Calibri;sans-serif" w:hAnsi="Calibri;sans-serif"/>
          <w:b w:val="false"/>
          <w:sz w:val="20"/>
        </w:rPr>
        <w:t>Marketplace GOV represents the total transactional amount of Marketplace segment orders placed on our platform in a period, inclusive of fees, exclusive of taxes, and net of event cancellations that occurred during that period. Marketplace GOV was negatively impacted by event cancellations in the amount of $12.1 million during the three months ended March 31, 2023, and $34.8 million during the three months ended March 31, 2022.</w:t>
      </w:r>
    </w:p>
    <w:p>
      <w:pPr>
        <w:pStyle w:val="TextBody"/>
        <w:spacing w:before="160" w:after="120"/>
        <w:jc w:val="both"/>
        <w:rPr>
          <w:rFonts w:ascii="Calibri" w:hAnsi="Calibri"/>
          <w:b w:val="false"/>
          <w:sz w:val="20"/>
        </w:rPr>
      </w:pPr>
      <w:r>
        <w:rPr>
          <w:rFonts w:ascii="Calibri" w:hAnsi="Calibri"/>
          <w:b w:val="false"/>
          <w:sz w:val="20"/>
        </w:rPr>
        <w:t>(2)</w:t>
      </w:r>
    </w:p>
    <w:p>
      <w:pPr>
        <w:pStyle w:val="TextBody"/>
        <w:spacing w:before="160" w:after="120"/>
        <w:jc w:val="both"/>
        <w:rPr>
          <w:rFonts w:ascii="Calibri;sans-serif" w:hAnsi="Calibri;sans-serif"/>
          <w:b w:val="false"/>
          <w:sz w:val="20"/>
        </w:rPr>
      </w:pPr>
      <w:r>
        <w:rPr>
          <w:rFonts w:ascii="Calibri;sans-serif" w:hAnsi="Calibri;sans-serif"/>
          <w:b w:val="false"/>
          <w:sz w:val="20"/>
        </w:rPr>
        <w:t>Total Marketplace orders represent the volume of Marketplace segment orders placed on our platform during a period, net of event cancellations that occurred during that period. During the three months ended March 31, 2023, our Marketplace segment experienced 20,480 event cancellations, compared to 91,400 event cancellations during the three months ended March 31, 2022.</w:t>
      </w:r>
    </w:p>
    <w:p>
      <w:pPr>
        <w:pStyle w:val="TextBody"/>
        <w:spacing w:before="160" w:after="120"/>
        <w:jc w:val="both"/>
        <w:rPr>
          <w:rFonts w:ascii="Calibri" w:hAnsi="Calibri"/>
          <w:b w:val="false"/>
          <w:sz w:val="20"/>
        </w:rPr>
      </w:pPr>
      <w:r>
        <w:rPr>
          <w:rFonts w:ascii="Calibri" w:hAnsi="Calibri"/>
          <w:b w:val="false"/>
          <w:sz w:val="20"/>
        </w:rPr>
        <w:t>(3)</w:t>
      </w:r>
    </w:p>
    <w:p>
      <w:pPr>
        <w:pStyle w:val="TextBody"/>
        <w:spacing w:before="160" w:after="120"/>
        <w:jc w:val="both"/>
        <w:rPr>
          <w:rFonts w:ascii="Calibri;sans-serif" w:hAnsi="Calibri;sans-serif"/>
          <w:b w:val="false"/>
          <w:sz w:val="20"/>
        </w:rPr>
      </w:pPr>
      <w:r>
        <w:rPr>
          <w:rFonts w:ascii="Calibri;sans-serif" w:hAnsi="Calibri;sans-serif"/>
          <w:b w:val="false"/>
          <w:sz w:val="20"/>
        </w:rPr>
        <w:t>Total Resale orders represent the volume of Resale segment orders sold by our Resale team in a period, net of event cancellations that occurred during that period. During the three months ended March 31, 2023, our Resale segment experienced 685 event cancellations, compared to 2,559 event cancellations during the three months ended March 31, 2022.</w:t>
      </w:r>
    </w:p>
    <w:p>
      <w:pPr>
        <w:pStyle w:val="TextBody"/>
        <w:spacing w:before="160" w:after="120"/>
        <w:jc w:val="both"/>
        <w:rPr>
          <w:rFonts w:ascii="Calibri" w:hAnsi="Calibri"/>
          <w:b w:val="false"/>
          <w:sz w:val="20"/>
        </w:rPr>
      </w:pPr>
      <w:r>
        <w:rPr>
          <w:rFonts w:ascii="Calibri" w:hAnsi="Calibri"/>
          <w:b w:val="false"/>
          <w:sz w:val="20"/>
        </w:rPr>
        <w:t>(4)</w:t>
      </w:r>
    </w:p>
    <w:p>
      <w:pPr>
        <w:pStyle w:val="TextBody"/>
        <w:spacing w:before="160" w:after="120"/>
        <w:jc w:val="both"/>
        <w:rPr/>
      </w:pPr>
      <w:r>
        <w:rPr>
          <w:rFonts w:ascii="Calibri;sans-serif" w:hAnsi="Calibri;sans-serif"/>
          <w:b w:val="false"/>
          <w:sz w:val="20"/>
        </w:rPr>
        <w:t xml:space="preserve">Adjusted EBITDA is not a measure defined under US GAAP accounting principles. We believe Adjusted EBITDA provides useful information to investors and others in understanding and evaluating our results of operations, as well as provides a useful measure for period-to-period comparisons of our business performance. Refer to the </w:t>
      </w:r>
      <w:r>
        <w:rPr>
          <w:rFonts w:ascii="Calibri;sans-serif" w:hAnsi="Calibri;sans-serif"/>
          <w:b w:val="false"/>
          <w:i/>
          <w:sz w:val="20"/>
        </w:rPr>
        <w:t xml:space="preserve">Adjusted EBITDA </w:t>
      </w:r>
      <w:r>
        <w:rPr>
          <w:rFonts w:ascii="Calibri;sans-serif" w:hAnsi="Calibri;sans-serif"/>
          <w:b w:val="false"/>
          <w:sz w:val="20"/>
        </w:rPr>
        <w:t>section below for a reconciliation to its most directly comparable GAAP measure.</w:t>
      </w:r>
    </w:p>
    <w:p>
      <w:pPr>
        <w:pStyle w:val="TextBody"/>
        <w:spacing w:before="160" w:after="120"/>
        <w:jc w:val="both"/>
        <w:rPr>
          <w:rFonts w:ascii="Times New Roman" w:hAnsi="Times New Roman"/>
          <w:sz w:val="20"/>
        </w:rPr>
      </w:pPr>
      <w:r>
        <w:rPr>
          <w:rFonts w:ascii="Calibri;sans-serif" w:hAnsi="Calibri;sans-serif"/>
          <w:b w:val="false"/>
          <w:i/>
          <w:sz w:val="20"/>
        </w:rPr>
        <w:t>Marketplace GOV</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sz w:val="20"/>
        </w:rPr>
        <w:t>Marketplace GOV is a key driver of our Marketplace segment revenue. Marketplace GOV represents the total transactional amount of Marketplace orders in a period, inclusive of fees, exclusive of taxes, and net of event cancellations that occurred during that period. Marketplace GOV reflects our ability to attract and retain customers, as well as the overall health of the industry.</w:t>
      </w:r>
      <w:r>
        <w:rPr>
          <w:rFonts w:ascii="Times New Roman" w:hAnsi="Times New Roman"/>
          <w:sz w:val="20"/>
        </w:rPr>
        <w:t xml:space="preserve"> </w:t>
      </w:r>
    </w:p>
    <w:p>
      <w:pPr>
        <w:pStyle w:val="TextBody"/>
        <w:spacing w:before="160" w:after="120"/>
        <w:jc w:val="both"/>
        <w:rPr>
          <w:rFonts w:ascii="Calibri;sans-serif" w:hAnsi="Calibri;sans-serif"/>
          <w:b w:val="false"/>
          <w:sz w:val="20"/>
        </w:rPr>
      </w:pPr>
      <w:r>
        <w:rPr>
          <w:rFonts w:ascii="Calibri;sans-serif" w:hAnsi="Calibri;sans-serif"/>
          <w:b w:val="false"/>
          <w:sz w:val="20"/>
        </w:rPr>
        <w:t>Our Marketplace GOV is impacted by seasonality, and typically sees increased activity in the fourth quarter when all major sports leagues are in season and we experience increases in order volume for theater events during the holiday season and concert on-sales for the subsequent year. Quarterly fluctuations in our Marketplace GOV result from the number of cancellations, the popularity and demand of performers, tours, teams, and events, and the length and team composition of sports playoff series and championship games.</w:t>
      </w:r>
    </w:p>
    <w:p>
      <w:pPr>
        <w:pStyle w:val="TextBody"/>
        <w:spacing w:before="160" w:after="120"/>
        <w:jc w:val="both"/>
        <w:rPr>
          <w:rFonts w:ascii="Times New Roman" w:hAnsi="Times New Roman"/>
          <w:sz w:val="20"/>
        </w:rPr>
      </w:pPr>
      <w:r>
        <w:rPr>
          <w:rFonts w:ascii="Calibri;sans-serif" w:hAnsi="Calibri;sans-serif"/>
          <w:b w:val="false"/>
          <w:i/>
          <w:sz w:val="20"/>
        </w:rPr>
        <w:t>Total Marketplace Orders</w:t>
      </w:r>
      <w:r>
        <w:rPr>
          <w:rFonts w:ascii="Times New Roman" w:hAnsi="Times New Roman"/>
          <w:sz w:val="20"/>
        </w:rPr>
        <w:t xml:space="preserve"> </w:t>
      </w:r>
    </w:p>
    <w:p>
      <w:pPr>
        <w:pStyle w:val="TextBody"/>
        <w:spacing w:before="0" w:after="0"/>
        <w:jc w:val="center"/>
        <w:rPr>
          <w:rFonts w:ascii="Calibri;sans-serif" w:hAnsi="Calibri;sans-serif"/>
          <w:b w:val="false"/>
          <w:sz w:val="20"/>
        </w:rPr>
      </w:pPr>
      <w:r>
        <w:rPr>
          <w:rFonts w:ascii="Calibri;sans-serif" w:hAnsi="Calibri;sans-serif"/>
          <w:b w:val="false"/>
          <w:sz w:val="20"/>
        </w:rPr>
        <w:t>22</w:t>
      </w:r>
    </w:p>
    <w:p>
      <w:pPr>
        <w:pStyle w:val="HorizontalLine"/>
        <w:rPr/>
      </w:pPr>
      <w:r>
        <w:rPr/>
      </w:r>
    </w:p>
    <w:p>
      <w:pPr>
        <w:pStyle w:val="TextBody"/>
        <w:spacing w:before="0" w:after="0"/>
        <w:jc w:val="left"/>
        <w:rPr/>
      </w:pPr>
      <w:r>
        <w:rPr/>
        <w:t> </w:t>
      </w:r>
    </w:p>
    <w:p>
      <w:pPr>
        <w:pStyle w:val="TextBody"/>
        <w:spacing w:before="160" w:after="120"/>
        <w:jc w:val="both"/>
        <w:rPr>
          <w:rFonts w:ascii="Calibri;sans-serif" w:hAnsi="Calibri;sans-serif"/>
          <w:b w:val="false"/>
          <w:sz w:val="20"/>
        </w:rPr>
      </w:pPr>
      <w:r>
        <w:rPr>
          <w:rFonts w:ascii="Calibri;sans-serif" w:hAnsi="Calibri;sans-serif"/>
          <w:b w:val="false"/>
          <w:sz w:val="20"/>
        </w:rPr>
        <w:t>Total Marketplace orders represent the volume of Marketplace segment orders placed on our platform in a period, net of event cancellations. An order can include one or more tickets and/or parking passes. Total Marketplace orders allow us to monitor order volume and better identify trends within our Marketplace segment.</w:t>
      </w:r>
    </w:p>
    <w:p>
      <w:pPr>
        <w:pStyle w:val="TextBody"/>
        <w:spacing w:before="160" w:after="120"/>
        <w:jc w:val="both"/>
        <w:rPr>
          <w:rFonts w:ascii="Times New Roman" w:hAnsi="Times New Roman"/>
          <w:sz w:val="20"/>
        </w:rPr>
      </w:pPr>
      <w:r>
        <w:rPr>
          <w:rFonts w:ascii="Calibri;sans-serif" w:hAnsi="Calibri;sans-serif"/>
          <w:b w:val="false"/>
          <w:i/>
          <w:sz w:val="20"/>
        </w:rPr>
        <w:t>Total Resale Orders</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sz w:val="20"/>
        </w:rPr>
        <w:t>Total Resale orders represent the volume of Resale segment orders sold in a period, net of event cancellations. An order can include one or more tickets and/or parking passes. Total Resale orders allow us to monitor order volume and better identify trends within our Resale segment.</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i/>
          <w:sz w:val="20"/>
        </w:rPr>
        <w:t>Adjusted EBITDA</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sz w:val="20"/>
        </w:rPr>
        <w:t>We present Adjusted EBITDA, which is a non-GAAP measure, because it is a measure frequently used by analysts, investors, and other interested parties to evaluate companies in our industry. Further, we believe this measure is helpful in highlighting trends in our operating results because it excludes the impact of items that are outside the control of management or not reflective of ongoing performance related directly to the operation of our business segments.</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sz w:val="20"/>
        </w:rPr>
        <w:t>Adjusted EBITDA is a key measurement used by our management internally to make operating decisions, including those related to analyzing operating expenses, evaluating performance, and performing strategic planning and annual budgeting. Moreover, we believe Adjusted EBITDA provides useful information to investors and others in understanding and evaluating our results of operations, as well as provides a useful measure for period-to-period comparisons of our business performance and highlighting trends in our operating results.</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sz w:val="20"/>
        </w:rPr>
        <w:t>The following is a reconciliation of Adjusted EBITDA to its most directly comparable GAAP measure, net income (in thousands):</w:t>
      </w:r>
      <w:r>
        <w:rPr>
          <w:rFonts w:ascii="Times New Roman" w:hAnsi="Times New Roman"/>
          <w:sz w:val="20"/>
        </w:rPr>
        <w:t xml:space="preserve"> </w:t>
      </w:r>
    </w:p>
    <w:tbl>
      <w:tblPr>
        <w:tblW w:w="7091" w:type="dxa"/>
        <w:jc w:val="left"/>
        <w:tblInd w:w="0" w:type="dxa"/>
        <w:tblCellMar>
          <w:top w:w="28" w:type="dxa"/>
          <w:left w:w="28" w:type="dxa"/>
          <w:bottom w:w="28" w:type="dxa"/>
          <w:right w:w="28" w:type="dxa"/>
        </w:tblCellMar>
      </w:tblPr>
      <w:tblGrid>
        <w:gridCol w:w="4066"/>
        <w:gridCol w:w="146"/>
        <w:gridCol w:w="270"/>
        <w:gridCol w:w="865"/>
        <w:gridCol w:w="212"/>
        <w:gridCol w:w="186"/>
        <w:gridCol w:w="270"/>
        <w:gridCol w:w="865"/>
        <w:gridCol w:w="211"/>
      </w:tblGrid>
      <w:tr>
        <w:trPr/>
        <w:tc>
          <w:tcPr>
            <w:tcW w:w="4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66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1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2023</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6" w:type="dxa"/>
            <w:tcBorders/>
            <w:shd w:fill="auto" w:val="clear"/>
            <w:vAlign w:val="center"/>
          </w:tcPr>
          <w:p>
            <w:pPr>
              <w:pStyle w:val="TableContents"/>
              <w:spacing w:before="0" w:after="283"/>
              <w:ind w:left="0" w:right="0" w:hanging="0"/>
              <w:rPr>
                <w:sz w:val="4"/>
                <w:szCs w:val="4"/>
              </w:rPr>
            </w:pPr>
            <w:r>
              <w:rPr>
                <w:sz w:val="4"/>
                <w:szCs w:val="4"/>
              </w:rPr>
            </w:r>
          </w:p>
        </w:tc>
        <w:tc>
          <w:tcPr>
            <w:tcW w:w="11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Net income</w:t>
            </w:r>
          </w:p>
        </w:tc>
        <w:tc>
          <w:tcPr>
            <w:tcW w:w="14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6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30,272</w:t>
            </w:r>
          </w:p>
        </w:tc>
        <w:tc>
          <w:tcPr>
            <w:tcW w:w="212"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6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3,138</w:t>
            </w:r>
          </w:p>
        </w:tc>
        <w:tc>
          <w:tcPr>
            <w:tcW w:w="21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Income tax expense</w:t>
            </w:r>
          </w:p>
        </w:tc>
        <w:tc>
          <w:tcPr>
            <w:tcW w:w="14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285</w:t>
            </w:r>
          </w:p>
        </w:tc>
        <w:tc>
          <w:tcPr>
            <w:tcW w:w="212"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76</w:t>
            </w:r>
          </w:p>
        </w:tc>
        <w:tc>
          <w:tcPr>
            <w:tcW w:w="21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Interest expense – net</w:t>
            </w:r>
          </w:p>
        </w:tc>
        <w:tc>
          <w:tcPr>
            <w:tcW w:w="14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3,280</w:t>
            </w:r>
          </w:p>
        </w:tc>
        <w:tc>
          <w:tcPr>
            <w:tcW w:w="212"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3,942</w:t>
            </w:r>
          </w:p>
        </w:tc>
        <w:tc>
          <w:tcPr>
            <w:tcW w:w="21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Depreciation and amortization</w:t>
            </w:r>
          </w:p>
        </w:tc>
        <w:tc>
          <w:tcPr>
            <w:tcW w:w="14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2,598</w:t>
            </w:r>
          </w:p>
        </w:tc>
        <w:tc>
          <w:tcPr>
            <w:tcW w:w="212"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1,385</w:t>
            </w:r>
          </w:p>
        </w:tc>
        <w:tc>
          <w:tcPr>
            <w:tcW w:w="21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 w:hAnsi="Times New Roman"/>
                <w:sz w:val="20"/>
              </w:rPr>
            </w:pPr>
            <w:r>
              <w:rPr>
                <w:rFonts w:ascii="Calibri;sans-serif" w:hAnsi="Calibri;sans-serif"/>
                <w:b w:val="false"/>
                <w:sz w:val="20"/>
              </w:rPr>
              <w:t>Sales tax liability</w:t>
            </w:r>
            <w:r>
              <w:rPr>
                <w:rFonts w:ascii="Calibri;sans-serif" w:hAnsi="Calibri;sans-serif"/>
                <w:b w:val="false"/>
                <w:sz w:val="13"/>
              </w:rPr>
              <w:t>(1)</w:t>
            </w:r>
          </w:p>
        </w:tc>
        <w:tc>
          <w:tcPr>
            <w:tcW w:w="14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pPr>
            <w:r>
              <w:rPr/>
              <w:t>—</w:t>
            </w:r>
          </w:p>
        </w:tc>
        <w:tc>
          <w:tcPr>
            <w:tcW w:w="212"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922</w:t>
            </w:r>
          </w:p>
        </w:tc>
        <w:tc>
          <w:tcPr>
            <w:tcW w:w="21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 w:hAnsi="Times New Roman"/>
                <w:sz w:val="20"/>
              </w:rPr>
            </w:pPr>
            <w:r>
              <w:rPr>
                <w:rFonts w:ascii="Calibri;sans-serif" w:hAnsi="Calibri;sans-serif"/>
                <w:b w:val="false"/>
                <w:sz w:val="20"/>
              </w:rPr>
              <w:t>Transaction costs</w:t>
            </w:r>
            <w:r>
              <w:rPr>
                <w:rFonts w:ascii="Calibri;sans-serif" w:hAnsi="Calibri;sans-serif"/>
                <w:b w:val="false"/>
                <w:sz w:val="13"/>
              </w:rPr>
              <w:t>(2)</w:t>
            </w:r>
          </w:p>
        </w:tc>
        <w:tc>
          <w:tcPr>
            <w:tcW w:w="14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456</w:t>
            </w:r>
          </w:p>
        </w:tc>
        <w:tc>
          <w:tcPr>
            <w:tcW w:w="212"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1,402</w:t>
            </w:r>
          </w:p>
        </w:tc>
        <w:tc>
          <w:tcPr>
            <w:tcW w:w="21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 w:hAnsi="Times New Roman"/>
                <w:sz w:val="20"/>
              </w:rPr>
            </w:pPr>
            <w:r>
              <w:rPr>
                <w:rFonts w:ascii="Calibri;sans-serif" w:hAnsi="Calibri;sans-serif"/>
                <w:b w:val="false"/>
                <w:sz w:val="20"/>
              </w:rPr>
              <w:t>Equity-based compensation</w:t>
            </w:r>
            <w:r>
              <w:rPr>
                <w:rFonts w:ascii="Calibri;sans-serif" w:hAnsi="Calibri;sans-serif"/>
                <w:b w:val="false"/>
                <w:sz w:val="13"/>
              </w:rPr>
              <w:t>(3)</w:t>
            </w:r>
          </w:p>
        </w:tc>
        <w:tc>
          <w:tcPr>
            <w:tcW w:w="14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5,530</w:t>
            </w:r>
          </w:p>
        </w:tc>
        <w:tc>
          <w:tcPr>
            <w:tcW w:w="212"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3,597</w:t>
            </w:r>
          </w:p>
        </w:tc>
        <w:tc>
          <w:tcPr>
            <w:tcW w:w="21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 w:hAnsi="Times New Roman"/>
                <w:sz w:val="20"/>
              </w:rPr>
            </w:pPr>
            <w:r>
              <w:rPr>
                <w:rFonts w:ascii="Calibri;sans-serif" w:hAnsi="Calibri;sans-serif"/>
                <w:b w:val="false"/>
                <w:sz w:val="20"/>
              </w:rPr>
              <w:t>Loss on extinguishment of debt</w:t>
            </w:r>
            <w:r>
              <w:rPr>
                <w:rFonts w:ascii="Calibri;sans-serif" w:hAnsi="Calibri;sans-serif"/>
                <w:b w:val="false"/>
                <w:sz w:val="13"/>
              </w:rPr>
              <w:t>(4)</w:t>
            </w:r>
          </w:p>
        </w:tc>
        <w:tc>
          <w:tcPr>
            <w:tcW w:w="14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pPr>
            <w:r>
              <w:rPr/>
              <w:t>—</w:t>
            </w:r>
          </w:p>
        </w:tc>
        <w:tc>
          <w:tcPr>
            <w:tcW w:w="212"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4,285</w:t>
            </w:r>
          </w:p>
        </w:tc>
        <w:tc>
          <w:tcPr>
            <w:tcW w:w="21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 w:hAnsi="Times New Roman"/>
                <w:sz w:val="20"/>
              </w:rPr>
            </w:pPr>
            <w:r>
              <w:rPr>
                <w:rFonts w:ascii="Calibri;sans-serif" w:hAnsi="Calibri;sans-serif"/>
                <w:b w:val="false"/>
                <w:sz w:val="20"/>
              </w:rPr>
              <w:t>Litigation, settlements and related costs</w:t>
            </w:r>
            <w:r>
              <w:rPr>
                <w:rFonts w:ascii="Calibri;sans-serif" w:hAnsi="Calibri;sans-serif"/>
                <w:b w:val="false"/>
                <w:sz w:val="13"/>
              </w:rPr>
              <w:t>(5)</w:t>
            </w:r>
          </w:p>
        </w:tc>
        <w:tc>
          <w:tcPr>
            <w:tcW w:w="14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300</w:t>
            </w:r>
          </w:p>
        </w:tc>
        <w:tc>
          <w:tcPr>
            <w:tcW w:w="212"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(14</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4066" w:type="dxa"/>
            <w:tcBorders/>
            <w:shd w:fill="auto" w:val="clear"/>
            <w:vAlign w:val="center"/>
          </w:tcPr>
          <w:p>
            <w:pPr>
              <w:pStyle w:val="TableContents"/>
              <w:spacing w:before="0" w:after="0"/>
              <w:ind w:left="0" w:right="0" w:hanging="0"/>
              <w:jc w:val="left"/>
              <w:rPr>
                <w:rFonts w:ascii="Times New Roman" w:hAnsi="Times New Roman"/>
                <w:sz w:val="20"/>
              </w:rPr>
            </w:pPr>
            <w:r>
              <w:rPr>
                <w:rFonts w:ascii="Calibri;sans-serif" w:hAnsi="Calibri;sans-serif"/>
                <w:b w:val="false"/>
                <w:sz w:val="20"/>
              </w:rPr>
              <w:t>Change in fair value of warrants</w:t>
            </w:r>
            <w:r>
              <w:rPr>
                <w:rFonts w:ascii="Calibri;sans-serif" w:hAnsi="Calibri;sans-serif"/>
                <w:b w:val="false"/>
                <w:sz w:val="13"/>
              </w:rPr>
              <w:t>(6)</w:t>
            </w:r>
          </w:p>
        </w:tc>
        <w:tc>
          <w:tcPr>
            <w:tcW w:w="14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(327</w:t>
            </w:r>
          </w:p>
        </w:tc>
        <w:tc>
          <w:tcPr>
            <w:tcW w:w="212"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8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2,279</w:t>
            </w:r>
          </w:p>
        </w:tc>
        <w:tc>
          <w:tcPr>
            <w:tcW w:w="21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 w:hAnsi="Times New Roman"/>
                <w:sz w:val="20"/>
              </w:rPr>
            </w:pPr>
            <w:r>
              <w:rPr>
                <w:rFonts w:ascii="Calibri;sans-serif" w:hAnsi="Calibri;sans-serif"/>
                <w:b w:val="false"/>
                <w:sz w:val="20"/>
              </w:rPr>
              <w:t>Change in fair value of contingent consideration</w:t>
            </w:r>
            <w:r>
              <w:rPr>
                <w:rFonts w:ascii="Calibri;sans-serif" w:hAnsi="Calibri;sans-serif"/>
                <w:b w:val="false"/>
                <w:sz w:val="13"/>
              </w:rPr>
              <w:t>(7)</w:t>
            </w:r>
          </w:p>
        </w:tc>
        <w:tc>
          <w:tcPr>
            <w:tcW w:w="14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34</w:t>
            </w:r>
          </w:p>
        </w:tc>
        <w:tc>
          <w:tcPr>
            <w:tcW w:w="212"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center"/>
              <w:rPr/>
            </w:pPr>
            <w:r>
              <w:rPr/>
              <w:t> </w:t>
            </w:r>
          </w:p>
        </w:tc>
        <w:tc>
          <w:tcPr>
            <w:tcW w:w="270" w:type="dxa"/>
            <w:tcBorders/>
            <w:shd w:fill="auto" w:val="clear"/>
            <w:vAlign w:val="center"/>
          </w:tcPr>
          <w:p>
            <w:pPr>
              <w:pStyle w:val="TableContents"/>
              <w:spacing w:before="0" w:after="0"/>
              <w:ind w:left="0" w:right="0" w:hanging="0"/>
              <w:jc w:val="left"/>
              <w:rPr/>
            </w:pPr>
            <w:r>
              <w:rPr/>
              <w:t> </w:t>
            </w:r>
          </w:p>
        </w:tc>
        <w:tc>
          <w:tcPr>
            <w:tcW w:w="865"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Times New Roman" w:hAnsi="Times New Roman"/>
                <w:sz w:val="24"/>
              </w:rPr>
            </w:pPr>
            <w:r>
              <w:rPr>
                <w:rFonts w:ascii="Calibri;sans-serif" w:hAnsi="Calibri;sans-serif"/>
                <w:b w:val="false"/>
                <w:sz w:val="20"/>
              </w:rPr>
              <w:t>Loss on asset disposals</w:t>
            </w:r>
            <w:r>
              <w:rPr>
                <w:rFonts w:ascii="Calibri;sans-serif" w:hAnsi="Calibri;sans-serif"/>
                <w:b w:val="false"/>
                <w:sz w:val="16"/>
              </w:rPr>
              <w:t>(8)</w:t>
            </w:r>
          </w:p>
        </w:tc>
        <w:tc>
          <w:tcPr>
            <w:tcW w:w="146" w:type="dxa"/>
            <w:tcBorders/>
            <w:shd w:fill="auto" w:val="clear"/>
            <w:vAlign w:val="center"/>
          </w:tcPr>
          <w:p>
            <w:pPr>
              <w:pStyle w:val="TableContents"/>
              <w:spacing w:before="0" w:after="0"/>
              <w:ind w:left="0" w:right="0" w:hanging="0"/>
              <w:jc w:val="center"/>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center"/>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66"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Adjusted EBITDA</w:t>
            </w:r>
          </w:p>
        </w:tc>
        <w:tc>
          <w:tcPr>
            <w:tcW w:w="146" w:type="dxa"/>
            <w:tcBorders/>
            <w:shd w:fill="auto" w:val="clear"/>
            <w:vAlign w:val="center"/>
          </w:tcPr>
          <w:p>
            <w:pPr>
              <w:pStyle w:val="TableContents"/>
              <w:spacing w:before="0" w:after="0"/>
              <w:ind w:left="0" w:right="0" w:hanging="0"/>
              <w:jc w:val="center"/>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8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42,435</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center"/>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8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21,012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60" w:after="120"/>
        <w:jc w:val="both"/>
        <w:rPr>
          <w:rFonts w:ascii="Calibri" w:hAnsi="Calibri"/>
          <w:b w:val="false"/>
          <w:sz w:val="20"/>
        </w:rPr>
      </w:pPr>
      <w:r>
        <w:rPr>
          <w:rFonts w:ascii="Calibri" w:hAnsi="Calibri"/>
          <w:b w:val="false"/>
          <w:sz w:val="20"/>
        </w:rPr>
        <w:t>(1)</w:t>
      </w:r>
    </w:p>
    <w:p>
      <w:pPr>
        <w:pStyle w:val="TextBody"/>
        <w:spacing w:before="160" w:after="120"/>
        <w:jc w:val="both"/>
        <w:rPr>
          <w:rFonts w:ascii="Calibri;sans-serif" w:hAnsi="Calibri;sans-serif"/>
          <w:b w:val="false"/>
          <w:sz w:val="20"/>
        </w:rPr>
      </w:pPr>
      <w:r>
        <w:rPr>
          <w:rFonts w:ascii="Calibri;sans-serif" w:hAnsi="Calibri;sans-serif"/>
          <w:b w:val="false"/>
          <w:sz w:val="20"/>
        </w:rPr>
        <w:t>We have historically incurred sales tax expense in jurisdictions where we expected to remit sales tax payments but were not yet collecting from customers. During the second half of 2021, we began collecting sales tax from customers in the required jurisdictions. The sales tax liability presented herein represents the tax liability for sales tax prior to the date we began collecting sales tax from customers reduced by abatements received, inclusive of any penalties and interest assessed by the jurisdictions. The remaining historic sales tax liability payments were made during the year ended December 31, 2022.</w:t>
      </w:r>
    </w:p>
    <w:p>
      <w:pPr>
        <w:pStyle w:val="TextBody"/>
        <w:spacing w:before="160" w:after="120"/>
        <w:jc w:val="both"/>
        <w:rPr>
          <w:rFonts w:ascii="Calibri" w:hAnsi="Calibri"/>
          <w:b w:val="false"/>
          <w:sz w:val="20"/>
        </w:rPr>
      </w:pPr>
      <w:r>
        <w:rPr>
          <w:rFonts w:ascii="Calibri" w:hAnsi="Calibri"/>
          <w:b w:val="false"/>
          <w:sz w:val="20"/>
        </w:rPr>
        <w:t>(2)</w:t>
      </w:r>
    </w:p>
    <w:p>
      <w:pPr>
        <w:pStyle w:val="TextBody"/>
        <w:spacing w:before="160" w:after="120"/>
        <w:jc w:val="both"/>
        <w:rPr>
          <w:rFonts w:ascii="Calibri;sans-serif" w:hAnsi="Calibri;sans-serif"/>
          <w:b w:val="false"/>
          <w:sz w:val="20"/>
        </w:rPr>
      </w:pPr>
      <w:r>
        <w:rPr>
          <w:rFonts w:ascii="Calibri;sans-serif" w:hAnsi="Calibri;sans-serif"/>
          <w:b w:val="false"/>
          <w:sz w:val="20"/>
        </w:rPr>
        <w:t xml:space="preserve">Transaction costs consist of legal; accounting; tax and other professional fees; personnel-related costs, which consist of retention bonuses; and integration costs. Transaction costs recognized in 2023 were primarily related to legal expenses and retention bonuses related to Betcha Sports, Inc. (rebranded as "Vivid Picks"). Transaction costs recognized in 2022 were related to the Merger Transaction, the </w:t>
      </w:r>
    </w:p>
    <w:p>
      <w:pPr>
        <w:pStyle w:val="TextBody"/>
        <w:spacing w:before="0" w:after="0"/>
        <w:jc w:val="center"/>
        <w:rPr>
          <w:rFonts w:ascii="Calibri;sans-serif" w:hAnsi="Calibri;sans-serif"/>
          <w:b w:val="false"/>
          <w:sz w:val="20"/>
        </w:rPr>
      </w:pPr>
      <w:r>
        <w:rPr>
          <w:rFonts w:ascii="Calibri;sans-serif" w:hAnsi="Calibri;sans-serif"/>
          <w:b w:val="false"/>
          <w:sz w:val="20"/>
        </w:rPr>
        <w:t>23</w:t>
      </w:r>
    </w:p>
    <w:p>
      <w:pPr>
        <w:pStyle w:val="HorizontalLine"/>
        <w:rPr/>
      </w:pPr>
      <w:r>
        <w:rPr/>
      </w:r>
    </w:p>
    <w:p>
      <w:pPr>
        <w:pStyle w:val="TextBody"/>
        <w:spacing w:before="0" w:after="0"/>
        <w:jc w:val="left"/>
        <w:rPr/>
      </w:pPr>
      <w:r>
        <w:rPr/>
        <w:t> </w:t>
      </w:r>
    </w:p>
    <w:p>
      <w:pPr>
        <w:pStyle w:val="TextBody"/>
        <w:spacing w:before="160" w:after="120"/>
        <w:jc w:val="both"/>
        <w:rPr>
          <w:rFonts w:ascii="Calibri;sans-serif" w:hAnsi="Calibri;sans-serif"/>
          <w:b w:val="false"/>
          <w:sz w:val="20"/>
        </w:rPr>
      </w:pPr>
      <w:r>
        <w:rPr>
          <w:rFonts w:ascii="Calibri;sans-serif" w:hAnsi="Calibri;sans-serif"/>
          <w:b w:val="false"/>
          <w:sz w:val="20"/>
        </w:rPr>
        <w:t>acquisition of Betcha and the refinancing of the remaining June 2017 First Lien Loan with a new February 2022 First Lien Loan.</w:t>
      </w:r>
    </w:p>
    <w:p>
      <w:pPr>
        <w:pStyle w:val="TextBody"/>
        <w:spacing w:before="160" w:after="120"/>
        <w:jc w:val="both"/>
        <w:rPr>
          <w:rFonts w:ascii="Calibri" w:hAnsi="Calibri"/>
          <w:b w:val="false"/>
          <w:sz w:val="20"/>
        </w:rPr>
      </w:pPr>
      <w:r>
        <w:rPr>
          <w:rFonts w:ascii="Calibri" w:hAnsi="Calibri"/>
          <w:b w:val="false"/>
          <w:sz w:val="20"/>
        </w:rPr>
        <w:t>(3)</w:t>
      </w:r>
    </w:p>
    <w:p>
      <w:pPr>
        <w:pStyle w:val="TextBody"/>
        <w:spacing w:before="160" w:after="120"/>
        <w:jc w:val="both"/>
        <w:rPr>
          <w:rFonts w:ascii="Calibri;sans-serif" w:hAnsi="Calibri;sans-serif"/>
          <w:b w:val="false"/>
          <w:sz w:val="20"/>
        </w:rPr>
      </w:pPr>
      <w:r>
        <w:rPr>
          <w:rFonts w:ascii="Calibri;sans-serif" w:hAnsi="Calibri;sans-serif"/>
          <w:b w:val="false"/>
          <w:sz w:val="20"/>
        </w:rPr>
        <w:t>We incur equity-based compensation expenses for profits interests issued prior to the Merger Transaction and equity granted according to the 2021 Incentive Award Plan ("2021 Plan"), which we do not consider to be indicative of our core operating performance. The 2021 Plan was approved and adopted in order to facilitate the grant of equity incentive awards to our employees and directors. The 2021 Plan became effective on October 18, 2021.</w:t>
      </w:r>
    </w:p>
    <w:p>
      <w:pPr>
        <w:pStyle w:val="TextBody"/>
        <w:spacing w:before="160" w:after="120"/>
        <w:jc w:val="both"/>
        <w:rPr>
          <w:rFonts w:ascii="Calibri" w:hAnsi="Calibri"/>
          <w:b w:val="false"/>
          <w:sz w:val="20"/>
        </w:rPr>
      </w:pPr>
      <w:r>
        <w:rPr>
          <w:rFonts w:ascii="Calibri" w:hAnsi="Calibri"/>
          <w:b w:val="false"/>
          <w:sz w:val="20"/>
        </w:rPr>
        <w:t>(4)</w:t>
      </w:r>
    </w:p>
    <w:p>
      <w:pPr>
        <w:pStyle w:val="TextBody"/>
        <w:spacing w:before="160" w:after="120"/>
        <w:jc w:val="both"/>
        <w:rPr>
          <w:rFonts w:ascii="Calibri;sans-serif" w:hAnsi="Calibri;sans-serif"/>
          <w:b w:val="false"/>
          <w:sz w:val="20"/>
        </w:rPr>
      </w:pPr>
      <w:r>
        <w:rPr>
          <w:rFonts w:ascii="Calibri;sans-serif" w:hAnsi="Calibri;sans-serif"/>
          <w:b w:val="false"/>
          <w:sz w:val="20"/>
        </w:rPr>
        <w:t>Losses incurred resulted from the extinguishment of the June 2017 First Lien Loan in February 2022.</w:t>
      </w:r>
    </w:p>
    <w:p>
      <w:pPr>
        <w:pStyle w:val="TextBody"/>
        <w:spacing w:before="160" w:after="120"/>
        <w:jc w:val="both"/>
        <w:rPr>
          <w:rFonts w:ascii="Calibri" w:hAnsi="Calibri"/>
          <w:b w:val="false"/>
          <w:sz w:val="20"/>
        </w:rPr>
      </w:pPr>
      <w:r>
        <w:rPr>
          <w:rFonts w:ascii="Calibri" w:hAnsi="Calibri"/>
          <w:b w:val="false"/>
          <w:sz w:val="20"/>
        </w:rPr>
        <w:t>(5)</w:t>
      </w:r>
    </w:p>
    <w:p>
      <w:pPr>
        <w:pStyle w:val="TextBody"/>
        <w:spacing w:before="160" w:after="120"/>
        <w:jc w:val="both"/>
        <w:rPr>
          <w:rFonts w:ascii="Calibri;sans-serif" w:hAnsi="Calibri;sans-serif"/>
          <w:b w:val="false"/>
          <w:sz w:val="20"/>
        </w:rPr>
      </w:pPr>
      <w:r>
        <w:rPr>
          <w:rFonts w:ascii="Calibri;sans-serif" w:hAnsi="Calibri;sans-serif"/>
          <w:b w:val="false"/>
          <w:sz w:val="20"/>
        </w:rPr>
        <w:t>These amounts relate to external legal costs, settlement costs and insurance recoveries, which were unrelated to our core business operations.</w:t>
      </w:r>
    </w:p>
    <w:p>
      <w:pPr>
        <w:pStyle w:val="TextBody"/>
        <w:spacing w:before="160" w:after="120"/>
        <w:jc w:val="both"/>
        <w:rPr>
          <w:rFonts w:ascii="Calibri" w:hAnsi="Calibri"/>
          <w:b w:val="false"/>
          <w:sz w:val="20"/>
        </w:rPr>
      </w:pPr>
      <w:r>
        <w:rPr>
          <w:rFonts w:ascii="Calibri" w:hAnsi="Calibri"/>
          <w:b w:val="false"/>
          <w:sz w:val="20"/>
        </w:rPr>
        <w:t>(6)</w:t>
      </w:r>
    </w:p>
    <w:p>
      <w:pPr>
        <w:pStyle w:val="TextBody"/>
        <w:spacing w:before="160" w:after="120"/>
        <w:jc w:val="both"/>
        <w:rPr>
          <w:rFonts w:ascii="Calibri;sans-serif" w:hAnsi="Calibri;sans-serif"/>
          <w:b w:val="false"/>
          <w:sz w:val="20"/>
        </w:rPr>
      </w:pPr>
      <w:r>
        <w:rPr>
          <w:rFonts w:ascii="Calibri;sans-serif" w:hAnsi="Calibri;sans-serif"/>
          <w:b w:val="false"/>
          <w:sz w:val="20"/>
        </w:rPr>
        <w:t>This relates to the revaluation of warrants to purchase Intermediate Units held by Hoya Topco following the Merger Transaction.</w:t>
      </w:r>
    </w:p>
    <w:p>
      <w:pPr>
        <w:pStyle w:val="TextBody"/>
        <w:spacing w:before="160" w:after="120"/>
        <w:jc w:val="both"/>
        <w:rPr>
          <w:rFonts w:ascii="Calibri" w:hAnsi="Calibri"/>
          <w:b w:val="false"/>
          <w:sz w:val="20"/>
        </w:rPr>
      </w:pPr>
      <w:r>
        <w:rPr>
          <w:rFonts w:ascii="Calibri" w:hAnsi="Calibri"/>
          <w:b w:val="false"/>
          <w:sz w:val="20"/>
        </w:rPr>
        <w:t>(7)</w:t>
      </w:r>
    </w:p>
    <w:p>
      <w:pPr>
        <w:pStyle w:val="TextBody"/>
        <w:spacing w:before="160" w:after="120"/>
        <w:jc w:val="both"/>
        <w:rPr>
          <w:rFonts w:ascii="Calibri;sans-serif" w:hAnsi="Calibri;sans-serif"/>
          <w:b w:val="false"/>
          <w:sz w:val="20"/>
        </w:rPr>
      </w:pPr>
      <w:r>
        <w:rPr>
          <w:rFonts w:ascii="Calibri;sans-serif" w:hAnsi="Calibri;sans-serif"/>
          <w:b w:val="false"/>
          <w:sz w:val="20"/>
        </w:rPr>
        <w:t>This relates to the revaluation of Vivid Picks cash earnouts.</w:t>
      </w:r>
    </w:p>
    <w:p>
      <w:pPr>
        <w:pStyle w:val="TextBody"/>
        <w:spacing w:before="160" w:after="120"/>
        <w:jc w:val="both"/>
        <w:rPr>
          <w:rFonts w:ascii="Calibri" w:hAnsi="Calibri"/>
          <w:b w:val="false"/>
          <w:sz w:val="20"/>
        </w:rPr>
      </w:pPr>
      <w:r>
        <w:rPr>
          <w:rFonts w:ascii="Calibri" w:hAnsi="Calibri"/>
          <w:b w:val="false"/>
          <w:sz w:val="20"/>
        </w:rPr>
        <w:t>(8)</w:t>
      </w:r>
    </w:p>
    <w:p>
      <w:pPr>
        <w:pStyle w:val="TextBody"/>
        <w:spacing w:before="160" w:after="120"/>
        <w:jc w:val="both"/>
        <w:rPr>
          <w:rFonts w:ascii="Calibri;sans-serif" w:hAnsi="Calibri;sans-serif"/>
          <w:b w:val="false"/>
          <w:sz w:val="20"/>
        </w:rPr>
      </w:pPr>
      <w:r>
        <w:rPr>
          <w:rFonts w:ascii="Calibri;sans-serif" w:hAnsi="Calibri;sans-serif"/>
          <w:b w:val="false"/>
          <w:sz w:val="20"/>
        </w:rPr>
        <w:t>This relates to asset disposals, which are not considered indicative of our core operating performance.</w:t>
      </w:r>
    </w:p>
    <w:p>
      <w:pPr>
        <w:pStyle w:val="TextBody"/>
        <w:spacing w:before="160" w:after="120"/>
        <w:jc w:val="both"/>
        <w:rPr>
          <w:rFonts w:ascii="Calibri;sans-serif" w:hAnsi="Calibri;sans-serif"/>
          <w:b/>
          <w:sz w:val="20"/>
        </w:rPr>
      </w:pPr>
      <w:r>
        <w:rPr>
          <w:rFonts w:ascii="Calibri;sans-serif" w:hAnsi="Calibri;sans-serif"/>
          <w:b/>
          <w:sz w:val="20"/>
        </w:rPr>
        <w:t>Key Factors Affecting our Performance</w:t>
      </w:r>
    </w:p>
    <w:p>
      <w:pPr>
        <w:pStyle w:val="TextBody"/>
        <w:spacing w:before="160" w:after="120"/>
        <w:jc w:val="both"/>
        <w:rPr>
          <w:rFonts w:ascii="Times New Roman" w:hAnsi="Times New Roman"/>
          <w:sz w:val="20"/>
        </w:rPr>
      </w:pPr>
      <w:r>
        <w:rPr>
          <w:rFonts w:ascii="Calibri;sans-serif" w:hAnsi="Calibri;sans-serif"/>
          <w:b w:val="false"/>
          <w:sz w:val="20"/>
        </w:rPr>
        <w:t>There have been no material changes from the “Key Factors Affecting Our Performance” in the Management’s Discussion and Analysis section disclosed in our 2022 Form 10-K. Our financial position and results of operations depend to a significant extent on those factors.</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sz w:val="20"/>
        </w:rPr>
        <w:t>Results of Operations</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sz w:val="20"/>
        </w:rPr>
        <w:t>Comparison of the Three Months Ended March 31, 2023 and 2022</w:t>
      </w:r>
      <w:r>
        <w:rPr>
          <w:rFonts w:ascii="Times New Roman" w:hAnsi="Times New Roman"/>
          <w:sz w:val="20"/>
        </w:rPr>
        <w:t xml:space="preserve"> </w:t>
      </w:r>
    </w:p>
    <w:p>
      <w:pPr>
        <w:pStyle w:val="TextBody"/>
        <w:spacing w:before="160" w:after="120"/>
        <w:jc w:val="both"/>
        <w:rPr>
          <w:rFonts w:ascii="Calibri;sans-serif" w:hAnsi="Calibri;sans-serif"/>
          <w:b w:val="false"/>
          <w:sz w:val="20"/>
        </w:rPr>
      </w:pPr>
      <w:r>
        <w:rPr>
          <w:rFonts w:ascii="Calibri;sans-serif" w:hAnsi="Calibri;sans-serif"/>
          <w:b w:val="false"/>
          <w:sz w:val="20"/>
        </w:rPr>
        <w:t>The following table sets forth our results of operations (in thousands, except percentages):</w:t>
      </w:r>
    </w:p>
    <w:tbl>
      <w:tblPr>
        <w:tblW w:w="10205" w:type="dxa"/>
        <w:jc w:val="left"/>
        <w:tblInd w:w="0" w:type="dxa"/>
        <w:tblCellMar>
          <w:top w:w="28" w:type="dxa"/>
          <w:left w:w="28" w:type="dxa"/>
          <w:bottom w:w="28" w:type="dxa"/>
          <w:right w:w="28" w:type="dxa"/>
        </w:tblCellMar>
      </w:tblPr>
      <w:tblGrid>
        <w:gridCol w:w="5339"/>
        <w:gridCol w:w="146"/>
        <w:gridCol w:w="213"/>
        <w:gridCol w:w="753"/>
        <w:gridCol w:w="164"/>
        <w:gridCol w:w="158"/>
        <w:gridCol w:w="213"/>
        <w:gridCol w:w="753"/>
        <w:gridCol w:w="146"/>
        <w:gridCol w:w="146"/>
        <w:gridCol w:w="196"/>
        <w:gridCol w:w="601"/>
        <w:gridCol w:w="151"/>
        <w:gridCol w:w="146"/>
        <w:gridCol w:w="197"/>
        <w:gridCol w:w="569"/>
        <w:gridCol w:w="314"/>
      </w:tblGrid>
      <w:tr>
        <w:trPr/>
        <w:tc>
          <w:tcPr>
            <w:tcW w:w="53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r>
      <w:tr>
        <w:trPr/>
        <w:tc>
          <w:tcPr>
            <w:tcW w:w="533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pPr>
            <w:r>
              <w:rPr/>
              <w:t> </w:t>
            </w:r>
          </w:p>
        </w:tc>
      </w:tr>
      <w:tr>
        <w:trPr/>
        <w:tc>
          <w:tcPr>
            <w:tcW w:w="533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2023</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8" w:type="dxa"/>
            <w:tcBorders/>
            <w:shd w:fill="auto" w:val="clear"/>
            <w:vAlign w:val="center"/>
          </w:tcPr>
          <w:p>
            <w:pPr>
              <w:pStyle w:val="TableContents"/>
              <w:spacing w:before="0" w:after="283"/>
              <w:ind w:left="0" w:right="0" w:hanging="0"/>
              <w:rPr>
                <w:sz w:val="4"/>
                <w:szCs w:val="4"/>
              </w:rPr>
            </w:pPr>
            <w:r>
              <w:rPr>
                <w:sz w:val="4"/>
                <w:szCs w:val="4"/>
              </w:rPr>
            </w:r>
          </w:p>
        </w:tc>
        <w:tc>
          <w:tcPr>
            <w:tcW w:w="9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Change</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 Change</w:t>
            </w:r>
          </w:p>
        </w:tc>
        <w:tc>
          <w:tcPr>
            <w:tcW w:w="3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339"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Revenues</w:t>
            </w:r>
          </w:p>
        </w:tc>
        <w:tc>
          <w:tcPr>
            <w:tcW w:w="146"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753"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161,063</w:t>
            </w:r>
          </w:p>
        </w:tc>
        <w:tc>
          <w:tcPr>
            <w:tcW w:w="164"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753"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130,772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30,291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23</w:t>
            </w:r>
          </w:p>
        </w:tc>
        <w:tc>
          <w:tcPr>
            <w:tcW w:w="314"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5339" w:type="dxa"/>
            <w:tcBorders/>
            <w:shd w:fill="auto" w:val="cle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Costs and expenses:</w:t>
            </w:r>
          </w:p>
        </w:tc>
        <w:tc>
          <w:tcPr>
            <w:tcW w:w="146" w:type="dxa"/>
            <w:tcBorders/>
            <w:shd w:fill="auto" w:val="clear"/>
            <w:vAlign w:val="center"/>
          </w:tcPr>
          <w:p>
            <w:pPr>
              <w:pStyle w:val="TableContents"/>
              <w:spacing w:before="0" w:after="0"/>
              <w:ind w:left="0" w:right="0" w:hanging="0"/>
              <w:jc w:val="center"/>
              <w:rPr/>
            </w:pPr>
            <w:r>
              <w:rPr/>
              <w:t> </w:t>
            </w:r>
          </w:p>
        </w:tc>
        <w:tc>
          <w:tcPr>
            <w:tcW w:w="966" w:type="dxa"/>
            <w:gridSpan w:val="2"/>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center"/>
              <w:rPr/>
            </w:pPr>
            <w:r>
              <w:rPr/>
              <w:t> </w:t>
            </w:r>
          </w:p>
        </w:tc>
        <w:tc>
          <w:tcPr>
            <w:tcW w:w="96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6" w:type="dxa"/>
            <w:gridSpan w:val="2"/>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pPr>
            <w:r>
              <w:rPr/>
              <w:t> </w:t>
            </w:r>
          </w:p>
        </w:tc>
      </w:tr>
      <w:tr>
        <w:trPr/>
        <w:tc>
          <w:tcPr>
            <w:tcW w:w="5339"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Cost of revenues (exclusive of depreciation and amortization shown separately below)</w:t>
            </w:r>
          </w:p>
        </w:tc>
        <w:tc>
          <w:tcPr>
            <w:tcW w:w="146"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37,760</w:t>
            </w:r>
          </w:p>
        </w:tc>
        <w:tc>
          <w:tcPr>
            <w:tcW w:w="164"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32,164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5,596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17</w:t>
            </w:r>
          </w:p>
        </w:tc>
        <w:tc>
          <w:tcPr>
            <w:tcW w:w="314"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5339"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Marketing and selling</w:t>
            </w:r>
          </w:p>
        </w:tc>
        <w:tc>
          <w:tcPr>
            <w:tcW w:w="146"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54,772</w:t>
            </w:r>
          </w:p>
        </w:tc>
        <w:tc>
          <w:tcPr>
            <w:tcW w:w="164"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54,228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544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w:t>
            </w:r>
          </w:p>
        </w:tc>
        <w:tc>
          <w:tcPr>
            <w:tcW w:w="314"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5339"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General and administrative</w:t>
            </w:r>
          </w:p>
        </w:tc>
        <w:tc>
          <w:tcPr>
            <w:tcW w:w="146"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32,389</w:t>
            </w:r>
          </w:p>
        </w:tc>
        <w:tc>
          <w:tcPr>
            <w:tcW w:w="164"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29,275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3,114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11</w:t>
            </w:r>
          </w:p>
        </w:tc>
        <w:tc>
          <w:tcPr>
            <w:tcW w:w="314"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5339"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Depreciation and amortization</w:t>
            </w:r>
          </w:p>
        </w:tc>
        <w:tc>
          <w:tcPr>
            <w:tcW w:w="146"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2,598</w:t>
            </w:r>
          </w:p>
        </w:tc>
        <w:tc>
          <w:tcPr>
            <w:tcW w:w="164"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1,385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1,213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88</w:t>
            </w:r>
          </w:p>
        </w:tc>
        <w:tc>
          <w:tcPr>
            <w:tcW w:w="314"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5339"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Change in fair value of contingent consideration</w:t>
            </w:r>
          </w:p>
        </w:tc>
        <w:tc>
          <w:tcPr>
            <w:tcW w:w="146" w:type="dxa"/>
            <w:tcBorders/>
            <w:shd w:fill="auto" w:val="clear"/>
            <w:vAlign w:val="center"/>
          </w:tcPr>
          <w:p>
            <w:pPr>
              <w:pStyle w:val="TableContents"/>
              <w:spacing w:before="0" w:after="0"/>
              <w:ind w:left="0" w:right="0" w:hanging="0"/>
              <w:jc w:val="center"/>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34</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center"/>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34</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100</w:t>
            </w:r>
          </w:p>
        </w:tc>
        <w:tc>
          <w:tcPr>
            <w:tcW w:w="3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5339" w:type="dxa"/>
            <w:tcBorders/>
            <w:shd w:fill="auto" w:val="cle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Income from operations</w:t>
            </w:r>
          </w:p>
        </w:tc>
        <w:tc>
          <w:tcPr>
            <w:tcW w:w="146"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33,510</w:t>
            </w:r>
          </w:p>
        </w:tc>
        <w:tc>
          <w:tcPr>
            <w:tcW w:w="164"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13,720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19,790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144</w:t>
            </w:r>
          </w:p>
        </w:tc>
        <w:tc>
          <w:tcPr>
            <w:tcW w:w="314" w:type="dxa"/>
            <w:tcBorders/>
            <w:shd w:fill="auto" w:val="cle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r>
      <w:tr>
        <w:trPr/>
        <w:tc>
          <w:tcPr>
            <w:tcW w:w="5339" w:type="dxa"/>
            <w:tcBorders/>
            <w:shd w:fill="auto" w:val="cle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Other (income) expense:</w:t>
            </w:r>
          </w:p>
        </w:tc>
        <w:tc>
          <w:tcPr>
            <w:tcW w:w="146" w:type="dxa"/>
            <w:tcBorders/>
            <w:shd w:fill="auto" w:val="clear"/>
            <w:vAlign w:val="center"/>
          </w:tcPr>
          <w:p>
            <w:pPr>
              <w:pStyle w:val="TableContents"/>
              <w:spacing w:before="0" w:after="0"/>
              <w:ind w:left="0" w:right="0" w:hanging="0"/>
              <w:jc w:val="center"/>
              <w:rPr/>
            </w:pPr>
            <w:r>
              <w:rPr/>
              <w:t> </w:t>
            </w:r>
          </w:p>
        </w:tc>
        <w:tc>
          <w:tcPr>
            <w:tcW w:w="966" w:type="dxa"/>
            <w:gridSpan w:val="2"/>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center"/>
              <w:rPr/>
            </w:pPr>
            <w:r>
              <w:rPr/>
              <w:t> </w:t>
            </w:r>
          </w:p>
        </w:tc>
        <w:tc>
          <w:tcPr>
            <w:tcW w:w="96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6" w:type="dxa"/>
            <w:gridSpan w:val="2"/>
            <w:tcBorders/>
            <w:shd w:fill="auto" w:val="clear"/>
            <w:vAlign w:val="center"/>
          </w:tcPr>
          <w:p>
            <w:pPr>
              <w:pStyle w:val="TableContents"/>
              <w:spacing w:before="0" w:after="0"/>
              <w:ind w:left="0" w:right="0" w:hanging="0"/>
              <w:jc w:val="left"/>
              <w:rPr/>
            </w:pPr>
            <w:r>
              <w:rPr/>
              <w:t> </w:t>
            </w:r>
          </w:p>
        </w:tc>
        <w:tc>
          <w:tcPr>
            <w:tcW w:w="314" w:type="dxa"/>
            <w:tcBorders/>
            <w:shd w:fill="auto" w:val="clear"/>
            <w:vAlign w:val="center"/>
          </w:tcPr>
          <w:p>
            <w:pPr>
              <w:pStyle w:val="TableContents"/>
              <w:spacing w:before="0" w:after="0"/>
              <w:ind w:left="0" w:right="0" w:hanging="0"/>
              <w:jc w:val="left"/>
              <w:rPr/>
            </w:pPr>
            <w:r>
              <w:rPr/>
              <w:t> </w:t>
            </w:r>
          </w:p>
        </w:tc>
      </w:tr>
      <w:tr>
        <w:trPr/>
        <w:tc>
          <w:tcPr>
            <w:tcW w:w="5339"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Interest expense – net</w:t>
            </w:r>
          </w:p>
        </w:tc>
        <w:tc>
          <w:tcPr>
            <w:tcW w:w="146"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3,280</w:t>
            </w:r>
          </w:p>
        </w:tc>
        <w:tc>
          <w:tcPr>
            <w:tcW w:w="164"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3,942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(662</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146"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(17</w:t>
            </w:r>
          </w:p>
        </w:tc>
        <w:tc>
          <w:tcPr>
            <w:tcW w:w="314"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5339"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Loss on extinguishment of debt</w:t>
            </w:r>
          </w:p>
        </w:tc>
        <w:tc>
          <w:tcPr>
            <w:tcW w:w="146"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pPr>
            <w:r>
              <w:rPr/>
              <w:t>—</w:t>
            </w:r>
          </w:p>
        </w:tc>
        <w:tc>
          <w:tcPr>
            <w:tcW w:w="164"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4,285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(4,285</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146"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(100</w:t>
            </w:r>
          </w:p>
        </w:tc>
        <w:tc>
          <w:tcPr>
            <w:tcW w:w="314"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5339"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Other (income) expense</w:t>
            </w:r>
          </w:p>
        </w:tc>
        <w:tc>
          <w:tcPr>
            <w:tcW w:w="146" w:type="dxa"/>
            <w:tcBorders/>
            <w:shd w:fill="auto" w:val="clear"/>
            <w:vAlign w:val="center"/>
          </w:tcPr>
          <w:p>
            <w:pPr>
              <w:pStyle w:val="TableContents"/>
              <w:spacing w:before="0" w:after="0"/>
              <w:ind w:left="0" w:right="0" w:hanging="0"/>
              <w:jc w:val="center"/>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(327</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158" w:type="dxa"/>
            <w:tcBorders/>
            <w:shd w:fill="auto" w:val="clear"/>
            <w:vAlign w:val="center"/>
          </w:tcPr>
          <w:p>
            <w:pPr>
              <w:pStyle w:val="TableContents"/>
              <w:spacing w:before="0" w:after="0"/>
              <w:ind w:left="0" w:right="0" w:hanging="0"/>
              <w:jc w:val="center"/>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2,279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(2,606</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146" w:type="dxa"/>
            <w:tcBorders/>
            <w:shd w:fill="auto" w:val="clear"/>
            <w:vAlign w:val="center"/>
          </w:tcPr>
          <w:p>
            <w:pPr>
              <w:pStyle w:val="TableContents"/>
              <w:spacing w:before="0" w:after="0"/>
              <w:ind w:left="0" w:right="0" w:hanging="0"/>
              <w:jc w:val="center"/>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(114</w:t>
            </w:r>
          </w:p>
        </w:tc>
        <w:tc>
          <w:tcPr>
            <w:tcW w:w="3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5339" w:type="dxa"/>
            <w:tcBorders/>
            <w:shd w:fill="auto" w:val="cle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Income before income taxes</w:t>
            </w:r>
          </w:p>
        </w:tc>
        <w:tc>
          <w:tcPr>
            <w:tcW w:w="146"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30,557</w:t>
            </w:r>
          </w:p>
        </w:tc>
        <w:tc>
          <w:tcPr>
            <w:tcW w:w="164"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3,214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27,343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851</w:t>
            </w:r>
          </w:p>
        </w:tc>
        <w:tc>
          <w:tcPr>
            <w:tcW w:w="314" w:type="dxa"/>
            <w:tcBorders/>
            <w:shd w:fill="auto" w:val="cle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r>
      <w:tr>
        <w:trPr/>
        <w:tc>
          <w:tcPr>
            <w:tcW w:w="5339"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Income tax expense</w:t>
            </w:r>
          </w:p>
        </w:tc>
        <w:tc>
          <w:tcPr>
            <w:tcW w:w="146" w:type="dxa"/>
            <w:tcBorders/>
            <w:shd w:fill="auto" w:val="clear"/>
            <w:vAlign w:val="center"/>
          </w:tcPr>
          <w:p>
            <w:pPr>
              <w:pStyle w:val="TableContents"/>
              <w:spacing w:before="0" w:after="0"/>
              <w:ind w:left="0" w:right="0" w:hanging="0"/>
              <w:jc w:val="center"/>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285</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center"/>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76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209</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275</w:t>
            </w:r>
          </w:p>
        </w:tc>
        <w:tc>
          <w:tcPr>
            <w:tcW w:w="3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5339" w:type="dxa"/>
            <w:tcBorders/>
            <w:shd w:fill="auto" w:val="cle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Net income</w:t>
            </w:r>
          </w:p>
        </w:tc>
        <w:tc>
          <w:tcPr>
            <w:tcW w:w="146"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30,272</w:t>
            </w:r>
          </w:p>
        </w:tc>
        <w:tc>
          <w:tcPr>
            <w:tcW w:w="164"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53" w:type="dxa"/>
            <w:tcBorders/>
            <w:shd w:fill="auto" w:val="cle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3,138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27,134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569" w:type="dxa"/>
            <w:tcBorders/>
            <w:shd w:fill="auto" w:val="cle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865</w:t>
            </w:r>
          </w:p>
        </w:tc>
        <w:tc>
          <w:tcPr>
            <w:tcW w:w="314" w:type="dxa"/>
            <w:tcBorders/>
            <w:shd w:fill="auto" w:val="cle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r>
      <w:tr>
        <w:trPr/>
        <w:tc>
          <w:tcPr>
            <w:tcW w:w="5339"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Net income attributable to redeemable noncontrolling interests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18,090</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1,879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16,211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863</w:t>
            </w:r>
          </w:p>
        </w:tc>
        <w:tc>
          <w:tcPr>
            <w:tcW w:w="3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5339" w:type="dxa"/>
            <w:tcBorders/>
            <w:shd w:fill="auto" w:val="cle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Net income attributable to Class A Common Stockholders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c>
          <w:tcPr>
            <w:tcW w:w="7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12,182</w:t>
            </w:r>
          </w:p>
        </w:tc>
        <w:tc>
          <w:tcPr>
            <w:tcW w:w="1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c>
          <w:tcPr>
            <w:tcW w:w="7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1,259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10,923</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868</w:t>
            </w:r>
          </w:p>
        </w:tc>
        <w:tc>
          <w:tcPr>
            <w:tcW w:w="3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r>
    </w:tbl>
    <w:p>
      <w:pPr>
        <w:pStyle w:val="TextBody"/>
        <w:spacing w:before="0" w:after="0"/>
        <w:jc w:val="left"/>
        <w:rPr/>
      </w:pPr>
      <w:r>
        <w:rPr/>
        <w:t> </w:t>
      </w:r>
    </w:p>
    <w:p>
      <w:pPr>
        <w:pStyle w:val="TextBody"/>
        <w:spacing w:before="0" w:after="0"/>
        <w:jc w:val="center"/>
        <w:rPr>
          <w:rFonts w:ascii="Calibri;sans-serif" w:hAnsi="Calibri;sans-serif"/>
          <w:b w:val="false"/>
          <w:sz w:val="20"/>
        </w:rPr>
      </w:pPr>
      <w:r>
        <w:rPr>
          <w:rFonts w:ascii="Calibri;sans-serif" w:hAnsi="Calibri;sans-serif"/>
          <w:b w:val="false"/>
          <w:sz w:val="20"/>
        </w:rPr>
        <w:t>24</w:t>
      </w:r>
    </w:p>
    <w:p>
      <w:pPr>
        <w:pStyle w:val="HorizontalLine"/>
        <w:rPr/>
      </w:pPr>
      <w:r>
        <w:rPr/>
      </w:r>
    </w:p>
    <w:p>
      <w:pPr>
        <w:pStyle w:val="TextBody"/>
        <w:spacing w:before="0" w:after="0"/>
        <w:jc w:val="left"/>
        <w:rPr/>
      </w:pPr>
      <w:r>
        <w:rPr/>
        <w:t> </w:t>
      </w:r>
    </w:p>
    <w:p>
      <w:pPr>
        <w:pStyle w:val="TextBody"/>
        <w:spacing w:before="160" w:after="120"/>
        <w:jc w:val="both"/>
        <w:rPr>
          <w:rFonts w:ascii="Times New Roman" w:hAnsi="Times New Roman"/>
          <w:sz w:val="20"/>
        </w:rPr>
      </w:pPr>
      <w:r>
        <w:rPr>
          <w:rFonts w:ascii="Calibri;sans-serif" w:hAnsi="Calibri;sans-serif"/>
          <w:b/>
          <w:sz w:val="20"/>
        </w:rPr>
        <w:t>Revenues</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sz w:val="20"/>
        </w:rPr>
        <w:t>The following table presents revenues by segment (in thousands, except percentages):</w:t>
      </w:r>
      <w:r>
        <w:rPr>
          <w:rFonts w:ascii="Times New Roman" w:hAnsi="Times New Roman"/>
          <w:sz w:val="20"/>
        </w:rPr>
        <w:t xml:space="preserve"> </w:t>
      </w:r>
    </w:p>
    <w:tbl>
      <w:tblPr>
        <w:tblW w:w="5837" w:type="dxa"/>
        <w:jc w:val="left"/>
        <w:tblInd w:w="0" w:type="dxa"/>
        <w:tblCellMar>
          <w:top w:w="28" w:type="dxa"/>
          <w:left w:w="28" w:type="dxa"/>
          <w:bottom w:w="28" w:type="dxa"/>
          <w:right w:w="28" w:type="dxa"/>
        </w:tblCellMar>
      </w:tblPr>
      <w:tblGrid>
        <w:gridCol w:w="1141"/>
        <w:gridCol w:w="146"/>
        <w:gridCol w:w="216"/>
        <w:gridCol w:w="762"/>
        <w:gridCol w:w="161"/>
        <w:gridCol w:w="161"/>
        <w:gridCol w:w="216"/>
        <w:gridCol w:w="762"/>
        <w:gridCol w:w="146"/>
        <w:gridCol w:w="196"/>
        <w:gridCol w:w="601"/>
        <w:gridCol w:w="146"/>
        <w:gridCol w:w="146"/>
        <w:gridCol w:w="258"/>
        <w:gridCol w:w="508"/>
        <w:gridCol w:w="271"/>
      </w:tblGrid>
      <w:tr>
        <w:trPr/>
        <w:tc>
          <w:tcPr>
            <w:tcW w:w="1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11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9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r>
      <w:tr>
        <w:trPr/>
        <w:tc>
          <w:tcPr>
            <w:tcW w:w="11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2023</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9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 Change</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41" w:type="dxa"/>
            <w:tcBorders/>
            <w:shd w:fill="auto" w:val="cle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Revenues: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78"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1" w:type="dxa"/>
            <w:tcBorders/>
            <w:shd w:fill="auto" w:val="cle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978"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r>
      <w:tr>
        <w:trPr/>
        <w:tc>
          <w:tcPr>
            <w:tcW w:w="1141"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Marketplace</w:t>
            </w:r>
          </w:p>
        </w:tc>
        <w:tc>
          <w:tcPr>
            <w:tcW w:w="146" w:type="dxa"/>
            <w:tcBorders/>
            <w:shd w:fill="auto" w:val="clear"/>
            <w:vAlign w:val="center"/>
          </w:tcPr>
          <w:p>
            <w:pPr>
              <w:pStyle w:val="TableContents"/>
              <w:spacing w:before="0" w:after="0"/>
              <w:ind w:left="0" w:right="0" w:hanging="0"/>
              <w:jc w:val="center"/>
              <w:rPr/>
            </w:pPr>
            <w:r>
              <w:rPr/>
              <w:t> </w:t>
            </w:r>
          </w:p>
        </w:tc>
        <w:tc>
          <w:tcPr>
            <w:tcW w:w="21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762"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136,581</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center"/>
              <w:rPr/>
            </w:pPr>
            <w:r>
              <w:rPr/>
              <w:t> </w:t>
            </w:r>
          </w:p>
        </w:tc>
        <w:tc>
          <w:tcPr>
            <w:tcW w:w="21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762"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110,516</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26,065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508"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24</w:t>
            </w:r>
          </w:p>
        </w:tc>
        <w:tc>
          <w:tcPr>
            <w:tcW w:w="271"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1141"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Resale</w:t>
            </w:r>
          </w:p>
        </w:tc>
        <w:tc>
          <w:tcPr>
            <w:tcW w:w="146" w:type="dxa"/>
            <w:tcBorders/>
            <w:shd w:fill="auto" w:val="clear"/>
            <w:vAlign w:val="center"/>
          </w:tcPr>
          <w:p>
            <w:pPr>
              <w:pStyle w:val="TableContents"/>
              <w:spacing w:before="0" w:after="0"/>
              <w:ind w:left="0" w:right="0" w:hanging="0"/>
              <w:jc w:val="center"/>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24,482</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center"/>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20,256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4,226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1141" w:type="dxa"/>
            <w:tcBorders/>
            <w:shd w:fill="auto" w:val="cle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Total revenues</w:t>
            </w:r>
          </w:p>
        </w:tc>
        <w:tc>
          <w:tcPr>
            <w:tcW w:w="146" w:type="dxa"/>
            <w:tcBorders/>
            <w:shd w:fill="auto" w:val="clear"/>
            <w:vAlign w:val="center"/>
          </w:tcPr>
          <w:p>
            <w:pPr>
              <w:pStyle w:val="TableContents"/>
              <w:spacing w:before="0" w:after="0"/>
              <w:ind w:left="0" w:right="0" w:hanging="0"/>
              <w:jc w:val="center"/>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c>
          <w:tcPr>
            <w:tcW w:w="7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161,063</w:t>
            </w:r>
          </w:p>
        </w:tc>
        <w:tc>
          <w:tcPr>
            <w:tcW w:w="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center"/>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c>
          <w:tcPr>
            <w:tcW w:w="7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130,772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30,291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23</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r>
    </w:tbl>
    <w:p>
      <w:pPr>
        <w:pStyle w:val="TextBody"/>
        <w:spacing w:before="160" w:after="120"/>
        <w:jc w:val="both"/>
        <w:rPr>
          <w:rFonts w:ascii="Calibri;sans-serif" w:hAnsi="Calibri;sans-serif"/>
          <w:b w:val="false"/>
          <w:sz w:val="20"/>
        </w:rPr>
      </w:pPr>
      <w:r>
        <w:rPr>
          <w:rFonts w:ascii="Calibri;sans-serif" w:hAnsi="Calibri;sans-serif"/>
          <w:b w:val="false"/>
          <w:sz w:val="20"/>
        </w:rPr>
        <w:t>Total revenues increased $30.3 million, or 23%, during the three months ended March 31, 2023 compared to the three months ended March 31, 2022. The increase, which occurred in both our Marketplace and Resale segments, resulted from an increase in new orders processed resulting from an increased number of live events sold and fewer event cancellations. The three months ended March 31, 2022 were negatively impacted by the Omicron variant in addition to abnormally high cancellations that were unrelated to the COVID-19 pandemic.</w:t>
      </w:r>
    </w:p>
    <w:p>
      <w:pPr>
        <w:pStyle w:val="TextBody"/>
        <w:spacing w:before="160" w:after="120"/>
        <w:jc w:val="both"/>
        <w:rPr>
          <w:rFonts w:ascii="Times New Roman" w:hAnsi="Times New Roman"/>
          <w:sz w:val="20"/>
        </w:rPr>
      </w:pPr>
      <w:r>
        <w:rPr>
          <w:rFonts w:ascii="Calibri;sans-serif" w:hAnsi="Calibri;sans-serif"/>
          <w:b w:val="false"/>
          <w:i/>
          <w:sz w:val="20"/>
        </w:rPr>
        <w:t>Marketplace</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sz w:val="20"/>
        </w:rPr>
        <w:t>The following table presents Marketplace revenues by event category (in thousands, except percentages):</w:t>
      </w:r>
      <w:r>
        <w:rPr>
          <w:rFonts w:ascii="Times New Roman" w:hAnsi="Times New Roman"/>
          <w:sz w:val="20"/>
        </w:rPr>
        <w:t xml:space="preserve"> </w:t>
      </w:r>
    </w:p>
    <w:tbl>
      <w:tblPr>
        <w:tblW w:w="6752" w:type="dxa"/>
        <w:jc w:val="left"/>
        <w:tblInd w:w="0" w:type="dxa"/>
        <w:tblCellMar>
          <w:top w:w="28" w:type="dxa"/>
          <w:left w:w="28" w:type="dxa"/>
          <w:bottom w:w="28" w:type="dxa"/>
          <w:right w:w="28" w:type="dxa"/>
        </w:tblCellMar>
      </w:tblPr>
      <w:tblGrid>
        <w:gridCol w:w="2056"/>
        <w:gridCol w:w="146"/>
        <w:gridCol w:w="216"/>
        <w:gridCol w:w="762"/>
        <w:gridCol w:w="161"/>
        <w:gridCol w:w="161"/>
        <w:gridCol w:w="216"/>
        <w:gridCol w:w="762"/>
        <w:gridCol w:w="146"/>
        <w:gridCol w:w="196"/>
        <w:gridCol w:w="601"/>
        <w:gridCol w:w="146"/>
        <w:gridCol w:w="146"/>
        <w:gridCol w:w="214"/>
        <w:gridCol w:w="552"/>
        <w:gridCol w:w="271"/>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9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r>
      <w:tr>
        <w:trPr/>
        <w:tc>
          <w:tcPr>
            <w:tcW w:w="20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2023</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9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 Change</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56" w:type="dxa"/>
            <w:tcBorders/>
            <w:shd w:fill="auto" w:val="cle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Revenues: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78"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1" w:type="dxa"/>
            <w:tcBorders/>
            <w:shd w:fill="auto" w:val="cle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978"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r>
      <w:tr>
        <w:trPr/>
        <w:tc>
          <w:tcPr>
            <w:tcW w:w="205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Concerts</w:t>
            </w:r>
          </w:p>
        </w:tc>
        <w:tc>
          <w:tcPr>
            <w:tcW w:w="146" w:type="dxa"/>
            <w:tcBorders/>
            <w:shd w:fill="auto" w:val="clear"/>
            <w:vAlign w:val="center"/>
          </w:tcPr>
          <w:p>
            <w:pPr>
              <w:pStyle w:val="TableContents"/>
              <w:spacing w:before="0" w:after="0"/>
              <w:ind w:left="0" w:right="0" w:hanging="0"/>
              <w:jc w:val="center"/>
              <w:rPr/>
            </w:pPr>
            <w:r>
              <w:rPr/>
              <w:t> </w:t>
            </w:r>
          </w:p>
        </w:tc>
        <w:tc>
          <w:tcPr>
            <w:tcW w:w="21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762"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74,879</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center"/>
              <w:rPr/>
            </w:pPr>
            <w:r>
              <w:rPr/>
              <w:t> </w:t>
            </w:r>
          </w:p>
        </w:tc>
        <w:tc>
          <w:tcPr>
            <w:tcW w:w="21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762"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58,673</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16,206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552"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28</w:t>
            </w:r>
          </w:p>
        </w:tc>
        <w:tc>
          <w:tcPr>
            <w:tcW w:w="271"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205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Sports</w:t>
            </w:r>
          </w:p>
        </w:tc>
        <w:tc>
          <w:tcPr>
            <w:tcW w:w="146" w:type="dxa"/>
            <w:tcBorders/>
            <w:shd w:fill="auto" w:val="clear"/>
            <w:vAlign w:val="center"/>
          </w:tcPr>
          <w:p>
            <w:pPr>
              <w:pStyle w:val="TableContents"/>
              <w:spacing w:before="0" w:after="0"/>
              <w:ind w:left="0" w:right="0" w:hanging="0"/>
              <w:jc w:val="center"/>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45,600</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center"/>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38,915</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6,685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552"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17</w:t>
            </w:r>
          </w:p>
        </w:tc>
        <w:tc>
          <w:tcPr>
            <w:tcW w:w="271"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205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Theater</w:t>
            </w:r>
          </w:p>
        </w:tc>
        <w:tc>
          <w:tcPr>
            <w:tcW w:w="146" w:type="dxa"/>
            <w:tcBorders/>
            <w:shd w:fill="auto" w:val="clear"/>
            <w:vAlign w:val="center"/>
          </w:tcPr>
          <w:p>
            <w:pPr>
              <w:pStyle w:val="TableContents"/>
              <w:spacing w:before="0" w:after="0"/>
              <w:ind w:left="0" w:right="0" w:hanging="0"/>
              <w:jc w:val="center"/>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15,390</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center"/>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762"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12,615</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2,775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552"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22</w:t>
            </w:r>
          </w:p>
        </w:tc>
        <w:tc>
          <w:tcPr>
            <w:tcW w:w="271"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205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Other</w:t>
            </w:r>
          </w:p>
        </w:tc>
        <w:tc>
          <w:tcPr>
            <w:tcW w:w="146" w:type="dxa"/>
            <w:tcBorders/>
            <w:shd w:fill="auto" w:val="clear"/>
            <w:vAlign w:val="center"/>
          </w:tcPr>
          <w:p>
            <w:pPr>
              <w:pStyle w:val="TableContents"/>
              <w:spacing w:before="0" w:after="0"/>
              <w:ind w:left="0" w:right="0" w:hanging="0"/>
              <w:jc w:val="center"/>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712</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center"/>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313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399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127</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2056" w:type="dxa"/>
            <w:tcBorders/>
            <w:shd w:fill="auto" w:val="cle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Total Marketplace revenues</w:t>
            </w:r>
          </w:p>
        </w:tc>
        <w:tc>
          <w:tcPr>
            <w:tcW w:w="146" w:type="dxa"/>
            <w:tcBorders/>
            <w:shd w:fill="auto" w:val="clear"/>
            <w:vAlign w:val="center"/>
          </w:tcPr>
          <w:p>
            <w:pPr>
              <w:pStyle w:val="TableContents"/>
              <w:spacing w:before="0" w:after="0"/>
              <w:ind w:left="0" w:right="0" w:hanging="0"/>
              <w:jc w:val="center"/>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c>
          <w:tcPr>
            <w:tcW w:w="7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136,581</w:t>
            </w:r>
          </w:p>
        </w:tc>
        <w:tc>
          <w:tcPr>
            <w:tcW w:w="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center"/>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c>
          <w:tcPr>
            <w:tcW w:w="7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110,516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26,065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24</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r>
    </w:tbl>
    <w:p>
      <w:pPr>
        <w:pStyle w:val="TextBody"/>
        <w:spacing w:before="160" w:after="120"/>
        <w:jc w:val="both"/>
        <w:rPr>
          <w:rFonts w:ascii="Calibri;sans-serif" w:hAnsi="Calibri;sans-serif"/>
          <w:b w:val="false"/>
          <w:sz w:val="20"/>
        </w:rPr>
      </w:pPr>
      <w:r>
        <w:rPr>
          <w:rFonts w:ascii="Calibri;sans-serif" w:hAnsi="Calibri;sans-serif"/>
          <w:b w:val="false"/>
          <w:sz w:val="20"/>
        </w:rPr>
        <w:t>Marketplace revenues increased $26.1 million, or 24%, during the three months ended March 31, 2023 compared to the three months ended March 31, 2022. The increase in Marketplace revenues for the three months ended March 31, 2023 resulted from an increase in new orders processed due to an increased number of live events sold, fewer event cancellations and a reduction in Vivid Seats Rewards contra revenue based on updated trends following changes to our loyalty program in Q4 2022.</w:t>
      </w:r>
    </w:p>
    <w:p>
      <w:pPr>
        <w:pStyle w:val="TextBody"/>
        <w:spacing w:before="160" w:after="120"/>
        <w:jc w:val="both"/>
        <w:rPr>
          <w:rFonts w:ascii="Calibri;sans-serif" w:hAnsi="Calibri;sans-serif"/>
          <w:b w:val="false"/>
          <w:sz w:val="20"/>
        </w:rPr>
      </w:pPr>
      <w:r>
        <w:rPr>
          <w:rFonts w:ascii="Calibri;sans-serif" w:hAnsi="Calibri;sans-serif"/>
          <w:b w:val="false"/>
          <w:sz w:val="20"/>
        </w:rPr>
        <w:t>Total Marketplace orders increased 0.3 million, or 13%, during the three months ended March 31, 2023 compared to the three months ended March 31, 2022.</w:t>
      </w:r>
    </w:p>
    <w:p>
      <w:pPr>
        <w:pStyle w:val="TextBody"/>
        <w:spacing w:before="160" w:after="120"/>
        <w:jc w:val="both"/>
        <w:rPr>
          <w:rFonts w:ascii="Calibri;sans-serif" w:hAnsi="Calibri;sans-serif"/>
          <w:b w:val="false"/>
          <w:sz w:val="20"/>
        </w:rPr>
      </w:pPr>
      <w:r>
        <w:rPr>
          <w:rFonts w:ascii="Calibri;sans-serif" w:hAnsi="Calibri;sans-serif"/>
          <w:b w:val="false"/>
          <w:sz w:val="20"/>
        </w:rPr>
        <w:t>Cancellation charges, which are recognized as a reduction to revenues, were $3.6 million for the three months ended March 31, 2023 compared to $16.0 million for the three months ended March 31, 2022. Cancellation charges for the three months ended March 31, 2023 were lower than the three months ended March 31, 2022 due to significantly fewer event cancellations.</w:t>
      </w:r>
    </w:p>
    <w:p>
      <w:pPr>
        <w:pStyle w:val="TextBody"/>
        <w:spacing w:before="160" w:after="120"/>
        <w:jc w:val="both"/>
        <w:rPr>
          <w:rFonts w:ascii="Times New Roman" w:hAnsi="Times New Roman"/>
          <w:sz w:val="20"/>
        </w:rPr>
      </w:pPr>
      <w:r>
        <w:rPr>
          <w:rFonts w:ascii="Calibri;sans-serif" w:hAnsi="Calibri;sans-serif"/>
          <w:b w:val="false"/>
          <w:sz w:val="20"/>
        </w:rPr>
        <w:t>Marketplace revenues by business model consisted of the following (in thousands, except percentages):</w:t>
      </w:r>
      <w:r>
        <w:rPr>
          <w:rFonts w:ascii="Times New Roman" w:hAnsi="Times New Roman"/>
          <w:sz w:val="20"/>
        </w:rPr>
        <w:t xml:space="preserve"> </w:t>
      </w:r>
    </w:p>
    <w:tbl>
      <w:tblPr>
        <w:tblW w:w="6752" w:type="dxa"/>
        <w:jc w:val="left"/>
        <w:tblInd w:w="0" w:type="dxa"/>
        <w:tblCellMar>
          <w:top w:w="28" w:type="dxa"/>
          <w:left w:w="28" w:type="dxa"/>
          <w:bottom w:w="28" w:type="dxa"/>
          <w:right w:w="28" w:type="dxa"/>
        </w:tblCellMar>
      </w:tblPr>
      <w:tblGrid>
        <w:gridCol w:w="2056"/>
        <w:gridCol w:w="146"/>
        <w:gridCol w:w="216"/>
        <w:gridCol w:w="762"/>
        <w:gridCol w:w="161"/>
        <w:gridCol w:w="161"/>
        <w:gridCol w:w="216"/>
        <w:gridCol w:w="762"/>
        <w:gridCol w:w="146"/>
        <w:gridCol w:w="196"/>
        <w:gridCol w:w="601"/>
        <w:gridCol w:w="146"/>
        <w:gridCol w:w="146"/>
        <w:gridCol w:w="258"/>
        <w:gridCol w:w="508"/>
        <w:gridCol w:w="271"/>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9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r>
      <w:tr>
        <w:trPr/>
        <w:tc>
          <w:tcPr>
            <w:tcW w:w="20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2023</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9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 Change</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56" w:type="dxa"/>
            <w:tcBorders/>
            <w:shd w:fill="auto" w:val="cle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Revenues: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78" w:type="dxa"/>
            <w:gridSpan w:val="2"/>
            <w:tcBorders/>
            <w:shd w:fill="auto" w:val="clear"/>
            <w:vAlign w:val="center"/>
          </w:tcPr>
          <w:p>
            <w:pPr>
              <w:pStyle w:val="TableContents"/>
              <w:spacing w:before="0" w:after="283"/>
              <w:ind w:left="0" w:right="0" w:hanging="0"/>
              <w:rPr>
                <w:sz w:val="4"/>
                <w:szCs w:val="4"/>
              </w:rPr>
            </w:pPr>
            <w:r>
              <w:rPr>
                <w:sz w:val="4"/>
                <w:szCs w:val="4"/>
              </w:rPr>
            </w:r>
          </w:p>
        </w:tc>
        <w:tc>
          <w:tcPr>
            <w:tcW w:w="161" w:type="dxa"/>
            <w:tcBorders/>
            <w:shd w:fill="auto" w:val="clear"/>
            <w:vAlign w:val="center"/>
          </w:tcPr>
          <w:p>
            <w:pPr>
              <w:pStyle w:val="TableContents"/>
              <w:spacing w:before="0" w:after="0"/>
              <w:ind w:left="0" w:right="0" w:hanging="0"/>
              <w:jc w:val="center"/>
              <w:rPr/>
            </w:pPr>
            <w:r>
              <w:rPr/>
              <w:t> </w:t>
            </w:r>
          </w:p>
        </w:tc>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978"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r>
      <w:tr>
        <w:trPr/>
        <w:tc>
          <w:tcPr>
            <w:tcW w:w="205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Owned Properties</w:t>
            </w:r>
          </w:p>
        </w:tc>
        <w:tc>
          <w:tcPr>
            <w:tcW w:w="146" w:type="dxa"/>
            <w:tcBorders/>
            <w:shd w:fill="auto" w:val="clear"/>
            <w:vAlign w:val="center"/>
          </w:tcPr>
          <w:p>
            <w:pPr>
              <w:pStyle w:val="TableContents"/>
              <w:spacing w:before="0" w:after="0"/>
              <w:ind w:left="0" w:right="0" w:hanging="0"/>
              <w:jc w:val="center"/>
              <w:rPr/>
            </w:pPr>
            <w:r>
              <w:rPr/>
              <w:t> </w:t>
            </w:r>
          </w:p>
        </w:tc>
        <w:tc>
          <w:tcPr>
            <w:tcW w:w="21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762"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102,815</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center"/>
              <w:rPr/>
            </w:pPr>
            <w:r>
              <w:rPr/>
              <w:t> </w:t>
            </w:r>
          </w:p>
        </w:tc>
        <w:tc>
          <w:tcPr>
            <w:tcW w:w="21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762"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83,666</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601"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19,149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508"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23</w:t>
            </w:r>
          </w:p>
        </w:tc>
        <w:tc>
          <w:tcPr>
            <w:tcW w:w="271"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205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Private Label</w:t>
            </w:r>
          </w:p>
        </w:tc>
        <w:tc>
          <w:tcPr>
            <w:tcW w:w="146" w:type="dxa"/>
            <w:tcBorders/>
            <w:shd w:fill="auto" w:val="clear"/>
            <w:vAlign w:val="center"/>
          </w:tcPr>
          <w:p>
            <w:pPr>
              <w:pStyle w:val="TableContents"/>
              <w:spacing w:before="0" w:after="0"/>
              <w:ind w:left="0" w:right="0" w:hanging="0"/>
              <w:jc w:val="center"/>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33,766</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center"/>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26,850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6,916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26</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2056" w:type="dxa"/>
            <w:tcBorders/>
            <w:shd w:fill="auto" w:val="cle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Total Marketplace revenues</w:t>
            </w:r>
          </w:p>
        </w:tc>
        <w:tc>
          <w:tcPr>
            <w:tcW w:w="146" w:type="dxa"/>
            <w:tcBorders/>
            <w:shd w:fill="auto" w:val="clear"/>
            <w:vAlign w:val="center"/>
          </w:tcPr>
          <w:p>
            <w:pPr>
              <w:pStyle w:val="TableContents"/>
              <w:spacing w:before="0" w:after="0"/>
              <w:ind w:left="0" w:right="0" w:hanging="0"/>
              <w:jc w:val="center"/>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c>
          <w:tcPr>
            <w:tcW w:w="7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136,581</w:t>
            </w:r>
          </w:p>
        </w:tc>
        <w:tc>
          <w:tcPr>
            <w:tcW w:w="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center"/>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c>
          <w:tcPr>
            <w:tcW w:w="7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110,516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26,065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24</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r>
    </w:tbl>
    <w:p>
      <w:pPr>
        <w:pStyle w:val="TextBody"/>
        <w:spacing w:before="160" w:after="120"/>
        <w:jc w:val="both"/>
        <w:rPr>
          <w:rFonts w:ascii="Calibri;sans-serif" w:hAnsi="Calibri;sans-serif"/>
          <w:b w:val="false"/>
          <w:sz w:val="20"/>
        </w:rPr>
      </w:pPr>
      <w:r>
        <w:rPr>
          <w:rFonts w:ascii="Calibri;sans-serif" w:hAnsi="Calibri;sans-serif"/>
          <w:b w:val="false"/>
          <w:sz w:val="20"/>
        </w:rPr>
        <w:t>The increase in revenue from Owned Properties during the three months ended March 31, 2023 resulted from an increase in new orders processed across each event category driven by more events sold and fewer event cancellations.</w:t>
      </w:r>
    </w:p>
    <w:p>
      <w:pPr>
        <w:pStyle w:val="TextBody"/>
        <w:spacing w:before="160" w:after="120"/>
        <w:jc w:val="both"/>
        <w:rPr>
          <w:rFonts w:ascii="Times New Roman" w:hAnsi="Times New Roman"/>
          <w:sz w:val="20"/>
        </w:rPr>
      </w:pPr>
      <w:r>
        <w:rPr>
          <w:rFonts w:ascii="Calibri;sans-serif" w:hAnsi="Calibri;sans-serif"/>
          <w:b w:val="false"/>
          <w:sz w:val="20"/>
        </w:rPr>
        <w:t>Within the Marketplace segment, we also earn referral fee revenue by offering event ticket insurance to ticket buyers, using a third-party insurance provider. Our referral fee revenue was $7.2 million and $9.5 million during the three months ended March 31, 2023 and 2022, respectively. Referral fees were lower for the three months ended</w:t>
      </w:r>
      <w:r>
        <w:rPr>
          <w:rFonts w:ascii="Times New Roman" w:hAnsi="Times New Roman"/>
          <w:sz w:val="20"/>
        </w:rPr>
        <w:t xml:space="preserve"> </w:t>
      </w:r>
    </w:p>
    <w:p>
      <w:pPr>
        <w:pStyle w:val="TextBody"/>
        <w:spacing w:before="0" w:after="0"/>
        <w:jc w:val="center"/>
        <w:rPr>
          <w:rFonts w:ascii="Calibri;sans-serif" w:hAnsi="Calibri;sans-serif"/>
          <w:b w:val="false"/>
          <w:sz w:val="20"/>
        </w:rPr>
      </w:pPr>
      <w:r>
        <w:rPr>
          <w:rFonts w:ascii="Calibri;sans-serif" w:hAnsi="Calibri;sans-serif"/>
          <w:b w:val="false"/>
          <w:sz w:val="20"/>
        </w:rPr>
        <w:t>25</w:t>
      </w:r>
    </w:p>
    <w:p>
      <w:pPr>
        <w:pStyle w:val="HorizontalLine"/>
        <w:rPr/>
      </w:pPr>
      <w:r>
        <w:rPr/>
      </w:r>
    </w:p>
    <w:p>
      <w:pPr>
        <w:pStyle w:val="TextBody"/>
        <w:spacing w:before="0" w:after="0"/>
        <w:jc w:val="left"/>
        <w:rPr/>
      </w:pPr>
      <w:r>
        <w:rPr/>
        <w:t> </w:t>
      </w:r>
    </w:p>
    <w:p>
      <w:pPr>
        <w:pStyle w:val="TextBody"/>
        <w:spacing w:before="160" w:after="120"/>
        <w:jc w:val="both"/>
        <w:rPr>
          <w:rFonts w:ascii="Calibri;sans-serif" w:hAnsi="Calibri;sans-serif"/>
          <w:b w:val="false"/>
          <w:sz w:val="20"/>
        </w:rPr>
      </w:pPr>
      <w:r>
        <w:rPr>
          <w:rFonts w:ascii="Calibri;sans-serif" w:hAnsi="Calibri;sans-serif"/>
          <w:b w:val="false"/>
          <w:sz w:val="20"/>
        </w:rPr>
        <w:t>March 31, 2023 compared to the three months ended March 31, 2022 as insurance attachment rate to orders declined.</w:t>
      </w:r>
    </w:p>
    <w:p>
      <w:pPr>
        <w:pStyle w:val="TextBody"/>
        <w:spacing w:before="160" w:after="120"/>
        <w:jc w:val="both"/>
        <w:rPr>
          <w:rFonts w:ascii="Times New Roman" w:hAnsi="Times New Roman"/>
          <w:sz w:val="20"/>
        </w:rPr>
      </w:pPr>
      <w:r>
        <w:rPr>
          <w:rFonts w:ascii="Calibri;sans-serif" w:hAnsi="Calibri;sans-serif"/>
          <w:b w:val="false"/>
          <w:i/>
          <w:sz w:val="20"/>
        </w:rPr>
        <w:t>Resale</w:t>
      </w:r>
      <w:r>
        <w:rPr>
          <w:rFonts w:ascii="Times New Roman" w:hAnsi="Times New Roman"/>
          <w:sz w:val="20"/>
        </w:rPr>
        <w:t xml:space="preserve"> </w:t>
      </w:r>
    </w:p>
    <w:p>
      <w:pPr>
        <w:pStyle w:val="TextBody"/>
        <w:spacing w:before="160" w:after="120"/>
        <w:jc w:val="both"/>
        <w:rPr>
          <w:rFonts w:ascii="Calibri;sans-serif" w:hAnsi="Calibri;sans-serif"/>
          <w:b w:val="false"/>
          <w:sz w:val="20"/>
        </w:rPr>
      </w:pPr>
      <w:r>
        <w:rPr>
          <w:rFonts w:ascii="Calibri;sans-serif" w:hAnsi="Calibri;sans-serif"/>
          <w:b w:val="false"/>
          <w:sz w:val="20"/>
        </w:rPr>
        <w:t>Resale revenues increased $4.2 million, or 21%, during the three months ended March 31, 2023 compared to the three months ended March 31, 2022. The increase resulted primarily from higher order volume. Total Resale orders increased less than 0.1 million, or 28%, during the three months ended March 31, 2023 compared to the three months ended March 31, 2022. Cancellation charges, classified as a reduction of revenue, negatively impacted Resale revenue by $0.5 million for the three months ended March 31, 2023, and $0.2 million for the three months ended March 31, 2022 due to an increase in the reserve for future cancellations.</w:t>
      </w:r>
    </w:p>
    <w:p>
      <w:pPr>
        <w:pStyle w:val="TextBody"/>
        <w:spacing w:before="160" w:after="120"/>
        <w:jc w:val="both"/>
        <w:rPr>
          <w:rFonts w:ascii="Times New Roman" w:hAnsi="Times New Roman"/>
          <w:sz w:val="20"/>
        </w:rPr>
      </w:pPr>
      <w:r>
        <w:rPr>
          <w:rFonts w:ascii="Calibri;sans-serif" w:hAnsi="Calibri;sans-serif"/>
          <w:b/>
          <w:sz w:val="20"/>
        </w:rPr>
        <w:t>Cost of Revenues (exclusive of Depreciation and Amortization)</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sz w:val="20"/>
        </w:rPr>
        <w:t>The following table presents cost of revenues by segment (in thousands, except percentages):</w:t>
      </w:r>
      <w:r>
        <w:rPr>
          <w:rFonts w:ascii="Times New Roman" w:hAnsi="Times New Roman"/>
          <w:sz w:val="20"/>
        </w:rPr>
        <w:t xml:space="preserve"> </w:t>
      </w:r>
    </w:p>
    <w:tbl>
      <w:tblPr>
        <w:tblW w:w="6373" w:type="dxa"/>
        <w:jc w:val="left"/>
        <w:tblInd w:w="0" w:type="dxa"/>
        <w:tblCellMar>
          <w:top w:w="28" w:type="dxa"/>
          <w:left w:w="28" w:type="dxa"/>
          <w:bottom w:w="28" w:type="dxa"/>
          <w:right w:w="28" w:type="dxa"/>
        </w:tblCellMar>
      </w:tblPr>
      <w:tblGrid>
        <w:gridCol w:w="1621"/>
        <w:gridCol w:w="146"/>
        <w:gridCol w:w="237"/>
        <w:gridCol w:w="726"/>
        <w:gridCol w:w="176"/>
        <w:gridCol w:w="176"/>
        <w:gridCol w:w="237"/>
        <w:gridCol w:w="726"/>
        <w:gridCol w:w="146"/>
        <w:gridCol w:w="146"/>
        <w:gridCol w:w="196"/>
        <w:gridCol w:w="511"/>
        <w:gridCol w:w="146"/>
        <w:gridCol w:w="146"/>
        <w:gridCol w:w="258"/>
        <w:gridCol w:w="508"/>
        <w:gridCol w:w="271"/>
      </w:tblGrid>
      <w:tr>
        <w:trPr/>
        <w:tc>
          <w:tcPr>
            <w:tcW w:w="16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16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r>
      <w:tr>
        <w:trPr/>
        <w:tc>
          <w:tcPr>
            <w:tcW w:w="16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6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2023</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6" w:type="dxa"/>
            <w:tcBorders/>
            <w:shd w:fill="auto" w:val="clear"/>
            <w:vAlign w:val="center"/>
          </w:tcPr>
          <w:p>
            <w:pPr>
              <w:pStyle w:val="TableContents"/>
              <w:spacing w:before="0" w:after="283"/>
              <w:ind w:left="0" w:right="0" w:hanging="0"/>
              <w:rPr>
                <w:sz w:val="4"/>
                <w:szCs w:val="4"/>
              </w:rPr>
            </w:pPr>
            <w:r>
              <w:rPr>
                <w:sz w:val="4"/>
                <w:szCs w:val="4"/>
              </w:rPr>
            </w:r>
          </w:p>
        </w:tc>
        <w:tc>
          <w:tcPr>
            <w:tcW w:w="96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 Change</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21" w:type="dxa"/>
            <w:tcBorders/>
            <w:shd w:fill="auto" w:val="cle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Cost of revenues: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63" w:type="dxa"/>
            <w:gridSpan w:val="2"/>
            <w:tcBorders/>
            <w:shd w:fill="auto" w:val="clear"/>
            <w:vAlign w:val="center"/>
          </w:tcPr>
          <w:p>
            <w:pPr>
              <w:pStyle w:val="TableContents"/>
              <w:spacing w:before="0" w:after="283"/>
              <w:ind w:left="0" w:right="0" w:hanging="0"/>
              <w:rPr>
                <w:sz w:val="4"/>
                <w:szCs w:val="4"/>
              </w:rPr>
            </w:pPr>
            <w:r>
              <w:rPr>
                <w:sz w:val="4"/>
                <w:szCs w:val="4"/>
              </w:rPr>
            </w:r>
          </w:p>
        </w:tc>
        <w:tc>
          <w:tcPr>
            <w:tcW w:w="176" w:type="dxa"/>
            <w:tcBorders/>
            <w:shd w:fill="auto" w:val="clear"/>
            <w:vAlign w:val="center"/>
          </w:tcPr>
          <w:p>
            <w:pPr>
              <w:pStyle w:val="TableContents"/>
              <w:spacing w:before="0" w:after="0"/>
              <w:ind w:left="0" w:right="0" w:hanging="0"/>
              <w:jc w:val="center"/>
              <w:rPr/>
            </w:pPr>
            <w:r>
              <w:rPr/>
              <w:t> </w:t>
            </w:r>
          </w:p>
        </w:tc>
        <w:tc>
          <w:tcPr>
            <w:tcW w:w="176" w:type="dxa"/>
            <w:tcBorders/>
            <w:shd w:fill="auto" w:val="clear"/>
            <w:vAlign w:val="center"/>
          </w:tcPr>
          <w:p>
            <w:pPr>
              <w:pStyle w:val="TableContents"/>
              <w:spacing w:before="0" w:after="283"/>
              <w:ind w:left="0" w:right="0" w:hanging="0"/>
              <w:rPr>
                <w:sz w:val="4"/>
                <w:szCs w:val="4"/>
              </w:rPr>
            </w:pPr>
            <w:r>
              <w:rPr>
                <w:sz w:val="4"/>
                <w:szCs w:val="4"/>
              </w:rPr>
            </w:r>
          </w:p>
        </w:tc>
        <w:tc>
          <w:tcPr>
            <w:tcW w:w="963"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r>
      <w:tr>
        <w:trPr/>
        <w:tc>
          <w:tcPr>
            <w:tcW w:w="1621"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Marketplace</w:t>
            </w:r>
          </w:p>
        </w:tc>
        <w:tc>
          <w:tcPr>
            <w:tcW w:w="146" w:type="dxa"/>
            <w:tcBorders/>
            <w:shd w:fill="auto" w:val="clear"/>
            <w:vAlign w:val="center"/>
          </w:tcPr>
          <w:p>
            <w:pPr>
              <w:pStyle w:val="TableContents"/>
              <w:spacing w:before="0" w:after="0"/>
              <w:ind w:left="0" w:right="0" w:hanging="0"/>
              <w:jc w:val="center"/>
              <w:rPr/>
            </w:pPr>
            <w:r>
              <w:rPr/>
              <w:t> </w:t>
            </w:r>
          </w:p>
        </w:tc>
        <w:tc>
          <w:tcPr>
            <w:tcW w:w="237"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726"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20,060</w:t>
            </w:r>
          </w:p>
        </w:tc>
        <w:tc>
          <w:tcPr>
            <w:tcW w:w="17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center"/>
              <w:rPr/>
            </w:pPr>
            <w:r>
              <w:rPr/>
              <w:t> </w:t>
            </w:r>
          </w:p>
        </w:tc>
        <w:tc>
          <w:tcPr>
            <w:tcW w:w="237"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726"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16,409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511"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3,651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508"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22</w:t>
            </w:r>
          </w:p>
        </w:tc>
        <w:tc>
          <w:tcPr>
            <w:tcW w:w="271"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1621"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Resale</w:t>
            </w:r>
          </w:p>
        </w:tc>
        <w:tc>
          <w:tcPr>
            <w:tcW w:w="146" w:type="dxa"/>
            <w:tcBorders/>
            <w:shd w:fill="auto" w:val="clear"/>
            <w:vAlign w:val="center"/>
          </w:tcPr>
          <w:p>
            <w:pPr>
              <w:pStyle w:val="TableContents"/>
              <w:spacing w:before="0" w:after="0"/>
              <w:ind w:left="0" w:right="0" w:hanging="0"/>
              <w:jc w:val="center"/>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17,700</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center"/>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15,755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1,945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1621" w:type="dxa"/>
            <w:tcBorders/>
            <w:shd w:fill="auto" w:val="cle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Total cost of revenues</w:t>
            </w:r>
          </w:p>
        </w:tc>
        <w:tc>
          <w:tcPr>
            <w:tcW w:w="146" w:type="dxa"/>
            <w:tcBorders/>
            <w:shd w:fill="auto" w:val="clear"/>
            <w:vAlign w:val="center"/>
          </w:tcPr>
          <w:p>
            <w:pPr>
              <w:pStyle w:val="TableContents"/>
              <w:spacing w:before="0" w:after="0"/>
              <w:ind w:left="0" w:right="0" w:hanging="0"/>
              <w:jc w:val="center"/>
              <w:rPr/>
            </w:pPr>
            <w:r>
              <w:rPr/>
              <w:t> </w:t>
            </w:r>
          </w:p>
        </w:tc>
        <w:tc>
          <w:tcPr>
            <w:tcW w:w="2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c>
          <w:tcPr>
            <w:tcW w:w="7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37,760</w:t>
            </w:r>
          </w:p>
        </w:tc>
        <w:tc>
          <w:tcPr>
            <w:tcW w:w="1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center"/>
              <w:rPr/>
            </w:pPr>
            <w:r>
              <w:rPr/>
              <w:t> </w:t>
            </w:r>
          </w:p>
        </w:tc>
        <w:tc>
          <w:tcPr>
            <w:tcW w:w="2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c>
          <w:tcPr>
            <w:tcW w:w="7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32,164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5,596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17</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r>
    </w:tbl>
    <w:p>
      <w:pPr>
        <w:pStyle w:val="TextBody"/>
        <w:spacing w:before="160" w:after="120"/>
        <w:jc w:val="both"/>
        <w:rPr>
          <w:rFonts w:ascii="Times New Roman" w:hAnsi="Times New Roman"/>
          <w:sz w:val="20"/>
        </w:rPr>
      </w:pPr>
      <w:r>
        <w:rPr>
          <w:rFonts w:ascii="Calibri;sans-serif" w:hAnsi="Calibri;sans-serif"/>
          <w:b w:val="false"/>
          <w:sz w:val="20"/>
        </w:rPr>
        <w:t>Total cost of revenues increased $5.6 million, or 17%, for the three months ended March 31, 2023 compared to the three months ended March 31, 2022. The increase to total cost of revenues resulted primarily from higher revenues in both our Marketplace and Resale segments.</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i/>
          <w:sz w:val="20"/>
        </w:rPr>
        <w:t>Marketplace</w:t>
      </w:r>
      <w:r>
        <w:rPr>
          <w:rFonts w:ascii="Times New Roman" w:hAnsi="Times New Roman"/>
          <w:sz w:val="20"/>
        </w:rPr>
        <w:t xml:space="preserve"> </w:t>
      </w:r>
    </w:p>
    <w:p>
      <w:pPr>
        <w:pStyle w:val="TextBody"/>
        <w:spacing w:before="160" w:after="120"/>
        <w:jc w:val="both"/>
        <w:rPr>
          <w:rFonts w:ascii="Calibri;sans-serif" w:hAnsi="Calibri;sans-serif"/>
          <w:b w:val="false"/>
          <w:sz w:val="20"/>
        </w:rPr>
      </w:pPr>
      <w:r>
        <w:rPr>
          <w:rFonts w:ascii="Calibri;sans-serif" w:hAnsi="Calibri;sans-serif"/>
          <w:b w:val="false"/>
          <w:sz w:val="20"/>
        </w:rPr>
        <w:t>Marketplace cost of revenues increased $3.7 million, or 22%, for the three months ended March 31, 2023 compared to the three months ended March 31, 2022. The increase in cost of revenues is relatively consistent with the increase in total Marketplace revenues, which increased by 24%, for the three months ended March 31, 2023 compared to the three months ended March 31, 2022.</w:t>
      </w:r>
    </w:p>
    <w:p>
      <w:pPr>
        <w:pStyle w:val="TextBody"/>
        <w:spacing w:before="160" w:after="120"/>
        <w:jc w:val="both"/>
        <w:rPr>
          <w:rFonts w:ascii="Times New Roman" w:hAnsi="Times New Roman"/>
          <w:sz w:val="20"/>
        </w:rPr>
      </w:pPr>
      <w:r>
        <w:rPr>
          <w:rFonts w:ascii="Calibri;sans-serif" w:hAnsi="Calibri;sans-serif"/>
          <w:b w:val="false"/>
          <w:i/>
          <w:sz w:val="20"/>
        </w:rPr>
        <w:t>Resale</w:t>
      </w:r>
      <w:r>
        <w:rPr>
          <w:rFonts w:ascii="Times New Roman" w:hAnsi="Times New Roman"/>
          <w:sz w:val="20"/>
        </w:rPr>
        <w:t xml:space="preserve"> </w:t>
      </w:r>
    </w:p>
    <w:p>
      <w:pPr>
        <w:pStyle w:val="TextBody"/>
        <w:spacing w:before="160" w:after="120"/>
        <w:jc w:val="both"/>
        <w:rPr>
          <w:rFonts w:ascii="Calibri;sans-serif" w:hAnsi="Calibri;sans-serif"/>
          <w:b w:val="false"/>
          <w:sz w:val="20"/>
        </w:rPr>
      </w:pPr>
      <w:r>
        <w:rPr>
          <w:rFonts w:ascii="Calibri;sans-serif" w:hAnsi="Calibri;sans-serif"/>
          <w:b w:val="false"/>
          <w:sz w:val="20"/>
        </w:rPr>
        <w:t>Resale cost of revenues increased $1.9 million, or 12%, for the three months ended March 31, 2023 compared to the three months ended March 31, 2022. The increase in Resale cost of revenues is not consistent with the increase in Resale revenues due to higher margins for the three months ended March 31, 2023 compared to the three months ended March 31, 2022, resulting from particular inventory positions taken that were in high demand.</w:t>
      </w:r>
    </w:p>
    <w:p>
      <w:pPr>
        <w:pStyle w:val="TextBody"/>
        <w:spacing w:before="160" w:after="120"/>
        <w:jc w:val="both"/>
        <w:rPr>
          <w:rFonts w:ascii="Times New Roman" w:hAnsi="Times New Roman"/>
          <w:sz w:val="20"/>
        </w:rPr>
      </w:pPr>
      <w:r>
        <w:rPr>
          <w:rFonts w:ascii="Calibri;sans-serif" w:hAnsi="Calibri;sans-serif"/>
          <w:b/>
          <w:sz w:val="20"/>
        </w:rPr>
        <w:t>Marketing and Selling</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sz w:val="20"/>
        </w:rPr>
        <w:t>The following table presents marketing and selling expenses (in thousands, except percentages):</w:t>
      </w:r>
      <w:r>
        <w:rPr>
          <w:rFonts w:ascii="Times New Roman" w:hAnsi="Times New Roman"/>
          <w:sz w:val="20"/>
        </w:rPr>
        <w:t xml:space="preserve"> </w:t>
      </w:r>
    </w:p>
    <w:tbl>
      <w:tblPr>
        <w:tblW w:w="6753" w:type="dxa"/>
        <w:jc w:val="left"/>
        <w:tblInd w:w="0" w:type="dxa"/>
        <w:tblCellMar>
          <w:top w:w="28" w:type="dxa"/>
          <w:left w:w="28" w:type="dxa"/>
          <w:bottom w:w="28" w:type="dxa"/>
          <w:right w:w="28" w:type="dxa"/>
        </w:tblCellMar>
      </w:tblPr>
      <w:tblGrid>
        <w:gridCol w:w="1951"/>
        <w:gridCol w:w="146"/>
        <w:gridCol w:w="237"/>
        <w:gridCol w:w="726"/>
        <w:gridCol w:w="176"/>
        <w:gridCol w:w="176"/>
        <w:gridCol w:w="237"/>
        <w:gridCol w:w="726"/>
        <w:gridCol w:w="146"/>
        <w:gridCol w:w="146"/>
        <w:gridCol w:w="196"/>
        <w:gridCol w:w="511"/>
        <w:gridCol w:w="151"/>
        <w:gridCol w:w="146"/>
        <w:gridCol w:w="258"/>
        <w:gridCol w:w="508"/>
        <w:gridCol w:w="316"/>
      </w:tblGrid>
      <w:tr>
        <w:trPr/>
        <w:tc>
          <w:tcPr>
            <w:tcW w:w="1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7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19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6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2023</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6" w:type="dxa"/>
            <w:tcBorders/>
            <w:shd w:fill="auto" w:val="clear"/>
            <w:vAlign w:val="center"/>
          </w:tcPr>
          <w:p>
            <w:pPr>
              <w:pStyle w:val="TableContents"/>
              <w:spacing w:before="0" w:after="283"/>
              <w:ind w:left="0" w:right="0" w:hanging="0"/>
              <w:rPr>
                <w:sz w:val="4"/>
                <w:szCs w:val="4"/>
              </w:rPr>
            </w:pPr>
            <w:r>
              <w:rPr>
                <w:sz w:val="4"/>
                <w:szCs w:val="4"/>
              </w:rPr>
            </w:r>
          </w:p>
        </w:tc>
        <w:tc>
          <w:tcPr>
            <w:tcW w:w="96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Change</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 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51" w:type="dxa"/>
            <w:tcBorders/>
            <w:shd w:fill="auto" w:val="cle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Marketing and selling:</w:t>
            </w:r>
          </w:p>
        </w:tc>
        <w:tc>
          <w:tcPr>
            <w:tcW w:w="146" w:type="dxa"/>
            <w:tcBorders/>
            <w:shd w:fill="auto" w:val="clear"/>
            <w:vAlign w:val="center"/>
          </w:tcPr>
          <w:p>
            <w:pPr>
              <w:pStyle w:val="TableContents"/>
              <w:spacing w:before="0" w:after="0"/>
              <w:ind w:left="0" w:right="0" w:hanging="0"/>
              <w:jc w:val="center"/>
              <w:rPr/>
            </w:pPr>
            <w:r>
              <w:rPr/>
              <w:t> </w:t>
            </w:r>
          </w:p>
        </w:tc>
        <w:tc>
          <w:tcPr>
            <w:tcW w:w="963" w:type="dxa"/>
            <w:gridSpan w:val="2"/>
            <w:tcBorders/>
            <w:shd w:fill="auto" w:val="clear"/>
            <w:vAlign w:val="center"/>
          </w:tcPr>
          <w:p>
            <w:pPr>
              <w:pStyle w:val="TableContents"/>
              <w:spacing w:before="0" w:after="0"/>
              <w:ind w:left="0" w:right="0" w:hanging="0"/>
              <w:jc w:val="center"/>
              <w:rPr/>
            </w:pPr>
            <w:r>
              <w:rPr/>
              <w:t> </w:t>
            </w:r>
          </w:p>
        </w:tc>
        <w:tc>
          <w:tcPr>
            <w:tcW w:w="176" w:type="dxa"/>
            <w:tcBorders/>
            <w:shd w:fill="auto" w:val="clear"/>
            <w:vAlign w:val="center"/>
          </w:tcPr>
          <w:p>
            <w:pPr>
              <w:pStyle w:val="TableContents"/>
              <w:spacing w:before="0" w:after="0"/>
              <w:ind w:left="0" w:right="0" w:hanging="0"/>
              <w:jc w:val="center"/>
              <w:rPr/>
            </w:pPr>
            <w:r>
              <w:rPr/>
              <w:t> </w:t>
            </w:r>
          </w:p>
        </w:tc>
        <w:tc>
          <w:tcPr>
            <w:tcW w:w="176" w:type="dxa"/>
            <w:tcBorders/>
            <w:shd w:fill="auto" w:val="clear"/>
            <w:vAlign w:val="center"/>
          </w:tcPr>
          <w:p>
            <w:pPr>
              <w:pStyle w:val="TableContents"/>
              <w:spacing w:before="0" w:after="0"/>
              <w:ind w:left="0" w:right="0" w:hanging="0"/>
              <w:jc w:val="center"/>
              <w:rPr/>
            </w:pPr>
            <w:r>
              <w:rPr/>
              <w:t> </w:t>
            </w:r>
          </w:p>
        </w:tc>
        <w:tc>
          <w:tcPr>
            <w:tcW w:w="96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1951"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Online</w:t>
            </w:r>
          </w:p>
        </w:tc>
        <w:tc>
          <w:tcPr>
            <w:tcW w:w="146" w:type="dxa"/>
            <w:tcBorders/>
            <w:shd w:fill="auto" w:val="clear"/>
            <w:vAlign w:val="center"/>
          </w:tcPr>
          <w:p>
            <w:pPr>
              <w:pStyle w:val="TableContents"/>
              <w:spacing w:before="0" w:after="0"/>
              <w:ind w:left="0" w:right="0" w:hanging="0"/>
              <w:jc w:val="center"/>
              <w:rPr/>
            </w:pPr>
            <w:r>
              <w:rPr/>
              <w:t> </w:t>
            </w:r>
          </w:p>
        </w:tc>
        <w:tc>
          <w:tcPr>
            <w:tcW w:w="237"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726"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49,108</w:t>
            </w:r>
          </w:p>
        </w:tc>
        <w:tc>
          <w:tcPr>
            <w:tcW w:w="17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center"/>
              <w:rPr/>
            </w:pPr>
            <w:r>
              <w:rPr/>
              <w:t> </w:t>
            </w:r>
          </w:p>
        </w:tc>
        <w:tc>
          <w:tcPr>
            <w:tcW w:w="237"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726"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49,850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511"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(742</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shd w:fill="auto" w:val="clear"/>
            <w:vAlign w:val="center"/>
          </w:tcPr>
          <w:p>
            <w:pPr>
              <w:pStyle w:val="TableContents"/>
              <w:spacing w:before="0" w:after="0"/>
              <w:ind w:left="0" w:right="0" w:hanging="0"/>
              <w:jc w:val="left"/>
              <w:rPr/>
            </w:pPr>
            <w:r>
              <w:rPr/>
              <w:t> </w:t>
            </w:r>
          </w:p>
        </w:tc>
        <w:tc>
          <w:tcPr>
            <w:tcW w:w="508"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w:t>
            </w:r>
          </w:p>
        </w:tc>
        <w:tc>
          <w:tcPr>
            <w:tcW w:w="31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1951"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Offline</w:t>
            </w:r>
          </w:p>
        </w:tc>
        <w:tc>
          <w:tcPr>
            <w:tcW w:w="146" w:type="dxa"/>
            <w:tcBorders/>
            <w:shd w:fill="auto" w:val="clear"/>
            <w:vAlign w:val="center"/>
          </w:tcPr>
          <w:p>
            <w:pPr>
              <w:pStyle w:val="TableContents"/>
              <w:spacing w:before="0" w:after="0"/>
              <w:ind w:left="0" w:right="0" w:hanging="0"/>
              <w:jc w:val="center"/>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5,664</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center"/>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4,378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1,286</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29</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1951" w:type="dxa"/>
            <w:tcBorders/>
            <w:shd w:fill="auto" w:val="cle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Total marketing and selling</w:t>
            </w:r>
          </w:p>
        </w:tc>
        <w:tc>
          <w:tcPr>
            <w:tcW w:w="146" w:type="dxa"/>
            <w:tcBorders/>
            <w:shd w:fill="auto" w:val="clear"/>
            <w:vAlign w:val="center"/>
          </w:tcPr>
          <w:p>
            <w:pPr>
              <w:pStyle w:val="TableContents"/>
              <w:spacing w:before="0" w:after="0"/>
              <w:ind w:left="0" w:right="0" w:hanging="0"/>
              <w:jc w:val="center"/>
              <w:rPr/>
            </w:pPr>
            <w:r>
              <w:rPr/>
              <w:t> </w:t>
            </w:r>
          </w:p>
        </w:tc>
        <w:tc>
          <w:tcPr>
            <w:tcW w:w="2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c>
          <w:tcPr>
            <w:tcW w:w="7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54,772</w:t>
            </w:r>
          </w:p>
        </w:tc>
        <w:tc>
          <w:tcPr>
            <w:tcW w:w="1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center"/>
              <w:rPr/>
            </w:pPr>
            <w:r>
              <w:rPr/>
              <w:t> </w:t>
            </w:r>
          </w:p>
        </w:tc>
        <w:tc>
          <w:tcPr>
            <w:tcW w:w="2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c>
          <w:tcPr>
            <w:tcW w:w="7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54,228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544</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1</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r>
    </w:tbl>
    <w:p>
      <w:pPr>
        <w:pStyle w:val="TextBody"/>
        <w:spacing w:before="160" w:after="120"/>
        <w:jc w:val="both"/>
        <w:rPr>
          <w:rFonts w:ascii="Times New Roman" w:hAnsi="Times New Roman"/>
          <w:sz w:val="20"/>
        </w:rPr>
      </w:pPr>
      <w:r>
        <w:rPr>
          <w:rFonts w:ascii="Calibri;sans-serif" w:hAnsi="Calibri;sans-serif"/>
          <w:b w:val="false"/>
          <w:sz w:val="20"/>
        </w:rPr>
        <w:t>Marketing and selling expenses, which are entirely attributable to our Marketplace segment, increased $0.5 million, or 1%, during the three months ended March 31, 2023 compared to the three months ended March 31, 2022. The increase in expenses primarily resulted from greater spending on offline advertising. Our spending on offline advertising increased by $1.3 million, or 29%, during the three months ended March 31, 2023 compared to the three months ended March 31, 2022 due to increased brand awareness marketing efforts. Despite increased revenues, our online advertising spending decreased during the three months ended March 31, 2023 compared to the three months ended March 31, 2022, as we continued to test and pursue incremental efficiencies.</w:t>
      </w:r>
      <w:r>
        <w:rPr>
          <w:rFonts w:ascii="Times New Roman" w:hAnsi="Times New Roman"/>
          <w:sz w:val="20"/>
        </w:rPr>
        <w:t xml:space="preserve"> </w:t>
      </w:r>
    </w:p>
    <w:p>
      <w:pPr>
        <w:pStyle w:val="TextBody"/>
        <w:spacing w:before="0" w:after="0"/>
        <w:jc w:val="center"/>
        <w:rPr>
          <w:rFonts w:ascii="Calibri;sans-serif" w:hAnsi="Calibri;sans-serif"/>
          <w:b w:val="false"/>
          <w:sz w:val="20"/>
        </w:rPr>
      </w:pPr>
      <w:r>
        <w:rPr>
          <w:rFonts w:ascii="Calibri;sans-serif" w:hAnsi="Calibri;sans-serif"/>
          <w:b w:val="false"/>
          <w:sz w:val="20"/>
        </w:rPr>
        <w:t>26</w:t>
      </w:r>
    </w:p>
    <w:p>
      <w:pPr>
        <w:pStyle w:val="HorizontalLine"/>
        <w:rPr/>
      </w:pPr>
      <w:r>
        <w:rPr/>
      </w:r>
    </w:p>
    <w:p>
      <w:pPr>
        <w:pStyle w:val="TextBody"/>
        <w:spacing w:before="0" w:after="0"/>
        <w:jc w:val="left"/>
        <w:rPr/>
      </w:pPr>
      <w:r>
        <w:rPr/>
        <w:t> </w:t>
      </w:r>
    </w:p>
    <w:p>
      <w:pPr>
        <w:pStyle w:val="TextBody"/>
        <w:spacing w:before="160" w:after="120"/>
        <w:jc w:val="both"/>
        <w:rPr>
          <w:rFonts w:ascii="Times New Roman" w:hAnsi="Times New Roman"/>
          <w:sz w:val="20"/>
        </w:rPr>
      </w:pPr>
      <w:r>
        <w:rPr>
          <w:rFonts w:ascii="Calibri;sans-serif" w:hAnsi="Calibri;sans-serif"/>
          <w:b/>
          <w:sz w:val="20"/>
        </w:rPr>
        <w:t>General and Administrative</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sz w:val="20"/>
        </w:rPr>
        <w:t>The following table presents general and administrative expenses (in thousands, except percentages):</w:t>
      </w:r>
      <w:r>
        <w:rPr>
          <w:rFonts w:ascii="Times New Roman" w:hAnsi="Times New Roman"/>
          <w:sz w:val="20"/>
        </w:rPr>
        <w:t xml:space="preserve"> </w:t>
      </w:r>
    </w:p>
    <w:tbl>
      <w:tblPr>
        <w:tblW w:w="7173" w:type="dxa"/>
        <w:jc w:val="left"/>
        <w:tblInd w:w="0" w:type="dxa"/>
        <w:tblCellMar>
          <w:top w:w="28" w:type="dxa"/>
          <w:left w:w="28" w:type="dxa"/>
          <w:bottom w:w="28" w:type="dxa"/>
          <w:right w:w="28" w:type="dxa"/>
        </w:tblCellMar>
      </w:tblPr>
      <w:tblGrid>
        <w:gridCol w:w="2326"/>
        <w:gridCol w:w="146"/>
        <w:gridCol w:w="237"/>
        <w:gridCol w:w="726"/>
        <w:gridCol w:w="176"/>
        <w:gridCol w:w="176"/>
        <w:gridCol w:w="237"/>
        <w:gridCol w:w="726"/>
        <w:gridCol w:w="146"/>
        <w:gridCol w:w="146"/>
        <w:gridCol w:w="196"/>
        <w:gridCol w:w="556"/>
        <w:gridCol w:w="151"/>
        <w:gridCol w:w="146"/>
        <w:gridCol w:w="234"/>
        <w:gridCol w:w="532"/>
        <w:gridCol w:w="316"/>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6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2023</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6" w:type="dxa"/>
            <w:tcBorders/>
            <w:shd w:fill="auto" w:val="clear"/>
            <w:vAlign w:val="center"/>
          </w:tcPr>
          <w:p>
            <w:pPr>
              <w:pStyle w:val="TableContents"/>
              <w:spacing w:before="0" w:after="283"/>
              <w:ind w:left="0" w:right="0" w:hanging="0"/>
              <w:rPr>
                <w:sz w:val="4"/>
                <w:szCs w:val="4"/>
              </w:rPr>
            </w:pPr>
            <w:r>
              <w:rPr>
                <w:sz w:val="4"/>
                <w:szCs w:val="4"/>
              </w:rPr>
            </w:r>
          </w:p>
        </w:tc>
        <w:tc>
          <w:tcPr>
            <w:tcW w:w="96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Change</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16"/>
              </w:rPr>
            </w:pPr>
            <w:r>
              <w:rPr>
                <w:rFonts w:ascii="Calibri;sans-serif" w:hAnsi="Calibri;sans-serif"/>
                <w:b/>
                <w:sz w:val="16"/>
              </w:rPr>
              <w:t>% 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General and administrative:</w:t>
            </w:r>
          </w:p>
        </w:tc>
        <w:tc>
          <w:tcPr>
            <w:tcW w:w="146" w:type="dxa"/>
            <w:tcBorders/>
            <w:shd w:fill="auto" w:val="clear"/>
            <w:vAlign w:val="center"/>
          </w:tcPr>
          <w:p>
            <w:pPr>
              <w:pStyle w:val="TableContents"/>
              <w:spacing w:before="0" w:after="0"/>
              <w:ind w:left="0" w:right="0" w:hanging="0"/>
              <w:jc w:val="center"/>
              <w:rPr/>
            </w:pPr>
            <w:r>
              <w:rPr/>
              <w:t> </w:t>
            </w:r>
          </w:p>
        </w:tc>
        <w:tc>
          <w:tcPr>
            <w:tcW w:w="963" w:type="dxa"/>
            <w:gridSpan w:val="2"/>
            <w:tcBorders/>
            <w:shd w:fill="auto" w:val="clear"/>
            <w:vAlign w:val="center"/>
          </w:tcPr>
          <w:p>
            <w:pPr>
              <w:pStyle w:val="TableContents"/>
              <w:spacing w:before="0" w:after="0"/>
              <w:ind w:left="0" w:right="0" w:hanging="0"/>
              <w:jc w:val="center"/>
              <w:rPr/>
            </w:pPr>
            <w:r>
              <w:rPr/>
              <w:t> </w:t>
            </w:r>
          </w:p>
        </w:tc>
        <w:tc>
          <w:tcPr>
            <w:tcW w:w="176" w:type="dxa"/>
            <w:tcBorders/>
            <w:shd w:fill="auto" w:val="clear"/>
            <w:vAlign w:val="center"/>
          </w:tcPr>
          <w:p>
            <w:pPr>
              <w:pStyle w:val="TableContents"/>
              <w:spacing w:before="0" w:after="0"/>
              <w:ind w:left="0" w:right="0" w:hanging="0"/>
              <w:jc w:val="center"/>
              <w:rPr/>
            </w:pPr>
            <w:r>
              <w:rPr/>
              <w:t> </w:t>
            </w:r>
          </w:p>
        </w:tc>
        <w:tc>
          <w:tcPr>
            <w:tcW w:w="176" w:type="dxa"/>
            <w:tcBorders/>
            <w:shd w:fill="auto" w:val="clear"/>
            <w:vAlign w:val="center"/>
          </w:tcPr>
          <w:p>
            <w:pPr>
              <w:pStyle w:val="TableContents"/>
              <w:spacing w:before="0" w:after="0"/>
              <w:ind w:left="0" w:right="0" w:hanging="0"/>
              <w:jc w:val="center"/>
              <w:rPr/>
            </w:pPr>
            <w:r>
              <w:rPr/>
              <w:t> </w:t>
            </w:r>
          </w:p>
        </w:tc>
        <w:tc>
          <w:tcPr>
            <w:tcW w:w="96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Personnel expenses</w:t>
            </w:r>
          </w:p>
        </w:tc>
        <w:tc>
          <w:tcPr>
            <w:tcW w:w="146" w:type="dxa"/>
            <w:tcBorders/>
            <w:shd w:fill="auto" w:val="clear"/>
            <w:vAlign w:val="center"/>
          </w:tcPr>
          <w:p>
            <w:pPr>
              <w:pStyle w:val="TableContents"/>
              <w:spacing w:before="0" w:after="0"/>
              <w:ind w:left="0" w:right="0" w:hanging="0"/>
              <w:jc w:val="center"/>
              <w:rPr/>
            </w:pPr>
            <w:r>
              <w:rPr/>
              <w:t> </w:t>
            </w:r>
          </w:p>
        </w:tc>
        <w:tc>
          <w:tcPr>
            <w:tcW w:w="237"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726"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24,691</w:t>
            </w:r>
          </w:p>
        </w:tc>
        <w:tc>
          <w:tcPr>
            <w:tcW w:w="17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center"/>
              <w:rPr/>
            </w:pPr>
            <w:r>
              <w:rPr/>
              <w:t> </w:t>
            </w:r>
          </w:p>
        </w:tc>
        <w:tc>
          <w:tcPr>
            <w:tcW w:w="237"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726"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19,737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556"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4,954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25</w:t>
            </w:r>
          </w:p>
        </w:tc>
        <w:tc>
          <w:tcPr>
            <w:tcW w:w="31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232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Non-income tax expenses</w:t>
            </w:r>
          </w:p>
        </w:tc>
        <w:tc>
          <w:tcPr>
            <w:tcW w:w="146" w:type="dxa"/>
            <w:tcBorders/>
            <w:shd w:fill="auto" w:val="clear"/>
            <w:vAlign w:val="center"/>
          </w:tcPr>
          <w:p>
            <w:pPr>
              <w:pStyle w:val="TableContents"/>
              <w:spacing w:before="0" w:after="0"/>
              <w:ind w:left="0" w:right="0" w:hanging="0"/>
              <w:jc w:val="center"/>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456</w:t>
            </w:r>
          </w:p>
        </w:tc>
        <w:tc>
          <w:tcPr>
            <w:tcW w:w="176" w:type="dxa"/>
            <w:tcBorders/>
            <w:shd w:fill="auto" w:val="cle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center"/>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1,239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(783</w:t>
            </w:r>
          </w:p>
        </w:tc>
        <w:tc>
          <w:tcPr>
            <w:tcW w:w="151"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(63</w:t>
            </w:r>
          </w:p>
        </w:tc>
        <w:tc>
          <w:tcPr>
            <w:tcW w:w="31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2326" w:type="dxa"/>
            <w:tcBorders/>
            <w:shd w:fill="auto" w:val="cle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Other</w:t>
            </w:r>
          </w:p>
        </w:tc>
        <w:tc>
          <w:tcPr>
            <w:tcW w:w="146" w:type="dxa"/>
            <w:tcBorders/>
            <w:shd w:fill="auto" w:val="clear"/>
            <w:vAlign w:val="center"/>
          </w:tcPr>
          <w:p>
            <w:pPr>
              <w:pStyle w:val="TableContents"/>
              <w:spacing w:before="0" w:after="0"/>
              <w:ind w:left="0" w:right="0" w:hanging="0"/>
              <w:jc w:val="center"/>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7,242</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center"/>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8,299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(1,057</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16"/>
              </w:rPr>
            </w:pPr>
            <w:r>
              <w:rPr>
                <w:rFonts w:ascii="Calibri;sans-serif" w:hAnsi="Calibri;sans-serif"/>
                <w:b w:val="false"/>
                <w:sz w:val="16"/>
              </w:rPr>
              <w:t>(13</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16"/>
              </w:rPr>
            </w:pPr>
            <w:r>
              <w:rPr>
                <w:rFonts w:ascii="Calibri;sans-serif" w:hAnsi="Calibri;sans-serif"/>
                <w:b w:val="false"/>
                <w:sz w:val="16"/>
              </w:rPr>
              <w:t>)%</w:t>
            </w:r>
          </w:p>
        </w:tc>
      </w:tr>
      <w:tr>
        <w:trPr/>
        <w:tc>
          <w:tcPr>
            <w:tcW w:w="2326" w:type="dxa"/>
            <w:tcBorders/>
            <w:shd w:fill="auto" w:val="cle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Total general and administrative</w:t>
            </w:r>
          </w:p>
        </w:tc>
        <w:tc>
          <w:tcPr>
            <w:tcW w:w="146" w:type="dxa"/>
            <w:tcBorders/>
            <w:shd w:fill="auto" w:val="clear"/>
            <w:vAlign w:val="center"/>
          </w:tcPr>
          <w:p>
            <w:pPr>
              <w:pStyle w:val="TableContents"/>
              <w:spacing w:before="0" w:after="0"/>
              <w:ind w:left="0" w:right="0" w:hanging="0"/>
              <w:jc w:val="center"/>
              <w:rPr/>
            </w:pPr>
            <w:r>
              <w:rPr/>
              <w:t> </w:t>
            </w:r>
          </w:p>
        </w:tc>
        <w:tc>
          <w:tcPr>
            <w:tcW w:w="2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c>
          <w:tcPr>
            <w:tcW w:w="7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32,389</w:t>
            </w:r>
          </w:p>
        </w:tc>
        <w:tc>
          <w:tcPr>
            <w:tcW w:w="1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6" w:type="dxa"/>
            <w:tcBorders/>
            <w:shd w:fill="auto" w:val="clear"/>
            <w:vAlign w:val="center"/>
          </w:tcPr>
          <w:p>
            <w:pPr>
              <w:pStyle w:val="TableContents"/>
              <w:spacing w:before="0" w:after="0"/>
              <w:ind w:left="0" w:right="0" w:hanging="0"/>
              <w:jc w:val="center"/>
              <w:rPr/>
            </w:pPr>
            <w:r>
              <w:rPr/>
              <w:t> </w:t>
            </w:r>
          </w:p>
        </w:tc>
        <w:tc>
          <w:tcPr>
            <w:tcW w:w="2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c>
          <w:tcPr>
            <w:tcW w:w="7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29,275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c>
          <w:tcPr>
            <w:tcW w:w="5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3,114</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16"/>
              </w:rPr>
            </w:pPr>
            <w:r>
              <w:rPr>
                <w:rFonts w:ascii="Calibri;sans-serif" w:hAnsi="Calibri;sans-serif"/>
                <w:b/>
                <w:sz w:val="16"/>
              </w:rPr>
              <w:t>11</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16"/>
              </w:rPr>
            </w:pPr>
            <w:r>
              <w:rPr>
                <w:rFonts w:ascii="Calibri;sans-serif" w:hAnsi="Calibri;sans-serif"/>
                <w:b/>
                <w:sz w:val="16"/>
              </w:rPr>
              <w:t>%</w:t>
            </w:r>
          </w:p>
        </w:tc>
      </w:tr>
    </w:tbl>
    <w:p>
      <w:pPr>
        <w:pStyle w:val="TextBody"/>
        <w:spacing w:before="160" w:after="120"/>
        <w:jc w:val="both"/>
        <w:rPr>
          <w:rFonts w:ascii="Calibri;sans-serif" w:hAnsi="Calibri;sans-serif"/>
          <w:b w:val="false"/>
          <w:sz w:val="20"/>
        </w:rPr>
      </w:pPr>
      <w:r>
        <w:rPr>
          <w:rFonts w:ascii="Calibri;sans-serif" w:hAnsi="Calibri;sans-serif"/>
          <w:b w:val="false"/>
          <w:sz w:val="20"/>
        </w:rPr>
        <w:t>Total general and administrative expenses increased $3.1 million, or 11%, for the three months ended March 31, 2023 compared to the three months ended March 31, 2022 primarily due to higher personnel expenses from higher employee headcount, partially offset by a decrease in other expenses primarily due to lower professional services fees.</w:t>
      </w:r>
    </w:p>
    <w:p>
      <w:pPr>
        <w:pStyle w:val="TextBody"/>
        <w:spacing w:before="160" w:after="120"/>
        <w:jc w:val="both"/>
        <w:rPr>
          <w:rFonts w:ascii="Times New Roman" w:hAnsi="Times New Roman"/>
          <w:sz w:val="20"/>
        </w:rPr>
      </w:pPr>
      <w:r>
        <w:rPr>
          <w:rFonts w:ascii="Calibri;sans-serif" w:hAnsi="Calibri;sans-serif"/>
          <w:b/>
          <w:sz w:val="20"/>
        </w:rPr>
        <w:t>Depreciation and Amortization</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sz w:val="20"/>
        </w:rPr>
        <w:t>Depreciation and amortization expenses increased $1.2 million, or 88%, during the three months ended March 31, 2023 compared to the three months ended March 31, 2022. The increase is primarily related to an increase in development activities related to our platform and the intangibles acquired as part of the Vivid Picks acquisition.</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sz w:val="20"/>
        </w:rPr>
        <w:t>Change in Fair Value of Contingent Consideration</w:t>
      </w:r>
      <w:r>
        <w:rPr>
          <w:rFonts w:ascii="Times New Roman" w:hAnsi="Times New Roman"/>
          <w:sz w:val="20"/>
        </w:rPr>
        <w:t xml:space="preserve"> </w:t>
      </w:r>
    </w:p>
    <w:p>
      <w:pPr>
        <w:pStyle w:val="TextBody"/>
        <w:spacing w:before="160" w:after="120"/>
        <w:jc w:val="both"/>
        <w:rPr>
          <w:rFonts w:ascii="Calibri;sans-serif" w:hAnsi="Calibri;sans-serif"/>
          <w:b w:val="false"/>
          <w:sz w:val="20"/>
        </w:rPr>
      </w:pPr>
      <w:r>
        <w:rPr>
          <w:rFonts w:ascii="Calibri;sans-serif" w:hAnsi="Calibri;sans-serif"/>
          <w:b w:val="false"/>
          <w:sz w:val="20"/>
        </w:rPr>
        <w:t>Change in fair value of contingent consideration was less than $0.1 million during the three months ended March 31, 2023 due to the fair value remeasurement of cash earnouts.</w:t>
      </w:r>
    </w:p>
    <w:p>
      <w:pPr>
        <w:pStyle w:val="TextBody"/>
        <w:spacing w:before="160" w:after="120"/>
        <w:jc w:val="both"/>
        <w:rPr>
          <w:rFonts w:ascii="Calibri;sans-serif" w:hAnsi="Calibri;sans-serif"/>
          <w:b/>
          <w:sz w:val="20"/>
        </w:rPr>
      </w:pPr>
      <w:r>
        <w:rPr>
          <w:rFonts w:ascii="Calibri;sans-serif" w:hAnsi="Calibri;sans-serif"/>
          <w:b/>
          <w:sz w:val="20"/>
        </w:rPr>
        <w:t>Other (Income) Expense</w:t>
      </w:r>
    </w:p>
    <w:p>
      <w:pPr>
        <w:pStyle w:val="TextBody"/>
        <w:spacing w:before="160" w:after="120"/>
        <w:jc w:val="both"/>
        <w:rPr>
          <w:rFonts w:ascii="Times New Roman" w:hAnsi="Times New Roman"/>
          <w:sz w:val="20"/>
        </w:rPr>
      </w:pPr>
      <w:r>
        <w:rPr>
          <w:rFonts w:ascii="Calibri;sans-serif" w:hAnsi="Calibri;sans-serif"/>
          <w:b w:val="false"/>
          <w:i/>
          <w:sz w:val="20"/>
        </w:rPr>
        <w:t>Interest expense – net</w:t>
      </w:r>
      <w:r>
        <w:rPr>
          <w:rFonts w:ascii="Times New Roman" w:hAnsi="Times New Roman"/>
          <w:sz w:val="20"/>
        </w:rPr>
        <w:t xml:space="preserve"> </w:t>
      </w:r>
    </w:p>
    <w:p>
      <w:pPr>
        <w:pStyle w:val="TextBody"/>
        <w:spacing w:before="160" w:after="120"/>
        <w:jc w:val="both"/>
        <w:rPr>
          <w:rFonts w:ascii="Calibri;sans-serif" w:hAnsi="Calibri;sans-serif"/>
          <w:b w:val="false"/>
          <w:sz w:val="20"/>
        </w:rPr>
      </w:pPr>
      <w:r>
        <w:rPr>
          <w:rFonts w:ascii="Calibri;sans-serif" w:hAnsi="Calibri;sans-serif"/>
          <w:b w:val="false"/>
          <w:sz w:val="20"/>
        </w:rPr>
        <w:t>Interest expense decreased $0.7 million, or 17%, for the three months ended March 31, 2023 compared to the three months ended March 31, 2022. We reduced our outstanding debt balance and effective interest rate on February 3, 2022 when we refinanced the June 2017 First Lien Loan with the February 2022 First Lien Loan.</w:t>
      </w:r>
    </w:p>
    <w:p>
      <w:pPr>
        <w:pStyle w:val="TextBody"/>
        <w:spacing w:before="160" w:after="120"/>
        <w:jc w:val="both"/>
        <w:rPr>
          <w:rFonts w:ascii="Times New Roman" w:hAnsi="Times New Roman"/>
          <w:sz w:val="20"/>
        </w:rPr>
      </w:pPr>
      <w:r>
        <w:rPr>
          <w:rFonts w:ascii="Calibri;sans-serif" w:hAnsi="Calibri;sans-serif"/>
          <w:b w:val="false"/>
          <w:i/>
          <w:sz w:val="20"/>
        </w:rPr>
        <w:t>Loss on extinguishment of debt</w:t>
      </w:r>
      <w:r>
        <w:rPr>
          <w:rFonts w:ascii="Times New Roman" w:hAnsi="Times New Roman"/>
          <w:sz w:val="20"/>
        </w:rPr>
        <w:t xml:space="preserve"> </w:t>
      </w:r>
    </w:p>
    <w:p>
      <w:pPr>
        <w:pStyle w:val="TextBody"/>
        <w:spacing w:before="160" w:after="120"/>
        <w:jc w:val="both"/>
        <w:rPr>
          <w:rFonts w:ascii="Calibri;sans-serif" w:hAnsi="Calibri;sans-serif"/>
          <w:b w:val="false"/>
          <w:sz w:val="20"/>
        </w:rPr>
      </w:pPr>
      <w:r>
        <w:rPr>
          <w:rFonts w:ascii="Calibri;sans-serif" w:hAnsi="Calibri;sans-serif"/>
          <w:b w:val="false"/>
          <w:sz w:val="20"/>
        </w:rPr>
        <w:t>Loss on extinguishment of debt was $4.3 million during the three months ended March 31, 2022 due to the refinancing of the June 2017 First Lien Loan with the February 2022 First Lien Loan. There was no loss on extinguishment of debt for the three months ended March 31, 2023.</w:t>
      </w:r>
    </w:p>
    <w:p>
      <w:pPr>
        <w:pStyle w:val="TextBody"/>
        <w:spacing w:before="160" w:after="120"/>
        <w:jc w:val="both"/>
        <w:rPr>
          <w:rFonts w:ascii="Calibri;sans-serif" w:hAnsi="Calibri;sans-serif"/>
          <w:b w:val="false"/>
          <w:i/>
          <w:sz w:val="20"/>
        </w:rPr>
      </w:pPr>
      <w:r>
        <w:rPr>
          <w:rFonts w:ascii="Calibri;sans-serif" w:hAnsi="Calibri;sans-serif"/>
          <w:b w:val="false"/>
          <w:i/>
          <w:sz w:val="20"/>
        </w:rPr>
        <w:t>Other (income) expense</w:t>
      </w:r>
    </w:p>
    <w:p>
      <w:pPr>
        <w:pStyle w:val="TextBody"/>
        <w:spacing w:before="160" w:after="120"/>
        <w:jc w:val="both"/>
        <w:rPr>
          <w:rFonts w:ascii="Calibri;sans-serif" w:hAnsi="Calibri;sans-serif"/>
          <w:b w:val="false"/>
          <w:sz w:val="20"/>
        </w:rPr>
      </w:pPr>
      <w:r>
        <w:rPr>
          <w:rFonts w:ascii="Calibri;sans-serif" w:hAnsi="Calibri;sans-serif"/>
          <w:b w:val="false"/>
          <w:sz w:val="20"/>
        </w:rPr>
        <w:t>Other (income) expense decreased $2.6 million, or 114%, for the three months ended March 31, 2023 compared to the three months ended March 31, 2022 primarily due to the fair value remeasurement of the Hoya Intermediate Warrants.</w:t>
      </w:r>
    </w:p>
    <w:p>
      <w:pPr>
        <w:pStyle w:val="TextBody"/>
        <w:spacing w:before="0" w:after="0"/>
        <w:jc w:val="center"/>
        <w:rPr>
          <w:rFonts w:ascii="Calibri;sans-serif" w:hAnsi="Calibri;sans-serif"/>
          <w:b w:val="false"/>
          <w:sz w:val="20"/>
        </w:rPr>
      </w:pPr>
      <w:r>
        <w:rPr>
          <w:rFonts w:ascii="Calibri;sans-serif" w:hAnsi="Calibri;sans-serif"/>
          <w:b w:val="false"/>
          <w:sz w:val="20"/>
        </w:rPr>
        <w:t>27</w:t>
      </w:r>
    </w:p>
    <w:p>
      <w:pPr>
        <w:pStyle w:val="HorizontalLine"/>
        <w:rPr/>
      </w:pPr>
      <w:r>
        <w:rPr/>
      </w:r>
    </w:p>
    <w:p>
      <w:pPr>
        <w:pStyle w:val="TextBody"/>
        <w:spacing w:before="0" w:after="0"/>
        <w:jc w:val="left"/>
        <w:rPr/>
      </w:pPr>
      <w:r>
        <w:rPr/>
        <w:t> </w:t>
      </w:r>
    </w:p>
    <w:p>
      <w:pPr>
        <w:pStyle w:val="TextBody"/>
        <w:spacing w:before="160" w:after="120"/>
        <w:jc w:val="both"/>
        <w:rPr>
          <w:rFonts w:ascii="Times New Roman" w:hAnsi="Times New Roman"/>
          <w:sz w:val="20"/>
        </w:rPr>
      </w:pPr>
      <w:r>
        <w:rPr>
          <w:rFonts w:ascii="Calibri;sans-serif" w:hAnsi="Calibri;sans-serif"/>
          <w:b/>
          <w:sz w:val="20"/>
        </w:rPr>
        <w:t>Liquidity and Capital Resources</w:t>
      </w:r>
      <w:r>
        <w:rPr>
          <w:rFonts w:ascii="Times New Roman" w:hAnsi="Times New Roman"/>
          <w:sz w:val="20"/>
        </w:rPr>
        <w:t xml:space="preserve"> </w:t>
      </w:r>
    </w:p>
    <w:p>
      <w:pPr>
        <w:pStyle w:val="TextBody"/>
        <w:spacing w:before="160" w:after="120"/>
        <w:jc w:val="both"/>
        <w:rPr>
          <w:rFonts w:ascii="Calibri;sans-serif" w:hAnsi="Calibri;sans-serif"/>
          <w:b w:val="false"/>
          <w:sz w:val="20"/>
        </w:rPr>
      </w:pPr>
      <w:r>
        <w:rPr>
          <w:rFonts w:ascii="Calibri;sans-serif" w:hAnsi="Calibri;sans-serif"/>
          <w:b w:val="false"/>
          <w:sz w:val="20"/>
        </w:rPr>
        <w:t>We have historically financed our operations primarily through cash generated from our operating activities. Our primary short-term requirements for liquidity and capital are to fund general working capital, capital expenditures, and debt service requirements. Our primary long-term liquidity needs are related to debt repayment and potential acquisitions.</w:t>
      </w:r>
    </w:p>
    <w:p>
      <w:pPr>
        <w:pStyle w:val="TextBody"/>
        <w:spacing w:before="160" w:after="120"/>
        <w:jc w:val="both"/>
        <w:rPr>
          <w:rFonts w:ascii="Times New Roman" w:hAnsi="Times New Roman"/>
          <w:sz w:val="20"/>
        </w:rPr>
      </w:pPr>
      <w:r>
        <w:rPr>
          <w:rFonts w:ascii="Calibri;sans-serif" w:hAnsi="Calibri;sans-serif"/>
          <w:b w:val="false"/>
          <w:sz w:val="20"/>
        </w:rPr>
        <w:t>Our primary source of funds is cash generated from operations. Our existing cash and cash equivalents are sufficient to fund our liquidity needs for the next 12 months. As of March 31, 2023, we had $303.3 million of cash and cash equivalents. Cash and cash equivalents consist of interest-bearing deposit accounts, money market accounts managed by financial institutions, and highly liquid investments with maturities of three months or less. For the three months ended March 31, 2023, we generated positive cash flows from our operating activities.</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i/>
          <w:sz w:val="20"/>
        </w:rPr>
        <w:t>Loan Agreements</w:t>
      </w:r>
      <w:r>
        <w:rPr>
          <w:rFonts w:ascii="Times New Roman" w:hAnsi="Times New Roman"/>
          <w:sz w:val="20"/>
        </w:rPr>
        <w:t xml:space="preserve"> </w:t>
      </w:r>
    </w:p>
    <w:p>
      <w:pPr>
        <w:pStyle w:val="TextBody"/>
        <w:spacing w:before="160" w:after="120"/>
        <w:jc w:val="both"/>
        <w:rPr>
          <w:rFonts w:ascii="Calibri;sans-serif" w:hAnsi="Calibri;sans-serif"/>
          <w:b w:val="false"/>
          <w:sz w:val="20"/>
        </w:rPr>
      </w:pPr>
      <w:r>
        <w:rPr>
          <w:rFonts w:ascii="Calibri;sans-serif" w:hAnsi="Calibri;sans-serif"/>
          <w:b w:val="false"/>
          <w:sz w:val="20"/>
        </w:rPr>
        <w:t>We had an outstanding loan balance of $465.7 million under the June 2017 First Lien Loan as of December 31, 2021. In the first quarter of 2022, we repaid $190.7 million of the outstanding June 2017 First Lien Loan. On February 3, 2022, we entered into an amendment which refinances the remaining June 2017 First Lien Loan with a new $275.0 million February 2022 First Lien Loan with a maturity date of February 3, 2029, adds the "Revolving Facility", replaces the LIBOR based floating interest rate with a term SOFR based floating interest rate and revises the springing financial covenant to require compliance with a first lien net leverage ratio when revolver borrowings exceed certain levels. The February 2022 First Lien Loan requires quarterly amortization payments of $0.7 million. The Revolving Facility does not require periodic payments. All obligations under the February 2022 First Lien Loan are secured, subject to permitted liens and other exceptions, by first-priority perfected security interests in substantially all of our assets. The February 2022 First Lien Loan will carry an interest rate of SOFR plus 3.25%. The SOFR rate for the February 2022 First Lien Loan is subject to a 0.5% floor.</w:t>
      </w:r>
    </w:p>
    <w:p>
      <w:pPr>
        <w:pStyle w:val="TextBody"/>
        <w:spacing w:before="160" w:after="120"/>
        <w:jc w:val="both"/>
        <w:rPr>
          <w:rFonts w:ascii="Calibri;sans-serif" w:hAnsi="Calibri;sans-serif"/>
          <w:b w:val="false"/>
          <w:sz w:val="20"/>
        </w:rPr>
      </w:pPr>
      <w:r>
        <w:rPr>
          <w:rFonts w:ascii="Calibri;sans-serif" w:hAnsi="Calibri;sans-serif"/>
          <w:b w:val="false"/>
          <w:sz w:val="20"/>
        </w:rPr>
        <w:t>As of March 31, 2023, we are only party to one credit facility, the February 2022 First Lien Loan. At March 31, 2023, we had no outstanding borrowings under our Revolving Facility.</w:t>
      </w:r>
    </w:p>
    <w:p>
      <w:pPr>
        <w:pStyle w:val="TextBody"/>
        <w:spacing w:before="160" w:after="120"/>
        <w:jc w:val="both"/>
        <w:rPr>
          <w:rFonts w:ascii="Calibri;sans-serif" w:hAnsi="Calibri;sans-serif"/>
          <w:b w:val="false"/>
          <w:i/>
          <w:sz w:val="20"/>
        </w:rPr>
      </w:pPr>
      <w:r>
        <w:rPr>
          <w:rFonts w:ascii="Calibri;sans-serif" w:hAnsi="Calibri;sans-serif"/>
          <w:b w:val="false"/>
          <w:i/>
          <w:sz w:val="20"/>
        </w:rPr>
        <w:t>Share Repurchase Program</w:t>
      </w:r>
    </w:p>
    <w:p>
      <w:pPr>
        <w:pStyle w:val="TextBody"/>
        <w:spacing w:before="160" w:after="120"/>
        <w:jc w:val="both"/>
        <w:rPr>
          <w:rFonts w:ascii="Calibri;sans-serif" w:hAnsi="Calibri;sans-serif"/>
          <w:b w:val="false"/>
          <w:sz w:val="20"/>
        </w:rPr>
      </w:pPr>
      <w:r>
        <w:rPr>
          <w:rFonts w:ascii="Calibri;sans-serif" w:hAnsi="Calibri;sans-serif"/>
          <w:b w:val="false"/>
          <w:sz w:val="20"/>
        </w:rPr>
        <w:t>On May 25, 2022, our Board authorized the Repurchase Program. The Repurchase Program was announced on May 26, 2022 was effective through March 31, 2023. For the period ended March 31, 2023, we repurchased 1.0 million shares of our Class A common stock for $7.6 million under the Repurchase Program and paid less than $0.1 million in commissions. Cumulatively under the Repurchase Program, we repurchased 5.3 million shares of our Class A common stock for $40.0 million and paid $0.1 million in commissions. The share repurchases are accounted for as Treasury stock in the Condensed Consolidated Balance Sheets.</w:t>
      </w:r>
    </w:p>
    <w:p>
      <w:pPr>
        <w:pStyle w:val="TextBody"/>
        <w:spacing w:before="160" w:after="120"/>
        <w:jc w:val="both"/>
        <w:rPr>
          <w:rFonts w:ascii="Calibri;sans-serif" w:hAnsi="Calibri;sans-serif"/>
          <w:b w:val="false"/>
          <w:i/>
          <w:sz w:val="20"/>
        </w:rPr>
      </w:pPr>
      <w:r>
        <w:rPr>
          <w:rFonts w:ascii="Calibri;sans-serif" w:hAnsi="Calibri;sans-serif"/>
          <w:b w:val="false"/>
          <w:i/>
          <w:sz w:val="20"/>
        </w:rPr>
        <w:t>Distributions to non-controlling interests</w:t>
      </w:r>
    </w:p>
    <w:p>
      <w:pPr>
        <w:pStyle w:val="TextBody"/>
        <w:spacing w:before="160" w:after="120"/>
        <w:jc w:val="both"/>
        <w:rPr>
          <w:rFonts w:ascii="Calibri;sans-serif" w:hAnsi="Calibri;sans-serif"/>
          <w:b w:val="false"/>
          <w:sz w:val="20"/>
        </w:rPr>
      </w:pPr>
      <w:r>
        <w:rPr>
          <w:rFonts w:ascii="Calibri;sans-serif" w:hAnsi="Calibri;sans-serif"/>
          <w:b w:val="false"/>
          <w:sz w:val="20"/>
        </w:rPr>
        <w:t>Per the Hoya Intermediate LLC agreement, Hoya Intermediate is required to make pro-rata tax distributions to its members, of which $3.8 million was distributed to non-controlling interests in the three months ended March 31, 2023.</w:t>
      </w:r>
    </w:p>
    <w:p>
      <w:pPr>
        <w:pStyle w:val="TextBody"/>
        <w:spacing w:before="160" w:after="120"/>
        <w:jc w:val="both"/>
        <w:rPr>
          <w:rFonts w:ascii="Calibri;sans-serif" w:hAnsi="Calibri;sans-serif"/>
          <w:b w:val="false"/>
          <w:i/>
          <w:sz w:val="20"/>
        </w:rPr>
      </w:pPr>
      <w:r>
        <w:rPr>
          <w:rFonts w:ascii="Calibri;sans-serif" w:hAnsi="Calibri;sans-serif"/>
          <w:b w:val="false"/>
          <w:i/>
          <w:sz w:val="20"/>
        </w:rPr>
        <w:t>Tax Receivable Agreement</w:t>
      </w:r>
    </w:p>
    <w:p>
      <w:pPr>
        <w:pStyle w:val="TextBody"/>
        <w:spacing w:before="160" w:after="120"/>
        <w:jc w:val="both"/>
        <w:rPr>
          <w:rFonts w:ascii="Calibri;sans-serif" w:hAnsi="Calibri;sans-serif"/>
          <w:b w:val="false"/>
          <w:sz w:val="20"/>
        </w:rPr>
      </w:pPr>
      <w:r>
        <w:rPr>
          <w:rFonts w:ascii="Calibri;sans-serif" w:hAnsi="Calibri;sans-serif"/>
          <w:b w:val="false"/>
          <w:sz w:val="20"/>
        </w:rPr>
        <w:t>In connection with the Merger Transaction, we entered into a Tax Receivable Agreement with the existing Hoya Intermediate shareholders that will provide for payment to Hoya Intermediate shareholders of 85% of the amount of the tax savings, if any, that we realize (or, under certain circumstances, is deemed to realize) as a result of, or attributable to, (i) increases in the tax basis of assets owned directly or indirectly by Hoya Intermediate or its subsidiaries from, among other things, any redemptions or exchanges of Intermediate Units (ii) existing tax basis (including depreciation and amortization deductions arising from such tax basis) in long-lived assets owned directly or indirectly by Hoya Intermediate and its subsidiaries, and (iii) certain other tax benefits (including deductions in respect of imputed interest) related to Hoya Intermediate making payments under the Tax Receivable Agreement.</w:t>
      </w:r>
    </w:p>
    <w:p>
      <w:pPr>
        <w:pStyle w:val="TextBody"/>
        <w:spacing w:before="160" w:after="120"/>
        <w:jc w:val="both"/>
        <w:rPr>
          <w:rFonts w:ascii="Times New Roman" w:hAnsi="Times New Roman"/>
          <w:sz w:val="20"/>
        </w:rPr>
      </w:pPr>
      <w:r>
        <w:rPr>
          <w:rFonts w:ascii="Calibri;sans-serif" w:hAnsi="Calibri;sans-serif"/>
          <w:b/>
          <w:sz w:val="20"/>
        </w:rPr>
        <w:t>Cash Flows</w:t>
      </w:r>
      <w:r>
        <w:rPr>
          <w:rFonts w:ascii="Times New Roman" w:hAnsi="Times New Roman"/>
          <w:sz w:val="20"/>
        </w:rPr>
        <w:t xml:space="preserve"> </w:t>
      </w:r>
    </w:p>
    <w:p>
      <w:pPr>
        <w:pStyle w:val="TextBody"/>
        <w:spacing w:before="0" w:after="0"/>
        <w:jc w:val="center"/>
        <w:rPr>
          <w:rFonts w:ascii="Calibri;sans-serif" w:hAnsi="Calibri;sans-serif"/>
          <w:b w:val="false"/>
          <w:sz w:val="20"/>
        </w:rPr>
      </w:pPr>
      <w:r>
        <w:rPr>
          <w:rFonts w:ascii="Calibri;sans-serif" w:hAnsi="Calibri;sans-serif"/>
          <w:b w:val="false"/>
          <w:sz w:val="20"/>
        </w:rPr>
        <w:t>28</w:t>
      </w:r>
    </w:p>
    <w:p>
      <w:pPr>
        <w:pStyle w:val="HorizontalLine"/>
        <w:rPr/>
      </w:pPr>
      <w:r>
        <w:rPr/>
      </w:r>
    </w:p>
    <w:p>
      <w:pPr>
        <w:pStyle w:val="TextBody"/>
        <w:spacing w:before="0" w:after="0"/>
        <w:jc w:val="left"/>
        <w:rPr/>
      </w:pPr>
      <w:r>
        <w:rPr/>
        <w:t> </w:t>
      </w:r>
    </w:p>
    <w:p>
      <w:pPr>
        <w:pStyle w:val="TextBody"/>
        <w:spacing w:before="160" w:after="120"/>
        <w:jc w:val="both"/>
        <w:rPr>
          <w:rFonts w:ascii="Calibri;sans-serif" w:hAnsi="Calibri;sans-serif"/>
          <w:b w:val="false"/>
          <w:sz w:val="20"/>
        </w:rPr>
      </w:pPr>
      <w:r>
        <w:rPr>
          <w:rFonts w:ascii="Calibri;sans-serif" w:hAnsi="Calibri;sans-serif"/>
          <w:b w:val="false"/>
          <w:sz w:val="20"/>
        </w:rPr>
        <w:t>The following table summarizes our cash flows for the periods indicated (in thousands):</w:t>
      </w:r>
    </w:p>
    <w:tbl>
      <w:tblPr>
        <w:tblW w:w="7034" w:type="dxa"/>
        <w:jc w:val="left"/>
        <w:tblInd w:w="0" w:type="dxa"/>
        <w:tblCellMar>
          <w:top w:w="28" w:type="dxa"/>
          <w:left w:w="28" w:type="dxa"/>
          <w:bottom w:w="28" w:type="dxa"/>
          <w:right w:w="28" w:type="dxa"/>
        </w:tblCellMar>
      </w:tblPr>
      <w:tblGrid>
        <w:gridCol w:w="4366"/>
        <w:gridCol w:w="146"/>
        <w:gridCol w:w="211"/>
        <w:gridCol w:w="736"/>
        <w:gridCol w:w="166"/>
        <w:gridCol w:w="146"/>
        <w:gridCol w:w="211"/>
        <w:gridCol w:w="841"/>
        <w:gridCol w:w="211"/>
      </w:tblGrid>
      <w:tr>
        <w:trPr/>
        <w:tc>
          <w:tcPr>
            <w:tcW w:w="4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3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Three Months Ended</w:t>
              <w:b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Net cash provided by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73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65,111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8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23,534</w:t>
            </w:r>
          </w:p>
        </w:tc>
        <w:tc>
          <w:tcPr>
            <w:tcW w:w="211" w:type="dxa"/>
            <w:tcBorders/>
            <w:shd w:fill="auto" w:val="clear"/>
            <w:vAlign w:val="center"/>
          </w:tcPr>
          <w:p>
            <w:pPr>
              <w:pStyle w:val="TableContents"/>
              <w:spacing w:before="0" w:after="0"/>
              <w:ind w:left="0" w:right="0" w:hanging="0"/>
              <w:jc w:val="left"/>
              <w:rPr/>
            </w:pPr>
            <w:r>
              <w:rPr/>
              <w:t> </w:t>
            </w:r>
          </w:p>
        </w:tc>
      </w:tr>
      <w:tr>
        <w:trPr/>
        <w:tc>
          <w:tcPr>
            <w:tcW w:w="43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(2,607</w:t>
            </w:r>
          </w:p>
        </w:tc>
        <w:tc>
          <w:tcPr>
            <w:tcW w:w="1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(3,441</w:t>
            </w:r>
          </w:p>
        </w:tc>
        <w:tc>
          <w:tcPr>
            <w:tcW w:w="211"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4366"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Net cash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(10,800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(195,568</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r>
      <w:tr>
        <w:trPr/>
        <w:tc>
          <w:tcPr>
            <w:tcW w:w="4366" w:type="dxa"/>
            <w:tcBorders/>
            <w:shd w:fill="auto" w:val="cle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Net increase (decrease)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51,704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sz w:val="20"/>
              </w:rPr>
            </w:pPr>
            <w:r>
              <w:rPr>
                <w:rFonts w:ascii="Calibri;sans-serif" w:hAnsi="Calibri;sans-serif"/>
                <w:b/>
                <w:sz w:val="20"/>
              </w:rPr>
              <w:t>(175,475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sz w:val="20"/>
              </w:rPr>
            </w:pPr>
            <w:r>
              <w:rPr>
                <w:rFonts w:ascii="Calibri;sans-serif" w:hAnsi="Calibri;sans-serif"/>
                <w:b/>
                <w:sz w:val="20"/>
              </w:rPr>
              <w:t>)</w:t>
            </w:r>
          </w:p>
        </w:tc>
      </w:tr>
    </w:tbl>
    <w:p>
      <w:pPr>
        <w:pStyle w:val="TextBody"/>
        <w:spacing w:before="160" w:after="120"/>
        <w:jc w:val="both"/>
        <w:rPr>
          <w:rFonts w:ascii="Times New Roman" w:hAnsi="Times New Roman"/>
          <w:sz w:val="20"/>
        </w:rPr>
      </w:pPr>
      <w:r>
        <w:rPr>
          <w:rFonts w:ascii="Calibri;sans-serif" w:hAnsi="Calibri;sans-serif"/>
          <w:b w:val="false"/>
          <w:i/>
          <w:sz w:val="20"/>
        </w:rPr>
        <w:t>Cash Provided by Operating Activities</w:t>
      </w:r>
      <w:r>
        <w:rPr>
          <w:rFonts w:ascii="Times New Roman" w:hAnsi="Times New Roman"/>
          <w:sz w:val="20"/>
        </w:rPr>
        <w:t xml:space="preserve"> </w:t>
      </w:r>
    </w:p>
    <w:p>
      <w:pPr>
        <w:pStyle w:val="TextBody"/>
        <w:spacing w:before="160" w:after="120"/>
        <w:jc w:val="both"/>
        <w:rPr>
          <w:rFonts w:ascii="Calibri;sans-serif" w:hAnsi="Calibri;sans-serif"/>
          <w:b w:val="false"/>
          <w:sz w:val="20"/>
        </w:rPr>
      </w:pPr>
      <w:r>
        <w:rPr>
          <w:rFonts w:ascii="Calibri;sans-serif" w:hAnsi="Calibri;sans-serif"/>
          <w:b w:val="false"/>
          <w:sz w:val="20"/>
        </w:rPr>
        <w:t>Net cash provided by operating activities was $65.1 million for the three months ended March 31, 2023 due to $30.3 million in net income, non-cash charges of $8.2 million, and net cash inflows from a $26.6 million change in net operating assets. The net cash inflows from the change in our net operating assets were primarily due to an increase in accounts payable resulting from seasonal fluctuations.</w:t>
      </w:r>
    </w:p>
    <w:p>
      <w:pPr>
        <w:pStyle w:val="TextBody"/>
        <w:spacing w:before="160" w:after="120"/>
        <w:jc w:val="both"/>
        <w:rPr>
          <w:rFonts w:ascii="Calibri;sans-serif" w:hAnsi="Calibri;sans-serif"/>
          <w:b w:val="false"/>
          <w:sz w:val="20"/>
        </w:rPr>
      </w:pPr>
      <w:r>
        <w:rPr>
          <w:rFonts w:ascii="Calibri;sans-serif" w:hAnsi="Calibri;sans-serif"/>
          <w:b w:val="false"/>
          <w:sz w:val="20"/>
        </w:rPr>
        <w:t>Net cash provided by operating activities was $23.5 million for the three months ended March 31, 2022 due to $3.1 million in net income, non-cash charges of $12.4 million, and net cash inflows from a $8.0 million change in net operating assets. The net cash inflows from the change in our net operating assets were primarily due to the increase in operations as COVID-19 mitigation measures eased.</w:t>
      </w:r>
    </w:p>
    <w:p>
      <w:pPr>
        <w:pStyle w:val="TextBody"/>
        <w:spacing w:before="160" w:after="120"/>
        <w:jc w:val="both"/>
        <w:rPr>
          <w:rFonts w:ascii="Times New Roman" w:hAnsi="Times New Roman"/>
          <w:sz w:val="20"/>
        </w:rPr>
      </w:pPr>
      <w:r>
        <w:rPr>
          <w:rFonts w:ascii="Calibri;sans-serif" w:hAnsi="Calibri;sans-serif"/>
          <w:b w:val="false"/>
          <w:i/>
          <w:sz w:val="20"/>
        </w:rPr>
        <w:t>Cash Used in Investing Activities</w:t>
      </w:r>
      <w:r>
        <w:rPr>
          <w:rFonts w:ascii="Times New Roman" w:hAnsi="Times New Roman"/>
          <w:sz w:val="20"/>
        </w:rPr>
        <w:t xml:space="preserve"> </w:t>
      </w:r>
    </w:p>
    <w:p>
      <w:pPr>
        <w:pStyle w:val="TextBody"/>
        <w:spacing w:before="160" w:after="120"/>
        <w:jc w:val="both"/>
        <w:rPr>
          <w:rFonts w:ascii="Calibri;sans-serif" w:hAnsi="Calibri;sans-serif"/>
          <w:b w:val="false"/>
          <w:sz w:val="20"/>
        </w:rPr>
      </w:pPr>
      <w:r>
        <w:rPr>
          <w:rFonts w:ascii="Calibri;sans-serif" w:hAnsi="Calibri;sans-serif"/>
          <w:b w:val="false"/>
          <w:sz w:val="20"/>
        </w:rPr>
        <w:t>Net cash used in investing activities was $2.6 million and $3.4 million, respectively, for the three months ended March 31, 2023 and March 31, 2022. This was primarily related to capital spending on development activities related to our platform.</w:t>
      </w:r>
    </w:p>
    <w:p>
      <w:pPr>
        <w:pStyle w:val="TextBody"/>
        <w:spacing w:before="160" w:after="120"/>
        <w:jc w:val="both"/>
        <w:rPr>
          <w:rFonts w:ascii="Times New Roman" w:hAnsi="Times New Roman"/>
          <w:sz w:val="20"/>
        </w:rPr>
      </w:pPr>
      <w:r>
        <w:rPr>
          <w:rFonts w:ascii="Calibri;sans-serif" w:hAnsi="Calibri;sans-serif"/>
          <w:b w:val="false"/>
          <w:i/>
          <w:sz w:val="20"/>
        </w:rPr>
        <w:t>Cash Used in Financing Activities</w:t>
      </w:r>
      <w:r>
        <w:rPr>
          <w:rFonts w:ascii="Times New Roman" w:hAnsi="Times New Roman"/>
          <w:sz w:val="20"/>
        </w:rPr>
        <w:t xml:space="preserve"> </w:t>
      </w:r>
    </w:p>
    <w:p>
      <w:pPr>
        <w:pStyle w:val="TextBody"/>
        <w:spacing w:before="160" w:after="120"/>
        <w:jc w:val="both"/>
        <w:rPr>
          <w:rFonts w:ascii="Calibri;sans-serif" w:hAnsi="Calibri;sans-serif"/>
          <w:b w:val="false"/>
          <w:sz w:val="20"/>
        </w:rPr>
      </w:pPr>
      <w:r>
        <w:rPr>
          <w:rFonts w:ascii="Calibri;sans-serif" w:hAnsi="Calibri;sans-serif"/>
          <w:b w:val="false"/>
          <w:sz w:val="20"/>
        </w:rPr>
        <w:t>Net cash used in financing activities was $10.8 million for the three months ended March 31, 2023, which was primarily related to our Repurchase Program.</w:t>
      </w:r>
    </w:p>
    <w:p>
      <w:pPr>
        <w:pStyle w:val="TextBody"/>
        <w:spacing w:before="160" w:after="120"/>
        <w:jc w:val="both"/>
        <w:rPr>
          <w:rFonts w:ascii="Calibri;sans-serif" w:hAnsi="Calibri;sans-serif"/>
          <w:b w:val="false"/>
          <w:sz w:val="20"/>
        </w:rPr>
      </w:pPr>
      <w:r>
        <w:rPr>
          <w:rFonts w:ascii="Calibri;sans-serif" w:hAnsi="Calibri;sans-serif"/>
          <w:b w:val="false"/>
          <w:sz w:val="20"/>
        </w:rPr>
        <w:t>Net cash used in financing activities for the three months ended March 31, 2022 was $195.6 million. This was due to the repayment of the June 2017 First Lien Loan in connection with the refinancing.</w:t>
      </w:r>
    </w:p>
    <w:p>
      <w:pPr>
        <w:pStyle w:val="TextBody"/>
        <w:spacing w:before="160" w:after="120"/>
        <w:jc w:val="both"/>
        <w:rPr>
          <w:rFonts w:ascii="Times New Roman" w:hAnsi="Times New Roman"/>
          <w:sz w:val="20"/>
        </w:rPr>
      </w:pPr>
      <w:r>
        <w:rPr>
          <w:rFonts w:ascii="Calibri;sans-serif" w:hAnsi="Calibri;sans-serif"/>
          <w:b/>
          <w:sz w:val="20"/>
        </w:rPr>
        <w:t>Critical Accounting Policies and Estimates</w:t>
      </w:r>
      <w:r>
        <w:rPr>
          <w:rFonts w:ascii="Times New Roman" w:hAnsi="Times New Roman"/>
          <w:sz w:val="20"/>
        </w:rPr>
        <w:t xml:space="preserve"> </w:t>
      </w:r>
    </w:p>
    <w:p>
      <w:pPr>
        <w:pStyle w:val="TextBody"/>
        <w:spacing w:before="160" w:after="120"/>
        <w:jc w:val="both"/>
        <w:rPr>
          <w:rFonts w:ascii="Calibri;sans-serif" w:hAnsi="Calibri;sans-serif"/>
          <w:b w:val="false"/>
          <w:sz w:val="20"/>
        </w:rPr>
      </w:pPr>
      <w:r>
        <w:rPr>
          <w:rFonts w:ascii="Calibri;sans-serif" w:hAnsi="Calibri;sans-serif"/>
          <w:b w:val="false"/>
          <w:sz w:val="20"/>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our 2022 Form 10-K for the fiscal year ended December 31, 2022. During the three months ended March 31, 2023, there were no material changes to our critical accounting policies from those discussed in the 2022 Form 10-K.</w:t>
      </w:r>
    </w:p>
    <w:p>
      <w:pPr>
        <w:pStyle w:val="TextBody"/>
        <w:spacing w:before="160" w:after="120"/>
        <w:jc w:val="both"/>
        <w:rPr>
          <w:rFonts w:ascii="Times New Roman" w:hAnsi="Times New Roman"/>
          <w:sz w:val="20"/>
        </w:rPr>
      </w:pPr>
      <w:r>
        <w:rPr>
          <w:rFonts w:ascii="Calibri;sans-serif" w:hAnsi="Calibri;sans-serif"/>
          <w:b/>
          <w:sz w:val="20"/>
        </w:rPr>
        <w:t>Recent Accounting Pronouncements</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sz w:val="20"/>
        </w:rPr>
        <w:t xml:space="preserve">Refer to Note 2, </w:t>
      </w:r>
      <w:r>
        <w:rPr>
          <w:rFonts w:ascii="Calibri;sans-serif" w:hAnsi="Calibri;sans-serif"/>
          <w:b w:val="false"/>
          <w:i/>
          <w:sz w:val="20"/>
        </w:rPr>
        <w:t>New Accounting Standards</w:t>
      </w:r>
      <w:r>
        <w:rPr>
          <w:rFonts w:ascii="Calibri;sans-serif" w:hAnsi="Calibri;sans-serif"/>
          <w:b w:val="false"/>
          <w:sz w:val="20"/>
        </w:rPr>
        <w:t>, in our notes to the unaudited condensed consolidated financial statements included elsewhere in this Quarterly Report on Form 10-Q for a description of recently adopted accounting pronouncements and issued accounting pronouncements not yet adopted.</w:t>
      </w:r>
      <w:r>
        <w:rPr>
          <w:rFonts w:ascii="Times New Roman" w:hAnsi="Times New Roman"/>
          <w:sz w:val="20"/>
        </w:rPr>
        <w:t xml:space="preserve"> </w:t>
      </w:r>
    </w:p>
    <w:p>
      <w:pPr>
        <w:pStyle w:val="TextBody"/>
        <w:spacing w:before="160" w:after="120"/>
        <w:jc w:val="center"/>
        <w:rPr>
          <w:rFonts w:ascii="Times New Roman" w:hAnsi="Times New Roman"/>
          <w:sz w:val="20"/>
        </w:rPr>
      </w:pPr>
      <w:bookmarkStart w:id="12" w:name="item3_disclosures_about_marketrisk"/>
      <w:bookmarkEnd w:id="12"/>
      <w:r>
        <w:rPr>
          <w:rFonts w:ascii="Calibri;sans-serif" w:hAnsi="Calibri;sans-serif"/>
          <w:b/>
          <w:sz w:val="20"/>
        </w:rPr>
        <w:t>Item 3. Quantitative and Qualitative Disclosures about Market Risk</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sz w:val="20"/>
        </w:rPr>
        <w:t>Market risk is the potential loss from adverse changes in interest rates, foreign exchange rates, and market prices. Our primary market risk is interest rate risk associated with our long-term debt. We manage our exposure to this risk through established policies and procedures. Our objective is to mitigate potential income statement, cash flow, and market exposures from changes in interest rates.</w:t>
      </w:r>
      <w:r>
        <w:rPr>
          <w:rFonts w:ascii="Times New Roman" w:hAnsi="Times New Roman"/>
          <w:sz w:val="20"/>
        </w:rPr>
        <w:t xml:space="preserve"> </w:t>
      </w:r>
    </w:p>
    <w:p>
      <w:pPr>
        <w:pStyle w:val="TextBody"/>
        <w:spacing w:before="0" w:after="0"/>
        <w:jc w:val="center"/>
        <w:rPr>
          <w:rFonts w:ascii="Calibri;sans-serif" w:hAnsi="Calibri;sans-serif"/>
          <w:b w:val="false"/>
          <w:sz w:val="20"/>
        </w:rPr>
      </w:pPr>
      <w:r>
        <w:rPr>
          <w:rFonts w:ascii="Calibri;sans-serif" w:hAnsi="Calibri;sans-serif"/>
          <w:b w:val="false"/>
          <w:sz w:val="20"/>
        </w:rPr>
        <w:t>29</w:t>
      </w:r>
    </w:p>
    <w:p>
      <w:pPr>
        <w:pStyle w:val="HorizontalLine"/>
        <w:rPr/>
      </w:pPr>
      <w:r>
        <w:rPr/>
      </w:r>
    </w:p>
    <w:p>
      <w:pPr>
        <w:pStyle w:val="TextBody"/>
        <w:spacing w:before="0" w:after="0"/>
        <w:jc w:val="left"/>
        <w:rPr/>
      </w:pPr>
      <w:r>
        <w:rPr/>
        <w:t> </w:t>
      </w:r>
    </w:p>
    <w:p>
      <w:pPr>
        <w:pStyle w:val="TextBody"/>
        <w:spacing w:before="160" w:after="120"/>
        <w:jc w:val="both"/>
        <w:rPr>
          <w:rFonts w:ascii="Calibri;sans-serif" w:hAnsi="Calibri;sans-serif"/>
          <w:b/>
          <w:i/>
          <w:sz w:val="20"/>
        </w:rPr>
      </w:pPr>
      <w:r>
        <w:rPr>
          <w:rFonts w:ascii="Calibri;sans-serif" w:hAnsi="Calibri;sans-serif"/>
          <w:b/>
          <w:i/>
          <w:sz w:val="20"/>
        </w:rPr>
        <w:t>Interest Rate Risk</w:t>
      </w:r>
    </w:p>
    <w:p>
      <w:pPr>
        <w:pStyle w:val="TextBody"/>
        <w:spacing w:before="160" w:after="120"/>
        <w:jc w:val="both"/>
        <w:rPr>
          <w:rFonts w:ascii="Calibri;sans-serif" w:hAnsi="Calibri;sans-serif"/>
          <w:b w:val="false"/>
          <w:sz w:val="20"/>
        </w:rPr>
      </w:pPr>
      <w:r>
        <w:rPr>
          <w:rFonts w:ascii="Calibri;sans-serif" w:hAnsi="Calibri;sans-serif"/>
          <w:b w:val="false"/>
          <w:sz w:val="20"/>
        </w:rPr>
        <w:t>Our market risk is affected by changes in interest rates. We maintain floating-rate debt that bears interest based on market rates plus an applicable spread. Because our interest rate is tied to market rates, we will be susceptible to fluctuations in interest rates if we do not hedge the interest rate exposure arising from our floating-rate borrowings. A hypothetical 1% increase or decrease in interest rates, assuming rates are above our interest rate floor, would change our interest expense by $0.7 million based on amounts outstanding under the February 2022 First Lien Loan during the three months ended March 31, 2023.</w:t>
      </w:r>
    </w:p>
    <w:p>
      <w:pPr>
        <w:pStyle w:val="TextBody"/>
        <w:spacing w:before="160" w:after="120"/>
        <w:jc w:val="center"/>
        <w:rPr>
          <w:rFonts w:ascii="Calibri;sans-serif" w:hAnsi="Calibri;sans-serif"/>
          <w:b/>
          <w:sz w:val="20"/>
        </w:rPr>
      </w:pPr>
      <w:bookmarkStart w:id="13" w:name="item4_controls"/>
      <w:bookmarkEnd w:id="13"/>
      <w:r>
        <w:rPr>
          <w:rFonts w:ascii="Calibri;sans-serif" w:hAnsi="Calibri;sans-serif"/>
          <w:b/>
          <w:sz w:val="20"/>
        </w:rPr>
        <w:t>Item 4. Controls and Procedures</w:t>
      </w:r>
    </w:p>
    <w:p>
      <w:pPr>
        <w:pStyle w:val="TextBody"/>
        <w:spacing w:before="160" w:after="120"/>
        <w:jc w:val="both"/>
        <w:rPr>
          <w:rFonts w:ascii="Calibri;sans-serif" w:hAnsi="Calibri;sans-serif"/>
          <w:b w:val="false"/>
          <w:i/>
          <w:sz w:val="20"/>
        </w:rPr>
      </w:pPr>
      <w:r>
        <w:rPr>
          <w:rFonts w:ascii="Calibri;sans-serif" w:hAnsi="Calibri;sans-serif"/>
          <w:b w:val="false"/>
          <w:i/>
          <w:sz w:val="20"/>
        </w:rPr>
        <w:t>Limitations on Effectiveness of Disclosure Controls and Procedures</w:t>
      </w:r>
    </w:p>
    <w:p>
      <w:pPr>
        <w:pStyle w:val="TextBody"/>
        <w:spacing w:before="160" w:after="120"/>
        <w:jc w:val="both"/>
        <w:rPr>
          <w:rFonts w:ascii="Calibri;sans-serif" w:hAnsi="Calibri;sans-serif"/>
          <w:b w:val="false"/>
          <w:sz w:val="20"/>
        </w:rPr>
      </w:pPr>
      <w:r>
        <w:rPr>
          <w:rFonts w:ascii="Calibri;sans-serif" w:hAnsi="Calibri;sans-serif"/>
          <w:b w:val="false"/>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spacing w:before="160" w:after="120"/>
        <w:jc w:val="both"/>
        <w:rPr>
          <w:rFonts w:ascii="Calibri;sans-serif" w:hAnsi="Calibri;sans-serif"/>
          <w:b w:val="false"/>
          <w:i/>
          <w:sz w:val="20"/>
        </w:rPr>
      </w:pPr>
      <w:r>
        <w:rPr>
          <w:rFonts w:ascii="Calibri;sans-serif" w:hAnsi="Calibri;sans-serif"/>
          <w:b w:val="false"/>
          <w:i/>
          <w:sz w:val="20"/>
        </w:rPr>
        <w:t>Evaluation of Disclosure Controls and Procedures</w:t>
      </w:r>
    </w:p>
    <w:p>
      <w:pPr>
        <w:pStyle w:val="TextBody"/>
        <w:spacing w:before="160" w:after="120"/>
        <w:jc w:val="both"/>
        <w:rPr>
          <w:rFonts w:ascii="Calibri;sans-serif" w:hAnsi="Calibri;sans-serif"/>
          <w:b w:val="false"/>
          <w:sz w:val="20"/>
        </w:rPr>
      </w:pPr>
      <w:r>
        <w:rPr>
          <w:rFonts w:ascii="Calibri;sans-serif" w:hAnsi="Calibri;sans-serif"/>
          <w:b w:val="false"/>
          <w:sz w:val="20"/>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the SEC rules and forms, and that such information is accumulated and communicated to management, including our Chief Executive Officer and Chief Financial Officer, to allow timely decisions regarding required disclosures.</w:t>
      </w:r>
    </w:p>
    <w:p>
      <w:pPr>
        <w:pStyle w:val="TextBody"/>
        <w:spacing w:before="160" w:after="120"/>
        <w:jc w:val="both"/>
        <w:rPr>
          <w:rFonts w:ascii="Calibri;sans-serif" w:hAnsi="Calibri;sans-serif"/>
          <w:b w:val="false"/>
          <w:sz w:val="20"/>
        </w:rPr>
      </w:pPr>
      <w:r>
        <w:rPr>
          <w:rFonts w:ascii="Calibri;sans-serif" w:hAnsi="Calibri;sans-serif"/>
          <w:b w:val="false"/>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our disclosure controls and procedures were not effective at reasonable assurance levels as of March 31, 2023 due to the reasons described below.</w:t>
      </w:r>
    </w:p>
    <w:p>
      <w:pPr>
        <w:pStyle w:val="TextBody"/>
        <w:spacing w:before="160" w:after="120"/>
        <w:jc w:val="both"/>
        <w:rPr>
          <w:rFonts w:ascii="Calibri;sans-serif" w:hAnsi="Calibri;sans-serif"/>
          <w:b w:val="false"/>
          <w:i/>
          <w:sz w:val="20"/>
        </w:rPr>
      </w:pPr>
      <w:r>
        <w:rPr>
          <w:rFonts w:ascii="Calibri;sans-serif" w:hAnsi="Calibri;sans-serif"/>
          <w:b w:val="false"/>
          <w:i/>
          <w:sz w:val="20"/>
        </w:rPr>
        <w:t>Material Weakness</w:t>
      </w:r>
    </w:p>
    <w:p>
      <w:pPr>
        <w:pStyle w:val="TextBody"/>
        <w:spacing w:before="160" w:after="120"/>
        <w:jc w:val="both"/>
        <w:rPr>
          <w:rFonts w:ascii="Times New Roman" w:hAnsi="Times New Roman"/>
          <w:sz w:val="20"/>
        </w:rPr>
      </w:pPr>
      <w:r>
        <w:rPr>
          <w:rFonts w:ascii="Calibri;sans-serif" w:hAnsi="Calibri;sans-serif"/>
          <w:b w:val="false"/>
          <w:sz w:val="20"/>
        </w:rPr>
        <w:t>In connection with the audit of our consolidated financial statements as of December 31, 2022, we identified a material weakness in our internal control over financial reporting related to the implementation of segregation of duties as part of our control activities, establishment of clearly defined roles within our finance and accounting functions and the number of personnel in our finance and accounting functions with an appropriate level of technical accounting and SEC reporting experience, which in the aggregate, constitute a material weakness.</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i/>
          <w:sz w:val="20"/>
        </w:rPr>
        <w:t>Remediation Activities</w:t>
      </w:r>
      <w:r>
        <w:rPr>
          <w:rFonts w:ascii="Times New Roman" w:hAnsi="Times New Roman"/>
          <w:sz w:val="20"/>
        </w:rPr>
        <w:t xml:space="preserve"> </w:t>
      </w:r>
    </w:p>
    <w:p>
      <w:pPr>
        <w:pStyle w:val="TextBody"/>
        <w:spacing w:before="160" w:after="120"/>
        <w:jc w:val="both"/>
        <w:rPr>
          <w:rFonts w:ascii="Times New Roman" w:hAnsi="Times New Roman"/>
          <w:sz w:val="20"/>
        </w:rPr>
      </w:pPr>
      <w:r>
        <w:rPr>
          <w:rFonts w:ascii="Calibri;sans-serif" w:hAnsi="Calibri;sans-serif"/>
          <w:b w:val="false"/>
          <w:sz w:val="20"/>
        </w:rPr>
        <w:t>As part of our plan to remediate this material weakness, we are performing a full review of our internal control procedures. We have implemented, and plan to continue to implement, new controls and new processes. We have hired, and plan to continue to hire, additional qualified personnel and establish more robust processes to support our internal control over financial reporting, including clearly defined roles and responsibilities and appropriate segregation of duties. During the three months ended March 31, 2023, we made progress in our remediation of the material weakness. While progress has been made to enhance our internal control, additional time is required to complete implementation and to assess and ensure the sustainability of these controls. The material weakness will not be considered remediated until the applicable controls operate for a sufficient period of time and management has concluded, through testing, that these controls are operating effectively.</w:t>
      </w:r>
      <w:r>
        <w:rPr>
          <w:rFonts w:ascii="Times New Roman" w:hAnsi="Times New Roman"/>
          <w:sz w:val="20"/>
        </w:rPr>
        <w:t xml:space="preserve"> </w:t>
      </w:r>
    </w:p>
    <w:p>
      <w:pPr>
        <w:pStyle w:val="TextBody"/>
        <w:spacing w:before="160" w:after="120"/>
        <w:jc w:val="both"/>
        <w:rPr>
          <w:rFonts w:ascii="Calibri;sans-serif" w:hAnsi="Calibri;sans-serif"/>
          <w:b w:val="false"/>
          <w:i/>
          <w:sz w:val="20"/>
        </w:rPr>
      </w:pPr>
      <w:r>
        <w:rPr>
          <w:rFonts w:ascii="Calibri;sans-serif" w:hAnsi="Calibri;sans-serif"/>
          <w:b w:val="false"/>
          <w:i/>
          <w:sz w:val="20"/>
        </w:rPr>
        <w:t>Changes in Internal Control over Financial Reporting</w:t>
      </w:r>
    </w:p>
    <w:p>
      <w:pPr>
        <w:pStyle w:val="TextBody"/>
        <w:spacing w:before="0" w:after="0"/>
        <w:jc w:val="center"/>
        <w:rPr>
          <w:rFonts w:ascii="Calibri;sans-serif" w:hAnsi="Calibri;sans-serif"/>
          <w:b w:val="false"/>
          <w:sz w:val="20"/>
        </w:rPr>
      </w:pPr>
      <w:r>
        <w:rPr>
          <w:rFonts w:ascii="Calibri;sans-serif" w:hAnsi="Calibri;sans-serif"/>
          <w:b w:val="false"/>
          <w:sz w:val="20"/>
        </w:rPr>
        <w:t>30</w:t>
      </w:r>
    </w:p>
    <w:p>
      <w:pPr>
        <w:pStyle w:val="HorizontalLine"/>
        <w:rPr/>
      </w:pPr>
      <w:r>
        <w:rPr/>
      </w:r>
    </w:p>
    <w:p>
      <w:pPr>
        <w:pStyle w:val="TextBody"/>
        <w:spacing w:before="0" w:after="0"/>
        <w:jc w:val="left"/>
        <w:rPr/>
      </w:pPr>
      <w:r>
        <w:rPr/>
        <w:t> </w:t>
      </w:r>
    </w:p>
    <w:p>
      <w:pPr>
        <w:pStyle w:val="TextBody"/>
        <w:spacing w:before="160" w:after="120"/>
        <w:jc w:val="both"/>
        <w:rPr>
          <w:rFonts w:ascii="Calibri;sans-serif" w:hAnsi="Calibri;sans-serif"/>
          <w:b w:val="false"/>
          <w:sz w:val="20"/>
        </w:rPr>
      </w:pPr>
      <w:r>
        <w:rPr>
          <w:rFonts w:ascii="Calibri;sans-serif" w:hAnsi="Calibri;sans-serif"/>
          <w:b w:val="false"/>
          <w:sz w:val="20"/>
        </w:rPr>
        <w:t>There were no changes in our internal control over financial reporting (as defined in Rules 13a-15(f) and 15d-15(f) under the Exchange Act) during the quarter ended March 31, 2023 that have materially affected, or are reasonably likely to materially affect, our internal control over financial reporting.</w:t>
      </w:r>
    </w:p>
    <w:p>
      <w:pPr>
        <w:pStyle w:val="TextBody"/>
        <w:spacing w:before="0" w:after="0"/>
        <w:jc w:val="center"/>
        <w:rPr>
          <w:rFonts w:ascii="Calibri;sans-serif" w:hAnsi="Calibri;sans-serif"/>
          <w:b/>
          <w:sz w:val="20"/>
        </w:rPr>
      </w:pPr>
      <w:bookmarkStart w:id="14" w:name="part_ii_other_information"/>
      <w:bookmarkEnd w:id="14"/>
      <w:r>
        <w:rPr>
          <w:rFonts w:ascii="Calibri;sans-serif" w:hAnsi="Calibri;sans-serif"/>
          <w:b/>
          <w:sz w:val="20"/>
        </w:rPr>
        <w:t>Part II - Other Information</w:t>
      </w:r>
    </w:p>
    <w:p>
      <w:pPr>
        <w:pStyle w:val="TextBody"/>
        <w:spacing w:before="0" w:after="0"/>
        <w:jc w:val="center"/>
        <w:rPr/>
      </w:pPr>
      <w:r>
        <w:rPr/>
        <w:t> </w:t>
      </w:r>
    </w:p>
    <w:p>
      <w:pPr>
        <w:pStyle w:val="TextBody"/>
        <w:spacing w:before="0" w:after="0"/>
        <w:jc w:val="center"/>
        <w:rPr>
          <w:rFonts w:ascii="Calibri;sans-serif" w:hAnsi="Calibri;sans-serif"/>
          <w:b/>
          <w:sz w:val="20"/>
        </w:rPr>
      </w:pPr>
      <w:bookmarkStart w:id="15" w:name="part_ii_item1"/>
      <w:bookmarkEnd w:id="15"/>
      <w:r>
        <w:rPr>
          <w:rFonts w:ascii="Calibri;sans-serif" w:hAnsi="Calibri;sans-serif"/>
          <w:b/>
          <w:sz w:val="20"/>
        </w:rPr>
        <w:t>Item 1. Legal Proceedings</w:t>
      </w:r>
    </w:p>
    <w:p>
      <w:pPr>
        <w:pStyle w:val="TextBody"/>
        <w:spacing w:before="0" w:after="0"/>
        <w:jc w:val="center"/>
        <w:rPr/>
      </w:pPr>
      <w:r>
        <w:rPr/>
        <w:t> </w:t>
      </w:r>
    </w:p>
    <w:p>
      <w:pPr>
        <w:pStyle w:val="TextBody"/>
        <w:spacing w:before="0" w:after="0"/>
        <w:jc w:val="both"/>
        <w:rPr>
          <w:rFonts w:ascii="Times New Roman" w:hAnsi="Times New Roman"/>
          <w:sz w:val="20"/>
        </w:rPr>
      </w:pPr>
      <w:r>
        <w:rPr>
          <w:rFonts w:ascii="Calibri;sans-serif" w:hAnsi="Calibri;sans-serif"/>
          <w:b w:val="false"/>
          <w:sz w:val="20"/>
        </w:rPr>
        <w:t xml:space="preserve">Refer to Note 11, </w:t>
      </w:r>
      <w:r>
        <w:rPr>
          <w:rFonts w:ascii="Calibri;sans-serif" w:hAnsi="Calibri;sans-serif"/>
          <w:b w:val="false"/>
          <w:i/>
          <w:sz w:val="20"/>
        </w:rPr>
        <w:t>Commitments and Contingencies</w:t>
      </w:r>
      <w:r>
        <w:rPr>
          <w:rFonts w:ascii="Calibri;sans-serif" w:hAnsi="Calibri;sans-serif"/>
          <w:b w:val="false"/>
          <w:sz w:val="20"/>
        </w:rPr>
        <w:t>, in our notes to the unaudited condensed consolidated financial statements in this Quarterly Report on Form 10-Q.</w:t>
      </w:r>
    </w:p>
    <w:p>
      <w:pPr>
        <w:pStyle w:val="TextBody"/>
        <w:spacing w:before="160" w:after="0"/>
        <w:jc w:val="center"/>
        <w:rPr>
          <w:rFonts w:ascii="Calibri;sans-serif" w:hAnsi="Calibri;sans-serif"/>
          <w:b/>
          <w:sz w:val="20"/>
        </w:rPr>
      </w:pPr>
      <w:bookmarkStart w:id="16" w:name="item1a_risk_factors"/>
      <w:bookmarkEnd w:id="16"/>
      <w:r>
        <w:rPr>
          <w:rFonts w:ascii="Calibri;sans-serif" w:hAnsi="Calibri;sans-serif"/>
          <w:b/>
          <w:sz w:val="20"/>
        </w:rPr>
        <w:t>Item 1A. Risk Factors</w:t>
      </w:r>
    </w:p>
    <w:p>
      <w:pPr>
        <w:pStyle w:val="TextBody"/>
        <w:spacing w:before="160" w:after="0"/>
        <w:jc w:val="both"/>
        <w:rPr>
          <w:rFonts w:ascii="Calibri;sans-serif" w:hAnsi="Calibri;sans-serif"/>
          <w:b w:val="false"/>
          <w:sz w:val="20"/>
        </w:rPr>
      </w:pPr>
      <w:r>
        <w:rPr>
          <w:rFonts w:ascii="Calibri;sans-serif" w:hAnsi="Calibri;sans-serif"/>
          <w:b w:val="false"/>
          <w:sz w:val="20"/>
        </w:rPr>
        <w:t>In addition to the other information set forth in this Quarterly Report on Form 10-Q, you should carefully consider the factors discussed under Part I, Item 1A, “Risk Factors” in our 2022 Form 10-K.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on Form 10-Q. There have been no material changes from the risk factors disclosed in our 2022 Form 10-K.</w:t>
      </w:r>
    </w:p>
    <w:p>
      <w:pPr>
        <w:pStyle w:val="TextBody"/>
        <w:spacing w:before="0" w:after="0"/>
        <w:jc w:val="left"/>
        <w:rPr/>
      </w:pPr>
      <w:r>
        <w:rPr/>
        <w:t> </w:t>
      </w:r>
    </w:p>
    <w:p>
      <w:pPr>
        <w:pStyle w:val="TextBody"/>
        <w:spacing w:before="0" w:after="0"/>
        <w:jc w:val="center"/>
        <w:rPr>
          <w:rFonts w:ascii="Calibri;sans-serif" w:hAnsi="Calibri;sans-serif"/>
          <w:b/>
          <w:sz w:val="20"/>
        </w:rPr>
      </w:pPr>
      <w:bookmarkStart w:id="17" w:name="part_ii_item2"/>
      <w:bookmarkEnd w:id="17"/>
      <w:r>
        <w:rPr>
          <w:rFonts w:ascii="Calibri;sans-serif" w:hAnsi="Calibri;sans-serif"/>
          <w:b/>
          <w:sz w:val="20"/>
        </w:rPr>
        <w:t>Item 2. Unregistered Sales of Equity Securities and Use of Proceeds</w:t>
      </w:r>
    </w:p>
    <w:p>
      <w:pPr>
        <w:pStyle w:val="TextBody"/>
        <w:spacing w:before="160" w:after="120"/>
        <w:jc w:val="both"/>
        <w:rPr>
          <w:rFonts w:ascii="Calibri;sans-serif" w:hAnsi="Calibri;sans-serif"/>
          <w:b w:val="false"/>
          <w:sz w:val="20"/>
        </w:rPr>
      </w:pPr>
      <w:r>
        <w:rPr>
          <w:rFonts w:ascii="Calibri;sans-serif" w:hAnsi="Calibri;sans-serif"/>
          <w:b w:val="false"/>
          <w:sz w:val="20"/>
        </w:rPr>
        <w:t>On May 25, 2022, our Board authorized the Repurchase Program. The Repurchase Program was announced on May 26, 2022 and was effective through March 31, 2023. For the period ended March 31, 2023, we repurchased 1.0 million shares of our Class A common stock for $7.6 million under the Repurchase Program and paid less than $0.1 million in commissions. Cumulatively under the Repurchase Program, we repurchased 5.3 million shares of our Class A common stock for $40.0 million and paid $0.1 million in commissions. The share repurchases are accounted for as Treasury stock in the Condensed Consolidated Balance Sheets.</w:t>
      </w:r>
    </w:p>
    <w:p>
      <w:pPr>
        <w:pStyle w:val="TextBody"/>
        <w:spacing w:before="0" w:after="0"/>
        <w:jc w:val="left"/>
        <w:rPr>
          <w:rFonts w:ascii="Calibri;sans-serif" w:hAnsi="Calibri;sans-serif"/>
          <w:b w:val="false"/>
          <w:sz w:val="20"/>
        </w:rPr>
      </w:pPr>
      <w:r>
        <w:rPr>
          <w:rFonts w:ascii="Calibri;sans-serif" w:hAnsi="Calibri;sans-serif"/>
          <w:b w:val="false"/>
          <w:sz w:val="20"/>
        </w:rPr>
        <w:t>The following table provides information about purchases of shares of our common stock:</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1052"/>
        <w:gridCol w:w="146"/>
        <w:gridCol w:w="213"/>
        <w:gridCol w:w="1150"/>
        <w:gridCol w:w="146"/>
        <w:gridCol w:w="146"/>
        <w:gridCol w:w="451"/>
        <w:gridCol w:w="999"/>
        <w:gridCol w:w="146"/>
        <w:gridCol w:w="146"/>
        <w:gridCol w:w="337"/>
        <w:gridCol w:w="1813"/>
        <w:gridCol w:w="146"/>
        <w:gridCol w:w="146"/>
        <w:gridCol w:w="1094"/>
        <w:gridCol w:w="1878"/>
        <w:gridCol w:w="196"/>
      </w:tblGrid>
      <w:tr>
        <w:trPr/>
        <w:tc>
          <w:tcPr>
            <w:tcW w:w="10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8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87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10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6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Total Number of Shares Purchased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Weighted Average Price Paid Per Share(1)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Total Number of Shares Purchased as Part of Publicly Announced Program</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9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Maximum Number (or Approximate Dollar Value) of Shares that May Yet be Purchased Under Program (in millions)</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52"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January 1-31, 2023</w:t>
            </w:r>
          </w:p>
        </w:tc>
        <w:tc>
          <w:tcPr>
            <w:tcW w:w="146"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150"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888,036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left"/>
              <w:rPr/>
            </w:pPr>
            <w:r>
              <w:rPr/>
              <w:t> </w:t>
            </w:r>
          </w:p>
        </w:tc>
        <w:tc>
          <w:tcPr>
            <w:tcW w:w="999"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7.97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81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888,036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4" w:type="dxa"/>
            <w:tcBorders/>
            <w:shd w:fill="auto" w:val="clear"/>
            <w:vAlign w:val="center"/>
          </w:tcPr>
          <w:p>
            <w:pPr>
              <w:pStyle w:val="TableContents"/>
              <w:spacing w:before="0" w:after="0"/>
              <w:ind w:left="0" w:right="0" w:hanging="0"/>
              <w:jc w:val="left"/>
              <w:rPr/>
            </w:pPr>
            <w:r>
              <w:rPr/>
              <w:t> </w:t>
            </w:r>
          </w:p>
        </w:tc>
        <w:tc>
          <w:tcPr>
            <w:tcW w:w="1878"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0.5</w:t>
            </w:r>
          </w:p>
        </w:tc>
        <w:tc>
          <w:tcPr>
            <w:tcW w:w="196" w:type="dxa"/>
            <w:tcBorders/>
            <w:shd w:fill="auto" w:val="clear"/>
            <w:vAlign w:val="center"/>
          </w:tcPr>
          <w:p>
            <w:pPr>
              <w:pStyle w:val="TableContents"/>
              <w:spacing w:before="0" w:after="0"/>
              <w:ind w:left="0" w:right="0" w:hanging="0"/>
              <w:jc w:val="left"/>
              <w:rPr/>
            </w:pPr>
            <w:r>
              <w:rPr/>
              <w:t> </w:t>
            </w:r>
          </w:p>
        </w:tc>
      </w:tr>
      <w:tr>
        <w:trPr/>
        <w:tc>
          <w:tcPr>
            <w:tcW w:w="1052"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February 1-28, 2023</w:t>
            </w:r>
          </w:p>
        </w:tc>
        <w:tc>
          <w:tcPr>
            <w:tcW w:w="146"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150"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60,984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shd w:fill="auto" w:val="clear"/>
            <w:vAlign w:val="center"/>
          </w:tcPr>
          <w:p>
            <w:pPr>
              <w:pStyle w:val="TableContents"/>
              <w:spacing w:before="0" w:after="0"/>
              <w:ind w:left="0" w:right="0" w:hanging="0"/>
              <w:jc w:val="left"/>
              <w:rPr/>
            </w:pPr>
            <w:r>
              <w:rPr/>
              <w:t> </w:t>
            </w:r>
          </w:p>
        </w:tc>
        <w:tc>
          <w:tcPr>
            <w:tcW w:w="999"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37" w:type="dxa"/>
            <w:tcBorders/>
            <w:shd w:fill="auto" w:val="clear"/>
            <w:vAlign w:val="center"/>
          </w:tcPr>
          <w:p>
            <w:pPr>
              <w:pStyle w:val="TableContents"/>
              <w:spacing w:before="0" w:after="0"/>
              <w:ind w:left="0" w:right="0" w:hanging="0"/>
              <w:jc w:val="left"/>
              <w:rPr/>
            </w:pPr>
            <w:r>
              <w:rPr/>
              <w:t> </w:t>
            </w:r>
          </w:p>
        </w:tc>
        <w:tc>
          <w:tcPr>
            <w:tcW w:w="1813" w:type="dxa"/>
            <w:tcBorders/>
            <w:shd w:fill="auto" w:val="cle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60,984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4" w:type="dxa"/>
            <w:tcBorders/>
            <w:shd w:fill="auto" w:val="clear"/>
            <w:vAlign w:val="center"/>
          </w:tcPr>
          <w:p>
            <w:pPr>
              <w:pStyle w:val="TableContents"/>
              <w:spacing w:before="0" w:after="0"/>
              <w:ind w:left="0" w:right="0" w:hanging="0"/>
              <w:jc w:val="left"/>
              <w:rPr/>
            </w:pPr>
            <w:r>
              <w:rPr/>
              <w:t> </w:t>
            </w:r>
          </w:p>
        </w:tc>
        <w:tc>
          <w:tcPr>
            <w:tcW w:w="1878"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left"/>
              <w:rPr/>
            </w:pPr>
            <w:r>
              <w:rPr/>
              <w:t> </w:t>
            </w:r>
          </w:p>
        </w:tc>
      </w:tr>
      <w:tr>
        <w:trPr/>
        <w:tc>
          <w:tcPr>
            <w:tcW w:w="1052"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March 1-31, 2023</w:t>
            </w:r>
          </w:p>
        </w:tc>
        <w:tc>
          <w:tcPr>
            <w:tcW w:w="146" w:type="dxa"/>
            <w:tcBorders/>
            <w:shd w:fill="auto" w:val="clear"/>
            <w:vAlign w:val="center"/>
          </w:tcPr>
          <w:p>
            <w:pPr>
              <w:pStyle w:val="TableContents"/>
              <w:spacing w:before="0" w:after="0"/>
              <w:ind w:left="0" w:right="0" w:hanging="0"/>
              <w:jc w:val="center"/>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4"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1878"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left"/>
              <w:rPr/>
            </w:pPr>
            <w:r>
              <w:rPr/>
              <w:t> </w:t>
            </w:r>
          </w:p>
        </w:tc>
      </w:tr>
      <w:tr>
        <w:trPr/>
        <w:tc>
          <w:tcPr>
            <w:tcW w:w="1052" w:type="dxa"/>
            <w:tcBorders/>
            <w:shd w:fill="auto" w:val="cle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949,020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w:t>
            </w:r>
          </w:p>
        </w:tc>
        <w:tc>
          <w:tcPr>
            <w:tcW w:w="9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8.00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Calibri;sans-serif" w:hAnsi="Calibri;sans-serif"/>
                <w:b w:val="false"/>
                <w:sz w:val="20"/>
              </w:rPr>
            </w:pPr>
            <w:r>
              <w:rPr>
                <w:rFonts w:ascii="Calibri;sans-serif" w:hAnsi="Calibri;sans-serif"/>
                <w:b w:val="false"/>
                <w:sz w:val="20"/>
              </w:rPr>
              <w:t>949,020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72" w:type="dxa"/>
            <w:gridSpan w:val="2"/>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left"/>
        <w:rPr>
          <w:rFonts w:ascii="Calibri;sans-serif" w:hAnsi="Calibri;sans-serif"/>
          <w:b w:val="false"/>
          <w:sz w:val="20"/>
        </w:rPr>
      </w:pPr>
      <w:bookmarkStart w:id="18" w:name="part_ii_item3"/>
      <w:bookmarkEnd w:id="18"/>
      <w:r>
        <w:rPr>
          <w:rFonts w:ascii="Calibri;sans-serif" w:hAnsi="Calibri;sans-serif"/>
          <w:b w:val="false"/>
          <w:sz w:val="20"/>
        </w:rPr>
        <w:t>(1) The weighted average price paid per share does not include the cost of commissions.</w:t>
      </w:r>
    </w:p>
    <w:p>
      <w:pPr>
        <w:pStyle w:val="TextBody"/>
        <w:spacing w:before="0" w:after="0"/>
        <w:jc w:val="center"/>
        <w:rPr/>
      </w:pPr>
      <w:r>
        <w:rPr/>
        <w:t> </w:t>
      </w:r>
    </w:p>
    <w:p>
      <w:pPr>
        <w:pStyle w:val="TextBody"/>
        <w:spacing w:before="0" w:after="0"/>
        <w:jc w:val="center"/>
        <w:rPr>
          <w:rFonts w:ascii="Calibri;sans-serif" w:hAnsi="Calibri;sans-serif"/>
          <w:b/>
          <w:sz w:val="20"/>
        </w:rPr>
      </w:pPr>
      <w:r>
        <w:rPr>
          <w:rFonts w:ascii="Calibri;sans-serif" w:hAnsi="Calibri;sans-serif"/>
          <w:b/>
          <w:sz w:val="20"/>
        </w:rPr>
        <w:t>Item 3. Defaults Upon Senior Securities</w:t>
      </w:r>
    </w:p>
    <w:p>
      <w:pPr>
        <w:pStyle w:val="TextBody"/>
        <w:spacing w:before="0" w:after="0"/>
        <w:jc w:val="center"/>
        <w:rPr/>
      </w:pPr>
      <w:r>
        <w:rPr/>
        <w:t> </w:t>
      </w:r>
    </w:p>
    <w:p>
      <w:pPr>
        <w:pStyle w:val="TextBody"/>
        <w:spacing w:before="0" w:after="0"/>
        <w:jc w:val="both"/>
        <w:rPr>
          <w:rFonts w:ascii="Calibri;sans-serif" w:hAnsi="Calibri;sans-serif"/>
          <w:b w:val="false"/>
          <w:sz w:val="20"/>
        </w:rPr>
      </w:pPr>
      <w:r>
        <w:rPr>
          <w:rFonts w:ascii="Calibri;sans-serif" w:hAnsi="Calibri;sans-serif"/>
          <w:b w:val="false"/>
          <w:sz w:val="20"/>
        </w:rPr>
        <w:t>None.</w:t>
      </w:r>
    </w:p>
    <w:p>
      <w:pPr>
        <w:pStyle w:val="TextBody"/>
        <w:spacing w:before="0" w:after="0"/>
        <w:jc w:val="both"/>
        <w:rPr/>
      </w:pPr>
      <w:r>
        <w:rPr/>
        <w:t> </w:t>
      </w:r>
    </w:p>
    <w:p>
      <w:pPr>
        <w:pStyle w:val="TextBody"/>
        <w:spacing w:before="0" w:after="0"/>
        <w:jc w:val="center"/>
        <w:rPr>
          <w:rFonts w:ascii="Calibri;sans-serif" w:hAnsi="Calibri;sans-serif"/>
          <w:b/>
          <w:sz w:val="20"/>
        </w:rPr>
      </w:pPr>
      <w:bookmarkStart w:id="19" w:name="part_ii_item4"/>
      <w:bookmarkEnd w:id="19"/>
      <w:r>
        <w:rPr>
          <w:rFonts w:ascii="Calibri;sans-serif" w:hAnsi="Calibri;sans-serif"/>
          <w:b/>
          <w:sz w:val="20"/>
        </w:rPr>
        <w:t>Item 4. Mine Safety Disclosures</w:t>
      </w:r>
    </w:p>
    <w:p>
      <w:pPr>
        <w:pStyle w:val="TextBody"/>
        <w:spacing w:before="0" w:after="0"/>
        <w:jc w:val="center"/>
        <w:rPr/>
      </w:pPr>
      <w:r>
        <w:rPr/>
        <w:t> </w:t>
      </w:r>
    </w:p>
    <w:p>
      <w:pPr>
        <w:pStyle w:val="TextBody"/>
        <w:spacing w:before="0" w:after="0"/>
        <w:jc w:val="both"/>
        <w:rPr>
          <w:rFonts w:ascii="Times New Roman" w:hAnsi="Times New Roman"/>
          <w:sz w:val="20"/>
        </w:rPr>
      </w:pPr>
      <w:r>
        <w:rPr>
          <w:rFonts w:ascii="Calibri;sans-serif" w:hAnsi="Calibri;sans-serif"/>
          <w:b w:val="false"/>
          <w:sz w:val="20"/>
        </w:rPr>
        <w:t>Not applicable.</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Calibri;sans-serif" w:hAnsi="Calibri;sans-serif"/>
          <w:b/>
          <w:sz w:val="20"/>
        </w:rPr>
      </w:pPr>
      <w:bookmarkStart w:id="20" w:name="part_ii_item5"/>
      <w:bookmarkEnd w:id="20"/>
      <w:r>
        <w:rPr>
          <w:rFonts w:ascii="Calibri;sans-serif" w:hAnsi="Calibri;sans-serif"/>
          <w:b/>
          <w:sz w:val="20"/>
        </w:rPr>
        <w:t>Item 5. Other Information</w:t>
      </w:r>
    </w:p>
    <w:p>
      <w:pPr>
        <w:pStyle w:val="TextBody"/>
        <w:spacing w:before="0" w:after="0"/>
        <w:jc w:val="center"/>
        <w:rPr>
          <w:rFonts w:ascii="Calibri;sans-serif" w:hAnsi="Calibri;sans-serif"/>
          <w:b w:val="false"/>
          <w:sz w:val="20"/>
        </w:rPr>
      </w:pPr>
      <w:r>
        <w:rPr>
          <w:rFonts w:ascii="Calibri;sans-serif" w:hAnsi="Calibri;sans-serif"/>
          <w:b w:val="false"/>
          <w:sz w:val="20"/>
        </w:rPr>
        <w:t>31</w:t>
      </w:r>
    </w:p>
    <w:p>
      <w:pPr>
        <w:pStyle w:val="HorizontalLine"/>
        <w:rPr/>
      </w:pPr>
      <w:r>
        <w:rPr/>
      </w:r>
    </w:p>
    <w:p>
      <w:pPr>
        <w:pStyle w:val="TextBody"/>
        <w:spacing w:before="0" w:after="0"/>
        <w:jc w:val="left"/>
        <w:rPr/>
      </w:pPr>
      <w:r>
        <w:rPr/>
        <w:t> </w:t>
      </w:r>
    </w:p>
    <w:p>
      <w:pPr>
        <w:pStyle w:val="TextBody"/>
        <w:spacing w:before="0" w:after="0"/>
        <w:jc w:val="center"/>
        <w:rPr/>
      </w:pPr>
      <w:r>
        <w:rPr/>
        <w:t> </w:t>
      </w:r>
    </w:p>
    <w:p>
      <w:pPr>
        <w:pStyle w:val="TextBody"/>
        <w:spacing w:before="0" w:after="0"/>
        <w:jc w:val="both"/>
        <w:rPr>
          <w:rFonts w:ascii="Calibri;sans-serif" w:hAnsi="Calibri;sans-serif"/>
          <w:b w:val="false"/>
          <w:sz w:val="20"/>
        </w:rPr>
      </w:pPr>
      <w:r>
        <w:rPr>
          <w:rFonts w:ascii="Calibri;sans-serif" w:hAnsi="Calibri;sans-serif"/>
          <w:b w:val="false"/>
          <w:sz w:val="20"/>
        </w:rPr>
        <w:t>None.</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both"/>
        <w:rPr/>
      </w:pPr>
      <w:r>
        <w:rPr/>
        <w:t> </w:t>
      </w:r>
    </w:p>
    <w:p>
      <w:pPr>
        <w:pStyle w:val="TextBody"/>
        <w:spacing w:before="0" w:after="0"/>
        <w:jc w:val="left"/>
        <w:rPr/>
      </w:pPr>
      <w:r>
        <w:rPr/>
        <w:t> </w:t>
      </w:r>
    </w:p>
    <w:p>
      <w:pPr>
        <w:pStyle w:val="TextBody"/>
        <w:spacing w:before="0" w:after="0"/>
        <w:jc w:val="center"/>
        <w:rPr>
          <w:rFonts w:ascii="Calibri;sans-serif" w:hAnsi="Calibri;sans-serif"/>
          <w:b w:val="false"/>
          <w:sz w:val="20"/>
        </w:rPr>
      </w:pPr>
      <w:r>
        <w:rPr>
          <w:rFonts w:ascii="Calibri;sans-serif" w:hAnsi="Calibri;sans-serif"/>
          <w:b w:val="false"/>
          <w:sz w:val="20"/>
        </w:rPr>
        <w:t>32</w:t>
      </w:r>
    </w:p>
    <w:p>
      <w:pPr>
        <w:pStyle w:val="HorizontalLine"/>
        <w:rPr/>
      </w:pPr>
      <w:r>
        <w:rPr/>
      </w:r>
    </w:p>
    <w:p>
      <w:pPr>
        <w:pStyle w:val="TextBody"/>
        <w:spacing w:before="0" w:after="0"/>
        <w:jc w:val="left"/>
        <w:rPr/>
      </w:pPr>
      <w:r>
        <w:rPr/>
        <w:t> </w:t>
      </w:r>
    </w:p>
    <w:p>
      <w:pPr>
        <w:pStyle w:val="TextBody"/>
        <w:spacing w:before="0" w:after="0"/>
        <w:jc w:val="center"/>
        <w:rPr>
          <w:rFonts w:ascii="Calibri;sans-serif" w:hAnsi="Calibri;sans-serif"/>
          <w:b/>
          <w:sz w:val="20"/>
        </w:rPr>
      </w:pPr>
      <w:bookmarkStart w:id="21" w:name="part_ii_item6"/>
      <w:bookmarkEnd w:id="21"/>
      <w:r>
        <w:rPr>
          <w:rFonts w:ascii="Calibri;sans-serif" w:hAnsi="Calibri;sans-serif"/>
          <w:b/>
          <w:sz w:val="20"/>
        </w:rPr>
        <w:t>Item 6. Exhibits</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811"/>
        <w:gridCol w:w="6371"/>
        <w:gridCol w:w="541"/>
        <w:gridCol w:w="661"/>
        <w:gridCol w:w="587"/>
        <w:gridCol w:w="1234"/>
      </w:tblGrid>
      <w:tr>
        <w:trPr/>
        <w:tc>
          <w:tcPr>
            <w:tcW w:w="811" w:type="dxa"/>
            <w:tcBorders/>
            <w:shd w:fill="auto" w:val="clear"/>
            <w:vAlign w:val="center"/>
          </w:tcPr>
          <w:p>
            <w:pPr>
              <w:pStyle w:val="TableContents"/>
              <w:spacing w:before="0" w:after="283"/>
              <w:rPr>
                <w:sz w:val="4"/>
                <w:szCs w:val="4"/>
              </w:rPr>
            </w:pPr>
            <w:r>
              <w:rPr>
                <w:sz w:val="4"/>
                <w:szCs w:val="4"/>
              </w:rPr>
            </w:r>
          </w:p>
        </w:tc>
        <w:tc>
          <w:tcPr>
            <w:tcW w:w="637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637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789"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Incorporated by Reference</w:t>
            </w:r>
          </w:p>
        </w:tc>
        <w:tc>
          <w:tcPr>
            <w:tcW w:w="12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81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Exhibit</w:t>
            </w:r>
          </w:p>
          <w:p>
            <w:pPr>
              <w:pStyle w:val="TableContents"/>
              <w:spacing w:before="0" w:after="0"/>
              <w:ind w:left="0" w:right="0" w:hanging="0"/>
              <w:jc w:val="center"/>
              <w:rPr>
                <w:rFonts w:ascii="Calibri;sans-serif" w:hAnsi="Calibri;sans-serif"/>
                <w:b/>
                <w:sz w:val="20"/>
              </w:rPr>
            </w:pPr>
            <w:r>
              <w:rPr>
                <w:rFonts w:ascii="Calibri;sans-serif" w:hAnsi="Calibri;sans-serif"/>
                <w:b/>
                <w:sz w:val="20"/>
              </w:rPr>
              <w:t>Number</w:t>
            </w:r>
          </w:p>
        </w:tc>
        <w:tc>
          <w:tcPr>
            <w:tcW w:w="637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Description</w:t>
            </w:r>
          </w:p>
        </w:tc>
        <w:tc>
          <w:tcPr>
            <w:tcW w:w="54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Form</w:t>
            </w:r>
          </w:p>
        </w:tc>
        <w:tc>
          <w:tcPr>
            <w:tcW w:w="661"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Exhibit</w:t>
            </w:r>
          </w:p>
        </w:tc>
        <w:tc>
          <w:tcPr>
            <w:tcW w:w="587"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Filing Date</w:t>
            </w:r>
          </w:p>
        </w:tc>
        <w:tc>
          <w:tcPr>
            <w:tcW w:w="1234"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Filed / Furnished Herewith</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2.1</w:t>
            </w:r>
          </w:p>
        </w:tc>
        <w:tc>
          <w:tcPr>
            <w:tcW w:w="637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fldChar w:fldCharType="begin"/>
            </w:r>
            <w:r>
              <w:rPr>
                <w:rStyle w:val="InternetLink"/>
                <w:sz w:val="20"/>
                <w:u w:val="single"/>
                <w:b w:val="false"/>
                <w:rFonts w:ascii="Calibri;sans-serif" w:hAnsi="Calibri;sans-serif"/>
              </w:rPr>
              <w:instrText> HYPERLINK "https://www.sec.gov/Archives/edgar/data/0001856031/000119312521175583/d447259ds4.htm" \l "ii447259_10"</w:instrText>
            </w:r>
            <w:r>
              <w:rPr>
                <w:rStyle w:val="InternetLink"/>
                <w:sz w:val="20"/>
                <w:u w:val="single"/>
                <w:b w:val="false"/>
                <w:rFonts w:ascii="Calibri;sans-serif" w:hAnsi="Calibri;sans-serif"/>
              </w:rPr>
              <w:fldChar w:fldCharType="separate"/>
            </w:r>
            <w:r>
              <w:rPr>
                <w:rStyle w:val="InternetLink"/>
                <w:rFonts w:ascii="Calibri;sans-serif" w:hAnsi="Calibri;sans-serif"/>
                <w:b w:val="false"/>
                <w:sz w:val="20"/>
                <w:u w:val="single"/>
              </w:rPr>
              <w:t>Transaction Agreement dated April 21, 2021 among Horizon Acquisition Corporation, Horizon Sponsor, LLC, Hoya Topco, LLC, Hoya Intermediate, LLC and Vivid Seats Inc.</w:t>
            </w:r>
            <w:r>
              <w:rPr>
                <w:rStyle w:val="InternetLink"/>
                <w:sz w:val="20"/>
                <w:u w:val="single"/>
                <w:b w:val="false"/>
                <w:rFonts w:ascii="Calibri;sans-serif" w:hAnsi="Calibri;sans-serif"/>
              </w:rPr>
              <w:fldChar w:fldCharType="end"/>
            </w:r>
            <w:r>
              <w:fldChar w:fldCharType="begin"/>
            </w:r>
            <w:r>
              <w:rPr>
                <w:rStyle w:val="InternetLink"/>
                <w:sz w:val="20"/>
                <w:rFonts w:ascii="Times New Roman" w:hAnsi="Times New Roman"/>
              </w:rPr>
              <w:instrText> HYPERLINK "https://www.sec.gov/Archives/edgar/data/0001856031/000119312521175583/d447259ds4.htm" \l "ii447259_10"</w:instrText>
            </w:r>
            <w:r>
              <w:rPr>
                <w:rStyle w:val="InternetLink"/>
                <w:sz w:val="20"/>
                <w:rFonts w:ascii="Times New Roman" w:hAnsi="Times New Roman"/>
              </w:rPr>
              <w:fldChar w:fldCharType="separate"/>
            </w:r>
            <w:r>
              <w:rPr>
                <w:rStyle w:val="InternetLink"/>
                <w:rFonts w:ascii="Times New Roman" w:hAnsi="Times New Roman"/>
                <w:sz w:val="20"/>
              </w:rPr>
              <w:t xml:space="preserve"> </w:t>
            </w:r>
            <w:r>
              <w:rPr>
                <w:rStyle w:val="InternetLink"/>
                <w:sz w:val="20"/>
                <w:rFonts w:ascii="Times New Roman" w:hAnsi="Times New Roman"/>
              </w:rPr>
              <w:fldChar w:fldCharType="end"/>
            </w:r>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S-4</w:t>
            </w:r>
          </w:p>
        </w:tc>
        <w:tc>
          <w:tcPr>
            <w:tcW w:w="66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2.1</w:t>
            </w:r>
          </w:p>
        </w:tc>
        <w:tc>
          <w:tcPr>
            <w:tcW w:w="58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5/28/2021</w:t>
            </w:r>
          </w:p>
        </w:tc>
        <w:tc>
          <w:tcPr>
            <w:tcW w:w="1234"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2.2</w:t>
            </w:r>
          </w:p>
        </w:tc>
        <w:tc>
          <w:tcPr>
            <w:tcW w:w="637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
              <w:r>
                <w:rPr>
                  <w:rStyle w:val="InternetLink"/>
                  <w:rFonts w:ascii="Calibri;sans-serif" w:hAnsi="Calibri;sans-serif"/>
                  <w:b w:val="false"/>
                  <w:sz w:val="20"/>
                  <w:u w:val="single"/>
                </w:rPr>
                <w:t>Purchase, Sale and Redemption Agreement dated April 21, 2021 among Hoya Topco, LLC, Hoya Intermediate, LLC, Vivid Seats Inc., Crescent Mezzanine Partners VIB, L.P., Crescent Mezzanine Partners VIC, L.P., NPS/Crescent Strategic Partnership II, LP, CM7C VS Equity Holdings, LP, Crescent Mezzanine Partners VIIB, L.P., CM6B Vivid Equity, Inc., CM6C Vivid Equity, Inc., CM7C VS Equity, LLC, CM7B VS Equity, LLC, Crescent Mezzanine Partners VI, L.P., Crescent Mezzanine Partners VII, L.P., Crescent Mezzanine Partners VII (LTL), L.P., CBDC Universal Equity, Inc., Crescent Capital Group, LP and Horizon Acquisition Corporation</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S-4</w:t>
            </w:r>
          </w:p>
        </w:tc>
        <w:tc>
          <w:tcPr>
            <w:tcW w:w="66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2.2</w:t>
            </w:r>
          </w:p>
        </w:tc>
        <w:tc>
          <w:tcPr>
            <w:tcW w:w="58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5/28/2021</w:t>
            </w:r>
          </w:p>
        </w:tc>
        <w:tc>
          <w:tcPr>
            <w:tcW w:w="1234"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2.3</w:t>
            </w:r>
          </w:p>
        </w:tc>
        <w:tc>
          <w:tcPr>
            <w:tcW w:w="637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
              <w:r>
                <w:rPr>
                  <w:rStyle w:val="InternetLink"/>
                  <w:rFonts w:ascii="Calibri;sans-serif" w:hAnsi="Calibri;sans-serif"/>
                  <w:b w:val="false"/>
                  <w:sz w:val="20"/>
                  <w:u w:val="single"/>
                </w:rPr>
                <w:t>Plan of Merger dated October 18, 2021 among Horizon Acquisition Corporation, Horizon Sponsor, LLC, Hoya Topco, LLC, Hoya Intermediate, LLC and Vivid Seats Inc.</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10-Q</w:t>
            </w:r>
          </w:p>
        </w:tc>
        <w:tc>
          <w:tcPr>
            <w:tcW w:w="66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2.3</w:t>
            </w:r>
          </w:p>
        </w:tc>
        <w:tc>
          <w:tcPr>
            <w:tcW w:w="58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11/15/2021</w:t>
            </w:r>
          </w:p>
        </w:tc>
        <w:tc>
          <w:tcPr>
            <w:tcW w:w="1234"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3.1</w:t>
            </w:r>
          </w:p>
        </w:tc>
        <w:tc>
          <w:tcPr>
            <w:tcW w:w="637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4">
              <w:r>
                <w:rPr>
                  <w:rStyle w:val="InternetLink"/>
                  <w:rFonts w:ascii="Calibri;sans-serif" w:hAnsi="Calibri;sans-serif"/>
                  <w:b w:val="false"/>
                  <w:sz w:val="20"/>
                  <w:u w:val="single"/>
                </w:rPr>
                <w:t>Amended and Restated Certificate of Incorporation</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8-K</w:t>
            </w:r>
          </w:p>
        </w:tc>
        <w:tc>
          <w:tcPr>
            <w:tcW w:w="66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3.1</w:t>
            </w:r>
          </w:p>
        </w:tc>
        <w:tc>
          <w:tcPr>
            <w:tcW w:w="58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10/22/2021</w:t>
            </w:r>
          </w:p>
        </w:tc>
        <w:tc>
          <w:tcPr>
            <w:tcW w:w="1234"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3.2</w:t>
            </w:r>
          </w:p>
        </w:tc>
        <w:tc>
          <w:tcPr>
            <w:tcW w:w="637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5">
              <w:r>
                <w:rPr>
                  <w:rStyle w:val="InternetLink"/>
                  <w:rFonts w:ascii="Calibri;sans-serif" w:hAnsi="Calibri;sans-serif"/>
                  <w:b w:val="false"/>
                  <w:sz w:val="20"/>
                  <w:u w:val="single"/>
                </w:rPr>
                <w:t>First Amendment to Amended and Restated Bylaws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10-Q</w:t>
            </w:r>
          </w:p>
        </w:tc>
        <w:tc>
          <w:tcPr>
            <w:tcW w:w="66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3.2</w:t>
            </w:r>
          </w:p>
        </w:tc>
        <w:tc>
          <w:tcPr>
            <w:tcW w:w="58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5/10/2022</w:t>
            </w:r>
          </w:p>
        </w:tc>
        <w:tc>
          <w:tcPr>
            <w:tcW w:w="1234"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3.3</w:t>
            </w:r>
          </w:p>
        </w:tc>
        <w:tc>
          <w:tcPr>
            <w:tcW w:w="637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6">
              <w:r>
                <w:rPr>
                  <w:rStyle w:val="InternetLink"/>
                  <w:rFonts w:ascii="Calibri;sans-serif" w:hAnsi="Calibri;sans-serif"/>
                  <w:b w:val="false"/>
                  <w:sz w:val="20"/>
                  <w:u w:val="single"/>
                </w:rPr>
                <w:t>Amended and Restated Bylaws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8-K</w:t>
            </w:r>
          </w:p>
        </w:tc>
        <w:tc>
          <w:tcPr>
            <w:tcW w:w="66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3.2</w:t>
            </w:r>
          </w:p>
        </w:tc>
        <w:tc>
          <w:tcPr>
            <w:tcW w:w="58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10/22/2021</w:t>
            </w:r>
          </w:p>
        </w:tc>
        <w:tc>
          <w:tcPr>
            <w:tcW w:w="1234"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4.1</w:t>
            </w:r>
          </w:p>
        </w:tc>
        <w:tc>
          <w:tcPr>
            <w:tcW w:w="637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7">
              <w:r>
                <w:rPr>
                  <w:rStyle w:val="InternetLink"/>
                  <w:rFonts w:ascii="Calibri;sans-serif" w:hAnsi="Calibri;sans-serif"/>
                  <w:b w:val="false"/>
                  <w:sz w:val="20"/>
                  <w:u w:val="single"/>
                </w:rPr>
                <w:t>Amended and Restated Warrant Agreement dated October 14, 2021 between Horizon Acquisition Corporation and Continental Stock Transfer &amp; Trust Company</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8-K</w:t>
            </w:r>
          </w:p>
        </w:tc>
        <w:tc>
          <w:tcPr>
            <w:tcW w:w="66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10.7</w:t>
            </w:r>
          </w:p>
        </w:tc>
        <w:tc>
          <w:tcPr>
            <w:tcW w:w="58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10/22/2021</w:t>
            </w:r>
          </w:p>
        </w:tc>
        <w:tc>
          <w:tcPr>
            <w:tcW w:w="1234"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4.2</w:t>
            </w:r>
          </w:p>
        </w:tc>
        <w:tc>
          <w:tcPr>
            <w:tcW w:w="637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8">
              <w:r>
                <w:rPr>
                  <w:rStyle w:val="InternetLink"/>
                  <w:rFonts w:ascii="Calibri;sans-serif" w:hAnsi="Calibri;sans-serif"/>
                  <w:b w:val="false"/>
                  <w:sz w:val="20"/>
                  <w:u w:val="single"/>
                </w:rPr>
                <w:t>Specimen Class A Common Stock Certificate of Vivid Seats Inc.</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10-K</w:t>
            </w:r>
          </w:p>
        </w:tc>
        <w:tc>
          <w:tcPr>
            <w:tcW w:w="66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4.2</w:t>
            </w:r>
          </w:p>
        </w:tc>
        <w:tc>
          <w:tcPr>
            <w:tcW w:w="58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3/15/2022</w:t>
            </w:r>
          </w:p>
        </w:tc>
        <w:tc>
          <w:tcPr>
            <w:tcW w:w="1234"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4.3</w:t>
            </w:r>
          </w:p>
        </w:tc>
        <w:tc>
          <w:tcPr>
            <w:tcW w:w="637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9">
              <w:r>
                <w:rPr>
                  <w:rStyle w:val="InternetLink"/>
                  <w:rFonts w:ascii="Calibri;sans-serif" w:hAnsi="Calibri;sans-serif"/>
                  <w:b w:val="false"/>
                  <w:sz w:val="20"/>
                  <w:u w:val="single"/>
                </w:rPr>
                <w:t>Specimen Warrant Certificate of Vivid Seats Inc.</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10-K</w:t>
            </w:r>
          </w:p>
        </w:tc>
        <w:tc>
          <w:tcPr>
            <w:tcW w:w="66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4.3</w:t>
            </w:r>
          </w:p>
        </w:tc>
        <w:tc>
          <w:tcPr>
            <w:tcW w:w="58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3/15/2022</w:t>
            </w:r>
          </w:p>
        </w:tc>
        <w:tc>
          <w:tcPr>
            <w:tcW w:w="1234"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31.1</w:t>
            </w:r>
          </w:p>
        </w:tc>
        <w:tc>
          <w:tcPr>
            <w:tcW w:w="637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eat-ex31_1.htm">
              <w:r>
                <w:rPr>
                  <w:rStyle w:val="InternetLink"/>
                  <w:rFonts w:ascii="Calibri;sans-serif" w:hAnsi="Calibri;sans-serif"/>
                  <w:b w:val="false"/>
                  <w:sz w:val="20"/>
                  <w:u w:val="single"/>
                </w:rPr>
                <w:t>Certification of Principal Executive Officer Pursuant to Rules 13a-14(a) and 15d-14(a).</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661"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587"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234"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w:t>
            </w:r>
          </w:p>
        </w:tc>
      </w:tr>
    </w:tbl>
    <w:p>
      <w:pPr>
        <w:pStyle w:val="TextBody"/>
        <w:spacing w:before="0" w:after="0"/>
        <w:jc w:val="center"/>
        <w:rPr>
          <w:rFonts w:ascii="Calibri;sans-serif" w:hAnsi="Calibri;sans-serif"/>
          <w:b w:val="false"/>
          <w:sz w:val="20"/>
        </w:rPr>
      </w:pPr>
      <w:r>
        <w:rPr>
          <w:rFonts w:ascii="Calibri;sans-serif" w:hAnsi="Calibri;sans-serif"/>
          <w:b w:val="false"/>
          <w:sz w:val="20"/>
        </w:rPr>
        <w:t>33</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81"/>
        <w:gridCol w:w="8787"/>
        <w:gridCol w:w="146"/>
        <w:gridCol w:w="146"/>
        <w:gridCol w:w="146"/>
        <w:gridCol w:w="299"/>
      </w:tblGrid>
      <w:tr>
        <w:trPr/>
        <w:tc>
          <w:tcPr>
            <w:tcW w:w="681" w:type="dxa"/>
            <w:tcBorders/>
            <w:shd w:fill="auto" w:val="clear"/>
            <w:vAlign w:val="center"/>
          </w:tcPr>
          <w:p>
            <w:pPr>
              <w:pStyle w:val="TableContents"/>
              <w:spacing w:before="0" w:after="283"/>
              <w:rPr>
                <w:sz w:val="4"/>
                <w:szCs w:val="4"/>
              </w:rPr>
            </w:pPr>
            <w:r>
              <w:rPr>
                <w:sz w:val="4"/>
                <w:szCs w:val="4"/>
              </w:rPr>
            </w:r>
          </w:p>
        </w:tc>
        <w:tc>
          <w:tcPr>
            <w:tcW w:w="87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68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31.2</w:t>
            </w:r>
          </w:p>
        </w:tc>
        <w:tc>
          <w:tcPr>
            <w:tcW w:w="8787"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eat-ex31_2.htm">
              <w:r>
                <w:rPr>
                  <w:rStyle w:val="InternetLink"/>
                  <w:rFonts w:ascii="Calibri;sans-serif" w:hAnsi="Calibri;sans-serif"/>
                  <w:b w:val="false"/>
                  <w:sz w:val="20"/>
                  <w:u w:val="single"/>
                </w:rPr>
                <w:t>Certification of Principal Financial Officer Pursuant to Rules 13a-14(a) and 15d-14(a).</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29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w:t>
            </w:r>
          </w:p>
        </w:tc>
      </w:tr>
      <w:tr>
        <w:trPr/>
        <w:tc>
          <w:tcPr>
            <w:tcW w:w="68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32.1</w:t>
            </w:r>
          </w:p>
        </w:tc>
        <w:tc>
          <w:tcPr>
            <w:tcW w:w="8787"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eat-ex32_1.htm">
              <w:r>
                <w:rPr>
                  <w:rStyle w:val="InternetLink"/>
                  <w:rFonts w:ascii="Calibri;sans-serif" w:hAnsi="Calibri;sans-serif"/>
                  <w:b w:val="false"/>
                  <w:sz w:val="20"/>
                  <w:u w:val="single"/>
                </w:rPr>
                <w:t>Certification of Principal Executive Officer Pursuant to 18 U.S.C. Section 1350.</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both"/>
              <w:rPr/>
            </w:pPr>
            <w:r>
              <w:rPr/>
              <w:t> </w:t>
            </w:r>
          </w:p>
        </w:tc>
        <w:tc>
          <w:tcPr>
            <w:tcW w:w="29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w:t>
            </w:r>
          </w:p>
        </w:tc>
      </w:tr>
      <w:tr>
        <w:trPr/>
        <w:tc>
          <w:tcPr>
            <w:tcW w:w="681"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Calibri;sans-serif" w:hAnsi="Calibri;sans-serif"/>
                <w:b w:val="false"/>
                <w:sz w:val="20"/>
              </w:rPr>
            </w:pPr>
            <w:r>
              <w:rPr>
                <w:rFonts w:ascii="Calibri;sans-serif" w:hAnsi="Calibri;sans-serif"/>
                <w:b w:val="false"/>
                <w:sz w:val="20"/>
              </w:rPr>
              <w:t>32.2</w:t>
            </w:r>
          </w:p>
        </w:tc>
        <w:tc>
          <w:tcPr>
            <w:tcW w:w="8787"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eat-ex32_2.htm">
              <w:r>
                <w:rPr>
                  <w:rStyle w:val="InternetLink"/>
                  <w:rFonts w:ascii="Calibri;sans-serif" w:hAnsi="Calibri;sans-serif"/>
                  <w:b w:val="false"/>
                  <w:sz w:val="20"/>
                  <w:u w:val="single"/>
                </w:rPr>
                <w:t>Certification of Principal Financial Officer Pursuant to 18 U.S.C. Section 1350.</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w:t>
            </w:r>
          </w:p>
        </w:tc>
      </w:tr>
      <w:tr>
        <w:trPr/>
        <w:tc>
          <w:tcPr>
            <w:tcW w:w="6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101.INS</w:t>
            </w:r>
          </w:p>
        </w:tc>
        <w:tc>
          <w:tcPr>
            <w:tcW w:w="878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Inline XBRL Instance Document – the instance document does not appear in the Interactive Data File because XBRL tags are embedded within the Inline XBRL document.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w:t>
            </w:r>
          </w:p>
        </w:tc>
      </w:tr>
      <w:tr>
        <w:trPr/>
        <w:tc>
          <w:tcPr>
            <w:tcW w:w="6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101.SCH</w:t>
            </w:r>
          </w:p>
        </w:tc>
        <w:tc>
          <w:tcPr>
            <w:tcW w:w="878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Inline XBRL Taxonomy Extension Schema Document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w:t>
            </w:r>
          </w:p>
        </w:tc>
      </w:tr>
      <w:tr>
        <w:trPr/>
        <w:tc>
          <w:tcPr>
            <w:tcW w:w="6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101.CAL</w:t>
            </w:r>
          </w:p>
        </w:tc>
        <w:tc>
          <w:tcPr>
            <w:tcW w:w="878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Inline XBRL Taxonomy Extension Calculation Linkbase Document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w:t>
            </w:r>
          </w:p>
        </w:tc>
      </w:tr>
      <w:tr>
        <w:trPr/>
        <w:tc>
          <w:tcPr>
            <w:tcW w:w="6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101.DEF</w:t>
            </w:r>
          </w:p>
        </w:tc>
        <w:tc>
          <w:tcPr>
            <w:tcW w:w="878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Inline XBRL Taxonomy Extension Definition Linkbase Document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w:t>
            </w:r>
          </w:p>
        </w:tc>
      </w:tr>
      <w:tr>
        <w:trPr/>
        <w:tc>
          <w:tcPr>
            <w:tcW w:w="6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101.LAB</w:t>
            </w:r>
          </w:p>
        </w:tc>
        <w:tc>
          <w:tcPr>
            <w:tcW w:w="878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Inline XBRL Taxonomy Extension Label Linkbase Document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w:t>
            </w:r>
          </w:p>
        </w:tc>
      </w:tr>
      <w:tr>
        <w:trPr/>
        <w:tc>
          <w:tcPr>
            <w:tcW w:w="6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101.PRE</w:t>
            </w:r>
          </w:p>
        </w:tc>
        <w:tc>
          <w:tcPr>
            <w:tcW w:w="878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Inline XBRL Taxonomy Extension Presentation Linkbase Document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w:t>
            </w:r>
          </w:p>
        </w:tc>
      </w:tr>
      <w:tr>
        <w:trPr/>
        <w:tc>
          <w:tcPr>
            <w:tcW w:w="68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104</w:t>
            </w:r>
          </w:p>
        </w:tc>
        <w:tc>
          <w:tcPr>
            <w:tcW w:w="878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Cover Page Interactive Data File (embedded within the Inline XBRL document)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w:t>
            </w:r>
          </w:p>
        </w:tc>
      </w:tr>
    </w:tbl>
    <w:p>
      <w:pPr>
        <w:pStyle w:val="TextBody"/>
        <w:spacing w:before="0" w:after="0"/>
        <w:jc w:val="left"/>
        <w:rPr/>
      </w:pPr>
      <w:r>
        <w:rPr/>
        <w:t> </w:t>
      </w:r>
    </w:p>
    <w:p>
      <w:pPr>
        <w:pStyle w:val="TextBody"/>
        <w:spacing w:before="0" w:after="0"/>
        <w:jc w:val="left"/>
        <w:rPr>
          <w:rFonts w:ascii="Calibri;sans-serif" w:hAnsi="Calibri;sans-serif"/>
          <w:b w:val="false"/>
          <w:sz w:val="20"/>
        </w:rPr>
      </w:pPr>
      <w:r>
        <w:rPr>
          <w:rFonts w:ascii="Calibri;sans-serif" w:hAnsi="Calibri;sans-serif"/>
          <w:b w:val="false"/>
          <w:sz w:val="20"/>
        </w:rPr>
        <w:t>* Filed herewith.</w:t>
      </w:r>
    </w:p>
    <w:p>
      <w:pPr>
        <w:pStyle w:val="TextBody"/>
        <w:spacing w:before="0" w:after="0"/>
        <w:jc w:val="left"/>
        <w:rPr>
          <w:rFonts w:ascii="Calibri;sans-serif" w:hAnsi="Calibri;sans-serif"/>
          <w:b w:val="false"/>
          <w:sz w:val="20"/>
        </w:rPr>
      </w:pPr>
      <w:r>
        <w:rPr>
          <w:rFonts w:ascii="Calibri;sans-serif" w:hAnsi="Calibri;sans-serif"/>
          <w:b w:val="false"/>
          <w:sz w:val="20"/>
        </w:rPr>
        <w:t>** Furnished herewith.</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Calibri;sans-serif" w:hAnsi="Calibri;sans-serif"/>
          <w:b w:val="false"/>
          <w:sz w:val="20"/>
        </w:rPr>
      </w:pPr>
      <w:r>
        <w:rPr>
          <w:rFonts w:ascii="Calibri;sans-serif" w:hAnsi="Calibri;sans-serif"/>
          <w:b w:val="false"/>
          <w:sz w:val="20"/>
        </w:rPr>
        <w:t>34</w:t>
      </w:r>
    </w:p>
    <w:p>
      <w:pPr>
        <w:pStyle w:val="HorizontalLine"/>
        <w:rPr/>
      </w:pPr>
      <w:r>
        <w:rPr/>
      </w:r>
    </w:p>
    <w:p>
      <w:pPr>
        <w:pStyle w:val="TextBody"/>
        <w:spacing w:before="0" w:after="0"/>
        <w:jc w:val="left"/>
        <w:rPr/>
      </w:pPr>
      <w:r>
        <w:rPr/>
        <w:t> </w:t>
      </w:r>
    </w:p>
    <w:p>
      <w:pPr>
        <w:pStyle w:val="TextBody"/>
        <w:spacing w:before="0" w:after="0"/>
        <w:jc w:val="center"/>
        <w:rPr>
          <w:rFonts w:ascii="Calibri;sans-serif" w:hAnsi="Calibri;sans-serif"/>
          <w:b/>
          <w:sz w:val="20"/>
        </w:rPr>
      </w:pPr>
      <w:bookmarkStart w:id="22" w:name="signatures"/>
      <w:bookmarkEnd w:id="22"/>
      <w:r>
        <w:rPr>
          <w:rFonts w:ascii="Calibri;sans-serif" w:hAnsi="Calibri;sans-serif"/>
          <w:b/>
          <w:sz w:val="20"/>
        </w:rPr>
        <w:t>Signatures</w:t>
      </w:r>
    </w:p>
    <w:p>
      <w:pPr>
        <w:pStyle w:val="TextBody"/>
        <w:spacing w:before="0" w:after="0"/>
        <w:jc w:val="center"/>
        <w:rPr/>
      </w:pPr>
      <w:r>
        <w:rPr/>
        <w:t> </w:t>
      </w:r>
    </w:p>
    <w:p>
      <w:pPr>
        <w:pStyle w:val="TextBody"/>
        <w:spacing w:before="0" w:after="0"/>
        <w:jc w:val="both"/>
        <w:rPr>
          <w:rFonts w:ascii="Calibri;sans-serif" w:hAnsi="Calibri;sans-serif"/>
          <w:b w:val="false"/>
          <w:sz w:val="20"/>
        </w:rPr>
      </w:pPr>
      <w:r>
        <w:rPr>
          <w:rFonts w:ascii="Calibri;sans-serif" w:hAnsi="Calibri;sans-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both"/>
        <w:rPr/>
      </w:pPr>
      <w:r>
        <w:rPr/>
        <w:t> </w:t>
      </w:r>
    </w:p>
    <w:tbl>
      <w:tblPr>
        <w:tblW w:w="2604" w:type="dxa"/>
        <w:jc w:val="left"/>
        <w:tblInd w:w="0" w:type="dxa"/>
        <w:tblCellMar>
          <w:top w:w="28" w:type="dxa"/>
          <w:left w:w="28" w:type="dxa"/>
          <w:bottom w:w="28" w:type="dxa"/>
          <w:right w:w="28" w:type="dxa"/>
        </w:tblCellMar>
      </w:tblPr>
      <w:tblGrid>
        <w:gridCol w:w="161"/>
        <w:gridCol w:w="146"/>
        <w:gridCol w:w="391"/>
        <w:gridCol w:w="1906"/>
      </w:tblGrid>
      <w:tr>
        <w:trPr/>
        <w:tc>
          <w:tcPr>
            <w:tcW w:w="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90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9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Vivid Seats Inc.</w:t>
            </w:r>
          </w:p>
        </w:tc>
      </w:tr>
      <w:tr>
        <w:trPr/>
        <w:tc>
          <w:tcPr>
            <w:tcW w:w="1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9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By:</w:t>
            </w:r>
          </w:p>
        </w:tc>
        <w:tc>
          <w:tcPr>
            <w:tcW w:w="190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/s/ Stanley Chia</w:t>
            </w:r>
          </w:p>
        </w:tc>
      </w:tr>
      <w:tr>
        <w:trPr/>
        <w:tc>
          <w:tcPr>
            <w:tcW w:w="1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9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Stanley Chia</w:t>
            </w:r>
          </w:p>
        </w:tc>
      </w:tr>
      <w:tr>
        <w:trPr/>
        <w:tc>
          <w:tcPr>
            <w:tcW w:w="1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9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9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Chief Executive Officer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May 9, 2023</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0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Calibri;sans-serif" w:hAnsi="Calibri;sans-serif"/>
                <w:b w:val="false"/>
                <w:sz w:val="20"/>
              </w:rPr>
              <w:t>By:</w:t>
            </w:r>
            <w:r>
              <w:rPr>
                <w:rFonts w:ascii="Times New Roman" w:hAnsi="Times New Roman"/>
                <w:sz w:val="20"/>
              </w:rPr>
              <w:t xml:space="preserve"> </w:t>
            </w:r>
          </w:p>
        </w:tc>
        <w:tc>
          <w:tcPr>
            <w:tcW w:w="19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/s/ Lawrence Fey</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Lawrence Fey</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Chief Financial Officer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9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9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May 9, 2023</w:t>
            </w:r>
          </w:p>
        </w:tc>
      </w:tr>
    </w:tbl>
    <w:p>
      <w:pPr>
        <w:pStyle w:val="TextBody"/>
        <w:spacing w:before="0" w:after="0"/>
        <w:jc w:val="left"/>
        <w:rPr/>
      </w:pPr>
      <w:r>
        <w:rPr/>
        <w:t> </w:t>
      </w:r>
    </w:p>
    <w:p>
      <w:pPr>
        <w:pStyle w:val="TextBody"/>
        <w:spacing w:before="0" w:after="0"/>
        <w:jc w:val="center"/>
        <w:rPr>
          <w:rFonts w:ascii="Calibri;sans-serif" w:hAnsi="Calibri;sans-serif"/>
          <w:b w:val="false"/>
          <w:sz w:val="20"/>
        </w:rPr>
      </w:pPr>
      <w:r>
        <w:rPr>
          <w:rFonts w:ascii="Calibri;sans-serif" w:hAnsi="Calibri;sans-serif"/>
          <w:b w:val="false"/>
          <w:sz w:val="20"/>
        </w:rPr>
        <w:t>35</w:t>
      </w:r>
    </w:p>
    <w:p>
      <w:pPr>
        <w:pStyle w:val="HorizontalLine"/>
        <w:rPr/>
      </w:pPr>
      <w:r>
        <w:rPr/>
      </w:r>
      <w:r>
        <w:br w:type="page"/>
      </w:r>
    </w:p>
    <w:p>
      <w:pPr>
        <w:pStyle w:val="TextBody"/>
        <w:spacing w:before="0" w:after="0"/>
        <w:jc w:val="left"/>
        <w:rPr/>
      </w:pPr>
      <w:bookmarkStart w:id="23" w:name="seat-ex31_1.htm"/>
      <w:bookmarkStart w:id="24" w:name="ksseatex31_1"/>
      <w:bookmarkEnd w:id="23"/>
      <w:bookmarkEnd w:id="24"/>
      <w:r>
        <w:rPr/>
        <w:t> </w:t>
      </w:r>
    </w:p>
    <w:p>
      <w:pPr>
        <w:pStyle w:val="TextBody"/>
        <w:spacing w:before="0" w:after="0"/>
        <w:jc w:val="right"/>
        <w:rPr>
          <w:rFonts w:ascii="Calibri;sans-serif" w:hAnsi="Calibri;sans-serif"/>
          <w:b/>
          <w:sz w:val="20"/>
        </w:rPr>
      </w:pPr>
      <w:r>
        <w:rPr>
          <w:rFonts w:ascii="Calibri;sans-serif" w:hAnsi="Calibri;sans-serif"/>
          <w:b/>
          <w:sz w:val="20"/>
        </w:rPr>
        <w:t>Exhibit 31.1</w:t>
      </w:r>
    </w:p>
    <w:p>
      <w:pPr>
        <w:pStyle w:val="TextBody"/>
        <w:spacing w:before="360" w:after="0"/>
        <w:jc w:val="center"/>
        <w:rPr>
          <w:rFonts w:ascii="Calibri;sans-serif" w:hAnsi="Calibri;sans-serif"/>
          <w:b/>
          <w:sz w:val="20"/>
        </w:rPr>
      </w:pPr>
      <w:r>
        <w:rPr>
          <w:rFonts w:ascii="Calibri;sans-serif" w:hAnsi="Calibri;sans-serif"/>
          <w:b/>
          <w:sz w:val="20"/>
        </w:rPr>
        <w:t>CERTIFICATION PURSUANT TO</w:t>
      </w:r>
    </w:p>
    <w:p>
      <w:pPr>
        <w:pStyle w:val="TextBody"/>
        <w:spacing w:before="0" w:after="0"/>
        <w:jc w:val="center"/>
        <w:rPr>
          <w:rFonts w:ascii="Calibri;sans-serif" w:hAnsi="Calibri;sans-serif"/>
          <w:b/>
          <w:sz w:val="20"/>
        </w:rPr>
      </w:pPr>
      <w:r>
        <w:rPr>
          <w:rFonts w:ascii="Calibri;sans-serif" w:hAnsi="Calibri;sans-serif"/>
          <w:b/>
          <w:sz w:val="20"/>
        </w:rPr>
        <w:t>RULES 13a-14(a) AND 15d-14(a) UNDER THE SECURITIES EXCHANGE ACT OF 1934,</w:t>
      </w:r>
    </w:p>
    <w:p>
      <w:pPr>
        <w:pStyle w:val="TextBody"/>
        <w:spacing w:before="0" w:after="0"/>
        <w:jc w:val="center"/>
        <w:rPr>
          <w:rFonts w:ascii="Calibri;sans-serif" w:hAnsi="Calibri;sans-serif"/>
          <w:b/>
          <w:sz w:val="20"/>
        </w:rPr>
      </w:pPr>
      <w:r>
        <w:rPr>
          <w:rFonts w:ascii="Calibri;sans-serif" w:hAnsi="Calibri;sans-serif"/>
          <w:b/>
          <w:sz w:val="20"/>
        </w:rPr>
        <w:t>AS ADOPTED PURSUANT TO SECTION 302 OF THE SARBANES-OXLEY ACT OF 2002</w:t>
      </w:r>
    </w:p>
    <w:p>
      <w:pPr>
        <w:pStyle w:val="TextBody"/>
        <w:spacing w:before="240" w:after="0"/>
        <w:jc w:val="both"/>
        <w:rPr>
          <w:rFonts w:ascii="Calibri;sans-serif" w:hAnsi="Calibri;sans-serif"/>
          <w:b w:val="false"/>
          <w:sz w:val="20"/>
        </w:rPr>
      </w:pPr>
      <w:r>
        <w:rPr>
          <w:rFonts w:ascii="Calibri;sans-serif" w:hAnsi="Calibri;sans-serif"/>
          <w:b w:val="false"/>
          <w:sz w:val="20"/>
        </w:rPr>
        <w:t>I, Stanley Chia, certify that:</w:t>
      </w:r>
    </w:p>
    <w:p>
      <w:pPr>
        <w:pStyle w:val="TextBody"/>
        <w:spacing w:before="240" w:after="0"/>
        <w:jc w:val="both"/>
        <w:rPr>
          <w:rFonts w:ascii="Times New Roman" w:hAnsi="Times New Roman"/>
          <w:b w:val="false"/>
          <w:sz w:val="20"/>
        </w:rPr>
      </w:pPr>
      <w:r>
        <w:rPr>
          <w:rFonts w:ascii="Times New Roman" w:hAnsi="Times New Roman"/>
          <w:b w:val="false"/>
          <w:sz w:val="20"/>
        </w:rPr>
        <w:t>1.</w:t>
      </w:r>
    </w:p>
    <w:p>
      <w:pPr>
        <w:pStyle w:val="TextBody"/>
        <w:spacing w:before="240" w:after="0"/>
        <w:jc w:val="both"/>
        <w:rPr>
          <w:rFonts w:ascii="Calibri;sans-serif" w:hAnsi="Calibri;sans-serif"/>
          <w:b w:val="false"/>
          <w:sz w:val="20"/>
        </w:rPr>
      </w:pPr>
      <w:r>
        <w:rPr>
          <w:rFonts w:ascii="Calibri;sans-serif" w:hAnsi="Calibri;sans-serif"/>
          <w:b w:val="false"/>
          <w:sz w:val="20"/>
        </w:rPr>
        <w:t>I have reviewed this Quarterly Report on Form 10-Q for the quarterly period ended March 31, 2023 of Vivid Seats Inc.;</w:t>
      </w:r>
    </w:p>
    <w:p>
      <w:pPr>
        <w:pStyle w:val="TextBody"/>
        <w:spacing w:before="240" w:after="0"/>
        <w:jc w:val="both"/>
        <w:rPr>
          <w:rFonts w:ascii="Times New Roman" w:hAnsi="Times New Roman"/>
          <w:b w:val="false"/>
          <w:sz w:val="20"/>
        </w:rPr>
      </w:pPr>
      <w:r>
        <w:rPr>
          <w:rFonts w:ascii="Times New Roman" w:hAnsi="Times New Roman"/>
          <w:b w:val="false"/>
          <w:sz w:val="20"/>
        </w:rPr>
        <w:t>2.</w:t>
      </w:r>
    </w:p>
    <w:p>
      <w:pPr>
        <w:pStyle w:val="TextBody"/>
        <w:spacing w:before="240" w:after="0"/>
        <w:jc w:val="both"/>
        <w:rPr>
          <w:rFonts w:ascii="Calibri;sans-serif" w:hAnsi="Calibri;sans-serif"/>
          <w:b w:val="false"/>
          <w:sz w:val="20"/>
        </w:rPr>
      </w:pPr>
      <w:r>
        <w:rPr>
          <w:rFonts w:ascii="Calibri;sans-serif" w:hAnsi="Calibri;sans-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both"/>
        <w:rPr>
          <w:rFonts w:ascii="Times New Roman" w:hAnsi="Times New Roman"/>
          <w:b w:val="false"/>
          <w:sz w:val="20"/>
        </w:rPr>
      </w:pPr>
      <w:r>
        <w:rPr>
          <w:rFonts w:ascii="Times New Roman" w:hAnsi="Times New Roman"/>
          <w:b w:val="false"/>
          <w:sz w:val="20"/>
        </w:rPr>
        <w:t>3.</w:t>
      </w:r>
    </w:p>
    <w:p>
      <w:pPr>
        <w:pStyle w:val="TextBody"/>
        <w:spacing w:before="240" w:after="0"/>
        <w:jc w:val="both"/>
        <w:rPr>
          <w:rFonts w:ascii="Calibri;sans-serif" w:hAnsi="Calibri;sans-serif"/>
          <w:b w:val="false"/>
          <w:sz w:val="20"/>
        </w:rPr>
      </w:pPr>
      <w:r>
        <w:rPr>
          <w:rFonts w:ascii="Calibri;sans-serif" w:hAnsi="Calibri;sans-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both"/>
        <w:rPr>
          <w:rFonts w:ascii="Times New Roman" w:hAnsi="Times New Roman"/>
          <w:b w:val="false"/>
          <w:sz w:val="20"/>
        </w:rPr>
      </w:pPr>
      <w:r>
        <w:rPr>
          <w:rFonts w:ascii="Times New Roman" w:hAnsi="Times New Roman"/>
          <w:b w:val="false"/>
          <w:sz w:val="20"/>
        </w:rPr>
        <w:t>4.</w:t>
      </w:r>
    </w:p>
    <w:p>
      <w:pPr>
        <w:pStyle w:val="TextBody"/>
        <w:spacing w:before="240" w:after="0"/>
        <w:jc w:val="both"/>
        <w:rPr>
          <w:rFonts w:ascii="Calibri;sans-serif" w:hAnsi="Calibri;sans-serif"/>
          <w:b w:val="false"/>
          <w:sz w:val="20"/>
        </w:rPr>
      </w:pPr>
      <w:r>
        <w:rPr>
          <w:rFonts w:ascii="Calibri;sans-serif" w:hAnsi="Calibri;sans-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240" w:after="0"/>
        <w:jc w:val="both"/>
        <w:rPr>
          <w:rFonts w:ascii="Times New Roman" w:hAnsi="Times New Roman"/>
          <w:b w:val="false"/>
          <w:sz w:val="20"/>
        </w:rPr>
      </w:pPr>
      <w:r>
        <w:rPr>
          <w:rFonts w:ascii="Times New Roman" w:hAnsi="Times New Roman"/>
          <w:b w:val="false"/>
          <w:sz w:val="20"/>
        </w:rPr>
        <w:t>(a)</w:t>
      </w:r>
    </w:p>
    <w:p>
      <w:pPr>
        <w:pStyle w:val="TextBody"/>
        <w:spacing w:before="240" w:after="0"/>
        <w:jc w:val="both"/>
        <w:rPr>
          <w:rFonts w:ascii="Calibri;sans-serif" w:hAnsi="Calibri;sans-serif"/>
          <w:b w:val="false"/>
          <w:sz w:val="20"/>
        </w:rPr>
      </w:pPr>
      <w:r>
        <w:rPr>
          <w:rFonts w:ascii="Calibri;sans-serif" w:hAnsi="Calibri;sans-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240" w:after="0"/>
        <w:jc w:val="both"/>
        <w:rPr>
          <w:rFonts w:ascii="Times New Roman" w:hAnsi="Times New Roman"/>
          <w:b w:val="false"/>
          <w:sz w:val="20"/>
        </w:rPr>
      </w:pPr>
      <w:r>
        <w:rPr>
          <w:rFonts w:ascii="Times New Roman" w:hAnsi="Times New Roman"/>
          <w:b w:val="false"/>
          <w:sz w:val="20"/>
        </w:rPr>
        <w:t>(b)</w:t>
      </w:r>
    </w:p>
    <w:p>
      <w:pPr>
        <w:pStyle w:val="TextBody"/>
        <w:spacing w:before="240" w:after="0"/>
        <w:jc w:val="both"/>
        <w:rPr>
          <w:rFonts w:ascii="Calibri;sans-serif" w:hAnsi="Calibri;sans-serif"/>
          <w:b w:val="false"/>
          <w:sz w:val="20"/>
        </w:rPr>
      </w:pPr>
      <w:r>
        <w:rPr>
          <w:rFonts w:ascii="Calibri;sans-serif" w:hAnsi="Calibri;sans-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jc w:val="both"/>
        <w:rPr>
          <w:rFonts w:ascii="Times New Roman" w:hAnsi="Times New Roman"/>
          <w:b w:val="false"/>
          <w:sz w:val="20"/>
        </w:rPr>
      </w:pPr>
      <w:r>
        <w:rPr>
          <w:rFonts w:ascii="Times New Roman" w:hAnsi="Times New Roman"/>
          <w:b w:val="false"/>
          <w:sz w:val="20"/>
        </w:rPr>
        <w:t>(c)</w:t>
      </w:r>
    </w:p>
    <w:p>
      <w:pPr>
        <w:pStyle w:val="TextBody"/>
        <w:spacing w:before="240" w:after="0"/>
        <w:jc w:val="both"/>
        <w:rPr>
          <w:rFonts w:ascii="Calibri;sans-serif" w:hAnsi="Calibri;sans-serif"/>
          <w:b w:val="false"/>
          <w:sz w:val="20"/>
        </w:rPr>
      </w:pPr>
      <w:r>
        <w:rPr>
          <w:rFonts w:ascii="Calibri;sans-serif" w:hAnsi="Calibri;sans-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jc w:val="both"/>
        <w:rPr>
          <w:rFonts w:ascii="Times New Roman" w:hAnsi="Times New Roman"/>
          <w:b w:val="false"/>
          <w:sz w:val="20"/>
        </w:rPr>
      </w:pPr>
      <w:r>
        <w:rPr>
          <w:rFonts w:ascii="Times New Roman" w:hAnsi="Times New Roman"/>
          <w:b w:val="false"/>
          <w:sz w:val="20"/>
        </w:rPr>
        <w:t>(d)</w:t>
      </w:r>
    </w:p>
    <w:p>
      <w:pPr>
        <w:pStyle w:val="TextBody"/>
        <w:spacing w:before="240" w:after="0"/>
        <w:jc w:val="both"/>
        <w:rPr>
          <w:rFonts w:ascii="Calibri;sans-serif" w:hAnsi="Calibri;sans-serif"/>
          <w:b w:val="false"/>
          <w:sz w:val="20"/>
        </w:rPr>
      </w:pPr>
      <w:r>
        <w:rPr>
          <w:rFonts w:ascii="Calibri;sans-serif" w:hAnsi="Calibri;sans-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both"/>
        <w:rPr>
          <w:rFonts w:ascii="Times New Roman" w:hAnsi="Times New Roman"/>
          <w:b w:val="false"/>
          <w:sz w:val="20"/>
        </w:rPr>
      </w:pPr>
      <w:r>
        <w:rPr>
          <w:rFonts w:ascii="Times New Roman" w:hAnsi="Times New Roman"/>
          <w:b w:val="false"/>
          <w:sz w:val="20"/>
        </w:rPr>
        <w:t>5.</w:t>
      </w:r>
    </w:p>
    <w:p>
      <w:pPr>
        <w:pStyle w:val="TextBody"/>
        <w:spacing w:before="240" w:after="0"/>
        <w:jc w:val="both"/>
        <w:rPr>
          <w:rFonts w:ascii="Calibri;sans-serif" w:hAnsi="Calibri;sans-serif"/>
          <w:b w:val="false"/>
          <w:sz w:val="20"/>
        </w:rPr>
      </w:pPr>
      <w:r>
        <w:rPr>
          <w:rFonts w:ascii="Calibri;sans-serif" w:hAnsi="Calibri;sans-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40" w:after="0"/>
        <w:jc w:val="both"/>
        <w:rPr>
          <w:rFonts w:ascii="Times New Roman" w:hAnsi="Times New Roman"/>
          <w:b w:val="false"/>
          <w:sz w:val="20"/>
        </w:rPr>
      </w:pPr>
      <w:r>
        <w:rPr>
          <w:rFonts w:ascii="Times New Roman" w:hAnsi="Times New Roman"/>
          <w:b w:val="false"/>
          <w:sz w:val="20"/>
        </w:rPr>
        <w:t>(a)</w:t>
      </w:r>
    </w:p>
    <w:p>
      <w:pPr>
        <w:pStyle w:val="TextBody"/>
        <w:spacing w:before="240" w:after="0"/>
        <w:jc w:val="both"/>
        <w:rPr>
          <w:rFonts w:ascii="Calibri;sans-serif" w:hAnsi="Calibri;sans-serif"/>
          <w:b w:val="false"/>
          <w:sz w:val="20"/>
        </w:rPr>
      </w:pPr>
      <w:r>
        <w:rPr>
          <w:rFonts w:ascii="Calibri;sans-serif" w:hAnsi="Calibri;sans-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both"/>
        <w:rPr>
          <w:rFonts w:ascii="Times New Roman" w:hAnsi="Times New Roman"/>
          <w:b w:val="false"/>
          <w:sz w:val="20"/>
        </w:rPr>
      </w:pPr>
      <w:r>
        <w:rPr>
          <w:rFonts w:ascii="Times New Roman" w:hAnsi="Times New Roman"/>
          <w:b w:val="false"/>
          <w:sz w:val="20"/>
        </w:rPr>
        <w:t>(b)</w:t>
      </w:r>
    </w:p>
    <w:p>
      <w:pPr>
        <w:pStyle w:val="TextBody"/>
        <w:spacing w:before="240" w:after="283"/>
        <w:jc w:val="both"/>
        <w:rPr>
          <w:rFonts w:ascii="Calibri;sans-serif" w:hAnsi="Calibri;sans-serif"/>
          <w:b w:val="false"/>
          <w:sz w:val="20"/>
        </w:rPr>
      </w:pPr>
      <w:r>
        <w:rPr>
          <w:rFonts w:ascii="Calibri;sans-serif" w:hAnsi="Calibri;sans-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4364" w:type="dxa"/>
        <w:jc w:val="left"/>
        <w:tblInd w:w="0" w:type="dxa"/>
        <w:tblCellMar>
          <w:top w:w="28" w:type="dxa"/>
          <w:left w:w="28" w:type="dxa"/>
          <w:bottom w:w="28" w:type="dxa"/>
          <w:right w:w="28" w:type="dxa"/>
        </w:tblCellMar>
      </w:tblPr>
      <w:tblGrid>
        <w:gridCol w:w="1576"/>
        <w:gridCol w:w="146"/>
        <w:gridCol w:w="346"/>
        <w:gridCol w:w="2296"/>
      </w:tblGrid>
      <w:tr>
        <w:trPr/>
        <w:tc>
          <w:tcPr>
            <w:tcW w:w="15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296" w:type="dxa"/>
            <w:tcBorders/>
            <w:shd w:fill="auto" w:val="clear"/>
            <w:vAlign w:val="center"/>
          </w:tcPr>
          <w:p>
            <w:pPr>
              <w:pStyle w:val="TableContents"/>
              <w:spacing w:before="0" w:after="283"/>
              <w:rPr>
                <w:sz w:val="4"/>
                <w:szCs w:val="4"/>
              </w:rPr>
            </w:pPr>
            <w:r>
              <w:rPr>
                <w:sz w:val="4"/>
                <w:szCs w:val="4"/>
              </w:rPr>
            </w:r>
          </w:p>
        </w:tc>
      </w:tr>
      <w:tr>
        <w:trPr/>
        <w:tc>
          <w:tcPr>
            <w:tcW w:w="15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Date: May 9,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By:</w:t>
            </w:r>
          </w:p>
        </w:tc>
        <w:tc>
          <w:tcPr>
            <w:tcW w:w="229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/s/ Stanley Chia</w:t>
            </w:r>
          </w:p>
        </w:tc>
      </w:tr>
      <w:tr>
        <w:trPr/>
        <w:tc>
          <w:tcPr>
            <w:tcW w:w="157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Stanley Chia</w:t>
            </w:r>
          </w:p>
        </w:tc>
      </w:tr>
      <w:tr>
        <w:trPr/>
        <w:tc>
          <w:tcPr>
            <w:tcW w:w="157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Chief Executive Officer</w:t>
            </w:r>
          </w:p>
        </w:tc>
      </w:tr>
      <w:tr>
        <w:trPr/>
        <w:tc>
          <w:tcPr>
            <w:tcW w:w="15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2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i/>
                <w:sz w:val="20"/>
              </w:rPr>
            </w:pPr>
            <w:r>
              <w:rPr>
                <w:rFonts w:ascii="Calibri;sans-serif" w:hAnsi="Calibri;sans-serif"/>
                <w:b w:val="false"/>
                <w:i/>
                <w:sz w:val="20"/>
              </w:rPr>
              <w:t>(Principal Executive Officer)</w:t>
            </w:r>
          </w:p>
        </w:tc>
      </w:tr>
    </w:tbl>
    <w:p>
      <w:pPr>
        <w:pStyle w:val="TextBody"/>
        <w:spacing w:before="0" w:after="0"/>
        <w:jc w:val="left"/>
        <w:rPr/>
      </w:pPr>
      <w:r>
        <w:rPr/>
        <w:t> </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240" w:after="0"/>
        <w:jc w:val="left"/>
        <w:rPr/>
      </w:pPr>
      <w:r>
        <w:rPr/>
        <w:t> </w:t>
      </w:r>
    </w:p>
    <w:p>
      <w:pPr>
        <w:pStyle w:val="TextBody"/>
        <w:spacing w:before="0" w:after="0"/>
        <w:jc w:val="center"/>
        <w:rPr/>
      </w:pPr>
      <w:r>
        <w:rPr/>
        <w:t> </w:t>
      </w:r>
    </w:p>
    <w:p>
      <w:pPr>
        <w:pStyle w:val="HorizontalLine"/>
        <w:rPr/>
      </w:pPr>
      <w:r>
        <w:rPr/>
      </w:r>
      <w:r>
        <w:br w:type="page"/>
      </w:r>
    </w:p>
    <w:p>
      <w:pPr>
        <w:pStyle w:val="TextBody"/>
        <w:spacing w:before="0" w:after="0"/>
        <w:jc w:val="left"/>
        <w:rPr/>
      </w:pPr>
      <w:bookmarkStart w:id="25" w:name="seat-ex31_2.htm"/>
      <w:bookmarkStart w:id="26" w:name="ksseatex31_2"/>
      <w:bookmarkEnd w:id="25"/>
      <w:bookmarkEnd w:id="26"/>
      <w:r>
        <w:rPr/>
        <w:t> </w:t>
      </w:r>
    </w:p>
    <w:p>
      <w:pPr>
        <w:pStyle w:val="TextBody"/>
        <w:spacing w:before="0" w:after="0"/>
        <w:jc w:val="right"/>
        <w:rPr>
          <w:rFonts w:ascii="Calibri;sans-serif" w:hAnsi="Calibri;sans-serif"/>
          <w:b/>
          <w:sz w:val="20"/>
        </w:rPr>
      </w:pPr>
      <w:r>
        <w:rPr>
          <w:rFonts w:ascii="Calibri;sans-serif" w:hAnsi="Calibri;sans-serif"/>
          <w:b/>
          <w:sz w:val="20"/>
        </w:rPr>
        <w:t>Exhibit 31.2</w:t>
      </w:r>
    </w:p>
    <w:p>
      <w:pPr>
        <w:pStyle w:val="TextBody"/>
        <w:spacing w:before="360" w:after="0"/>
        <w:jc w:val="center"/>
        <w:rPr>
          <w:rFonts w:ascii="Calibri;sans-serif" w:hAnsi="Calibri;sans-serif"/>
          <w:b/>
          <w:sz w:val="20"/>
        </w:rPr>
      </w:pPr>
      <w:r>
        <w:rPr>
          <w:rFonts w:ascii="Calibri;sans-serif" w:hAnsi="Calibri;sans-serif"/>
          <w:b/>
          <w:sz w:val="20"/>
        </w:rPr>
        <w:t>CERTIFICATION PURSUANT TO</w:t>
      </w:r>
    </w:p>
    <w:p>
      <w:pPr>
        <w:pStyle w:val="TextBody"/>
        <w:spacing w:before="0" w:after="0"/>
        <w:jc w:val="center"/>
        <w:rPr>
          <w:rFonts w:ascii="Calibri;sans-serif" w:hAnsi="Calibri;sans-serif"/>
          <w:b/>
          <w:sz w:val="20"/>
        </w:rPr>
      </w:pPr>
      <w:r>
        <w:rPr>
          <w:rFonts w:ascii="Calibri;sans-serif" w:hAnsi="Calibri;sans-serif"/>
          <w:b/>
          <w:sz w:val="20"/>
        </w:rPr>
        <w:t>RULES 13a-14(a) AND 15d-14(a) UNDER THE SECURITIES EXCHANGE ACT OF 1934,</w:t>
      </w:r>
    </w:p>
    <w:p>
      <w:pPr>
        <w:pStyle w:val="TextBody"/>
        <w:spacing w:before="0" w:after="0"/>
        <w:jc w:val="center"/>
        <w:rPr>
          <w:rFonts w:ascii="Calibri;sans-serif" w:hAnsi="Calibri;sans-serif"/>
          <w:b/>
          <w:sz w:val="20"/>
        </w:rPr>
      </w:pPr>
      <w:r>
        <w:rPr>
          <w:rFonts w:ascii="Calibri;sans-serif" w:hAnsi="Calibri;sans-serif"/>
          <w:b/>
          <w:sz w:val="20"/>
        </w:rPr>
        <w:t>AS ADOPTED PURSUANT TO SECTION 302 OF THE SARBANES-OXLEY ACT OF 2002</w:t>
      </w:r>
    </w:p>
    <w:p>
      <w:pPr>
        <w:pStyle w:val="TextBody"/>
        <w:spacing w:before="240" w:after="0"/>
        <w:jc w:val="both"/>
        <w:rPr>
          <w:rFonts w:ascii="Calibri;sans-serif" w:hAnsi="Calibri;sans-serif"/>
          <w:b w:val="false"/>
          <w:sz w:val="20"/>
        </w:rPr>
      </w:pPr>
      <w:r>
        <w:rPr>
          <w:rFonts w:ascii="Calibri;sans-serif" w:hAnsi="Calibri;sans-serif"/>
          <w:b w:val="false"/>
          <w:sz w:val="20"/>
        </w:rPr>
        <w:t>I, Lawrence Fey, certify that:</w:t>
      </w:r>
    </w:p>
    <w:p>
      <w:pPr>
        <w:pStyle w:val="TextBody"/>
        <w:spacing w:before="240" w:after="0"/>
        <w:jc w:val="both"/>
        <w:rPr>
          <w:rFonts w:ascii="Times New Roman" w:hAnsi="Times New Roman"/>
          <w:b w:val="false"/>
          <w:sz w:val="20"/>
        </w:rPr>
      </w:pPr>
      <w:r>
        <w:rPr>
          <w:rFonts w:ascii="Times New Roman" w:hAnsi="Times New Roman"/>
          <w:b w:val="false"/>
          <w:sz w:val="20"/>
        </w:rPr>
        <w:t>1.</w:t>
      </w:r>
    </w:p>
    <w:p>
      <w:pPr>
        <w:pStyle w:val="TextBody"/>
        <w:spacing w:before="240" w:after="0"/>
        <w:jc w:val="both"/>
        <w:rPr>
          <w:rFonts w:ascii="Calibri;sans-serif" w:hAnsi="Calibri;sans-serif"/>
          <w:b w:val="false"/>
          <w:sz w:val="20"/>
        </w:rPr>
      </w:pPr>
      <w:r>
        <w:rPr>
          <w:rFonts w:ascii="Calibri;sans-serif" w:hAnsi="Calibri;sans-serif"/>
          <w:b w:val="false"/>
          <w:sz w:val="20"/>
        </w:rPr>
        <w:t>I have reviewed this Quarterly Report on Form 10-Q for the quarterly period ended March 31, 2023 of Vivid Seats Inc.;</w:t>
      </w:r>
    </w:p>
    <w:p>
      <w:pPr>
        <w:pStyle w:val="TextBody"/>
        <w:spacing w:before="240" w:after="0"/>
        <w:jc w:val="both"/>
        <w:rPr>
          <w:rFonts w:ascii="Times New Roman" w:hAnsi="Times New Roman"/>
          <w:b w:val="false"/>
          <w:sz w:val="20"/>
        </w:rPr>
      </w:pPr>
      <w:r>
        <w:rPr>
          <w:rFonts w:ascii="Times New Roman" w:hAnsi="Times New Roman"/>
          <w:b w:val="false"/>
          <w:sz w:val="20"/>
        </w:rPr>
        <w:t>2.</w:t>
      </w:r>
    </w:p>
    <w:p>
      <w:pPr>
        <w:pStyle w:val="TextBody"/>
        <w:spacing w:before="240" w:after="0"/>
        <w:jc w:val="both"/>
        <w:rPr>
          <w:rFonts w:ascii="Calibri;sans-serif" w:hAnsi="Calibri;sans-serif"/>
          <w:b w:val="false"/>
          <w:sz w:val="20"/>
        </w:rPr>
      </w:pPr>
      <w:r>
        <w:rPr>
          <w:rFonts w:ascii="Calibri;sans-serif" w:hAnsi="Calibri;sans-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both"/>
        <w:rPr>
          <w:rFonts w:ascii="Times New Roman" w:hAnsi="Times New Roman"/>
          <w:b w:val="false"/>
          <w:sz w:val="20"/>
        </w:rPr>
      </w:pPr>
      <w:r>
        <w:rPr>
          <w:rFonts w:ascii="Times New Roman" w:hAnsi="Times New Roman"/>
          <w:b w:val="false"/>
          <w:sz w:val="20"/>
        </w:rPr>
        <w:t>3.</w:t>
      </w:r>
    </w:p>
    <w:p>
      <w:pPr>
        <w:pStyle w:val="TextBody"/>
        <w:spacing w:before="240" w:after="0"/>
        <w:jc w:val="both"/>
        <w:rPr>
          <w:rFonts w:ascii="Calibri;sans-serif" w:hAnsi="Calibri;sans-serif"/>
          <w:b w:val="false"/>
          <w:sz w:val="20"/>
        </w:rPr>
      </w:pPr>
      <w:r>
        <w:rPr>
          <w:rFonts w:ascii="Calibri;sans-serif" w:hAnsi="Calibri;sans-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both"/>
        <w:rPr>
          <w:rFonts w:ascii="Times New Roman" w:hAnsi="Times New Roman"/>
          <w:b w:val="false"/>
          <w:sz w:val="20"/>
        </w:rPr>
      </w:pPr>
      <w:r>
        <w:rPr>
          <w:rFonts w:ascii="Times New Roman" w:hAnsi="Times New Roman"/>
          <w:b w:val="false"/>
          <w:sz w:val="20"/>
        </w:rPr>
        <w:t>4.</w:t>
      </w:r>
    </w:p>
    <w:p>
      <w:pPr>
        <w:pStyle w:val="TextBody"/>
        <w:spacing w:before="240" w:after="0"/>
        <w:jc w:val="both"/>
        <w:rPr>
          <w:rFonts w:ascii="Calibri;sans-serif" w:hAnsi="Calibri;sans-serif"/>
          <w:b w:val="false"/>
          <w:sz w:val="20"/>
        </w:rPr>
      </w:pPr>
      <w:r>
        <w:rPr>
          <w:rFonts w:ascii="Calibri;sans-serif" w:hAnsi="Calibri;sans-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240" w:after="0"/>
        <w:jc w:val="both"/>
        <w:rPr>
          <w:rFonts w:ascii="Times New Roman" w:hAnsi="Times New Roman"/>
          <w:b w:val="false"/>
          <w:sz w:val="20"/>
        </w:rPr>
      </w:pPr>
      <w:r>
        <w:rPr>
          <w:rFonts w:ascii="Times New Roman" w:hAnsi="Times New Roman"/>
          <w:b w:val="false"/>
          <w:sz w:val="20"/>
        </w:rPr>
        <w:t>(a)</w:t>
      </w:r>
    </w:p>
    <w:p>
      <w:pPr>
        <w:pStyle w:val="TextBody"/>
        <w:spacing w:before="240" w:after="0"/>
        <w:jc w:val="both"/>
        <w:rPr>
          <w:rFonts w:ascii="Calibri;sans-serif" w:hAnsi="Calibri;sans-serif"/>
          <w:b w:val="false"/>
          <w:sz w:val="20"/>
        </w:rPr>
      </w:pPr>
      <w:r>
        <w:rPr>
          <w:rFonts w:ascii="Calibri;sans-serif" w:hAnsi="Calibri;sans-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240" w:after="0"/>
        <w:jc w:val="both"/>
        <w:rPr>
          <w:rFonts w:ascii="Times New Roman" w:hAnsi="Times New Roman"/>
          <w:b w:val="false"/>
          <w:sz w:val="20"/>
        </w:rPr>
      </w:pPr>
      <w:r>
        <w:rPr>
          <w:rFonts w:ascii="Times New Roman" w:hAnsi="Times New Roman"/>
          <w:b w:val="false"/>
          <w:sz w:val="20"/>
        </w:rPr>
        <w:t>(b)</w:t>
      </w:r>
    </w:p>
    <w:p>
      <w:pPr>
        <w:pStyle w:val="TextBody"/>
        <w:spacing w:before="240" w:after="0"/>
        <w:jc w:val="both"/>
        <w:rPr>
          <w:rFonts w:ascii="Calibri;sans-serif" w:hAnsi="Calibri;sans-serif"/>
          <w:b w:val="false"/>
          <w:sz w:val="20"/>
        </w:rPr>
      </w:pPr>
      <w:r>
        <w:rPr>
          <w:rFonts w:ascii="Calibri;sans-serif" w:hAnsi="Calibri;sans-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jc w:val="both"/>
        <w:rPr>
          <w:rFonts w:ascii="Times New Roman" w:hAnsi="Times New Roman"/>
          <w:b w:val="false"/>
          <w:sz w:val="20"/>
        </w:rPr>
      </w:pPr>
      <w:r>
        <w:rPr>
          <w:rFonts w:ascii="Times New Roman" w:hAnsi="Times New Roman"/>
          <w:b w:val="false"/>
          <w:sz w:val="20"/>
        </w:rPr>
        <w:t>(c)</w:t>
      </w:r>
    </w:p>
    <w:p>
      <w:pPr>
        <w:pStyle w:val="TextBody"/>
        <w:spacing w:before="240" w:after="0"/>
        <w:jc w:val="both"/>
        <w:rPr>
          <w:rFonts w:ascii="Calibri;sans-serif" w:hAnsi="Calibri;sans-serif"/>
          <w:b w:val="false"/>
          <w:sz w:val="20"/>
        </w:rPr>
      </w:pPr>
      <w:r>
        <w:rPr>
          <w:rFonts w:ascii="Calibri;sans-serif" w:hAnsi="Calibri;sans-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jc w:val="both"/>
        <w:rPr>
          <w:rFonts w:ascii="Times New Roman" w:hAnsi="Times New Roman"/>
          <w:b w:val="false"/>
          <w:sz w:val="20"/>
        </w:rPr>
      </w:pPr>
      <w:r>
        <w:rPr>
          <w:rFonts w:ascii="Times New Roman" w:hAnsi="Times New Roman"/>
          <w:b w:val="false"/>
          <w:sz w:val="20"/>
        </w:rPr>
        <w:t>(d)</w:t>
      </w:r>
    </w:p>
    <w:p>
      <w:pPr>
        <w:pStyle w:val="TextBody"/>
        <w:spacing w:before="240" w:after="0"/>
        <w:jc w:val="both"/>
        <w:rPr>
          <w:rFonts w:ascii="Calibri;sans-serif" w:hAnsi="Calibri;sans-serif"/>
          <w:b w:val="false"/>
          <w:sz w:val="20"/>
        </w:rPr>
      </w:pPr>
      <w:r>
        <w:rPr>
          <w:rFonts w:ascii="Calibri;sans-serif" w:hAnsi="Calibri;sans-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both"/>
        <w:rPr>
          <w:rFonts w:ascii="Times New Roman" w:hAnsi="Times New Roman"/>
          <w:b w:val="false"/>
          <w:sz w:val="20"/>
        </w:rPr>
      </w:pPr>
      <w:r>
        <w:rPr>
          <w:rFonts w:ascii="Times New Roman" w:hAnsi="Times New Roman"/>
          <w:b w:val="false"/>
          <w:sz w:val="20"/>
        </w:rPr>
        <w:t>5.</w:t>
      </w:r>
    </w:p>
    <w:p>
      <w:pPr>
        <w:pStyle w:val="TextBody"/>
        <w:spacing w:before="240" w:after="0"/>
        <w:jc w:val="both"/>
        <w:rPr>
          <w:rFonts w:ascii="Calibri;sans-serif" w:hAnsi="Calibri;sans-serif"/>
          <w:b w:val="false"/>
          <w:sz w:val="20"/>
        </w:rPr>
      </w:pPr>
      <w:r>
        <w:rPr>
          <w:rFonts w:ascii="Calibri;sans-serif" w:hAnsi="Calibri;sans-serif"/>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40" w:after="0"/>
        <w:jc w:val="both"/>
        <w:rPr>
          <w:rFonts w:ascii="Times New Roman" w:hAnsi="Times New Roman"/>
          <w:b w:val="false"/>
          <w:sz w:val="20"/>
        </w:rPr>
      </w:pPr>
      <w:r>
        <w:rPr>
          <w:rFonts w:ascii="Times New Roman" w:hAnsi="Times New Roman"/>
          <w:b w:val="false"/>
          <w:sz w:val="20"/>
        </w:rPr>
        <w:t>(a)</w:t>
      </w:r>
    </w:p>
    <w:p>
      <w:pPr>
        <w:pStyle w:val="TextBody"/>
        <w:spacing w:before="240" w:after="0"/>
        <w:jc w:val="both"/>
        <w:rPr>
          <w:rFonts w:ascii="Calibri;sans-serif" w:hAnsi="Calibri;sans-serif"/>
          <w:b w:val="false"/>
          <w:sz w:val="20"/>
        </w:rPr>
      </w:pPr>
      <w:r>
        <w:rPr>
          <w:rFonts w:ascii="Calibri;sans-serif" w:hAnsi="Calibri;sans-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both"/>
        <w:rPr>
          <w:rFonts w:ascii="Times New Roman" w:hAnsi="Times New Roman"/>
          <w:b w:val="false"/>
          <w:sz w:val="20"/>
        </w:rPr>
      </w:pPr>
      <w:r>
        <w:rPr>
          <w:rFonts w:ascii="Times New Roman" w:hAnsi="Times New Roman"/>
          <w:b w:val="false"/>
          <w:sz w:val="20"/>
        </w:rPr>
        <w:t>(b)</w:t>
      </w:r>
    </w:p>
    <w:p>
      <w:pPr>
        <w:pStyle w:val="TextBody"/>
        <w:spacing w:before="240" w:after="283"/>
        <w:jc w:val="both"/>
        <w:rPr>
          <w:rFonts w:ascii="Calibri;sans-serif" w:hAnsi="Calibri;sans-serif"/>
          <w:b w:val="false"/>
          <w:sz w:val="20"/>
        </w:rPr>
      </w:pPr>
      <w:r>
        <w:rPr>
          <w:rFonts w:ascii="Calibri;sans-serif" w:hAnsi="Calibri;sans-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4349" w:type="dxa"/>
        <w:jc w:val="left"/>
        <w:tblInd w:w="0" w:type="dxa"/>
        <w:tblCellMar>
          <w:top w:w="28" w:type="dxa"/>
          <w:left w:w="28" w:type="dxa"/>
          <w:bottom w:w="28" w:type="dxa"/>
          <w:right w:w="28" w:type="dxa"/>
        </w:tblCellMar>
      </w:tblPr>
      <w:tblGrid>
        <w:gridCol w:w="1576"/>
        <w:gridCol w:w="146"/>
        <w:gridCol w:w="346"/>
        <w:gridCol w:w="2281"/>
      </w:tblGrid>
      <w:tr>
        <w:trPr/>
        <w:tc>
          <w:tcPr>
            <w:tcW w:w="15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281" w:type="dxa"/>
            <w:tcBorders/>
            <w:shd w:fill="auto" w:val="clear"/>
            <w:vAlign w:val="center"/>
          </w:tcPr>
          <w:p>
            <w:pPr>
              <w:pStyle w:val="TableContents"/>
              <w:spacing w:before="0" w:after="283"/>
              <w:rPr>
                <w:sz w:val="4"/>
                <w:szCs w:val="4"/>
              </w:rPr>
            </w:pPr>
            <w:r>
              <w:rPr>
                <w:sz w:val="4"/>
                <w:szCs w:val="4"/>
              </w:rPr>
            </w:r>
          </w:p>
        </w:tc>
      </w:tr>
      <w:tr>
        <w:trPr/>
        <w:tc>
          <w:tcPr>
            <w:tcW w:w="15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Date: May 9,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By:</w:t>
            </w:r>
          </w:p>
        </w:tc>
        <w:tc>
          <w:tcPr>
            <w:tcW w:w="228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/s/ Lawrence Fey</w:t>
            </w:r>
          </w:p>
        </w:tc>
      </w:tr>
      <w:tr>
        <w:trPr/>
        <w:tc>
          <w:tcPr>
            <w:tcW w:w="157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8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Lawrence Fey</w:t>
            </w:r>
          </w:p>
        </w:tc>
      </w:tr>
      <w:tr>
        <w:trPr/>
        <w:tc>
          <w:tcPr>
            <w:tcW w:w="157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8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Chief Financial Officer</w:t>
            </w:r>
          </w:p>
        </w:tc>
      </w:tr>
      <w:tr>
        <w:trPr/>
        <w:tc>
          <w:tcPr>
            <w:tcW w:w="15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28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i/>
                <w:sz w:val="20"/>
              </w:rPr>
            </w:pPr>
            <w:r>
              <w:rPr>
                <w:rFonts w:ascii="Calibri;sans-serif" w:hAnsi="Calibri;sans-serif"/>
                <w:b w:val="false"/>
                <w:i/>
                <w:sz w:val="20"/>
              </w:rPr>
              <w:t>(Principal Financial Officer)</w:t>
            </w:r>
          </w:p>
        </w:tc>
      </w:tr>
    </w:tbl>
    <w:p>
      <w:pPr>
        <w:pStyle w:val="TextBody"/>
        <w:spacing w:before="0" w:after="0"/>
        <w:jc w:val="left"/>
        <w:rPr/>
      </w:pPr>
      <w:r>
        <w:rPr/>
        <w:t> </w:t>
      </w:r>
    </w:p>
    <w:p>
      <w:pPr>
        <w:pStyle w:val="TextBody"/>
        <w:spacing w:before="0" w:after="0"/>
        <w:jc w:val="center"/>
        <w:rPr/>
      </w:pPr>
      <w:r>
        <w:rPr/>
        <w:t> </w:t>
      </w:r>
    </w:p>
    <w:p>
      <w:pPr>
        <w:pStyle w:val="HorizontalLine"/>
        <w:rPr/>
      </w:pPr>
      <w:r>
        <w:rPr/>
      </w:r>
      <w:r>
        <w:br w:type="page"/>
      </w:r>
    </w:p>
    <w:p>
      <w:pPr>
        <w:pStyle w:val="TextBody"/>
        <w:spacing w:before="0" w:after="0"/>
        <w:jc w:val="left"/>
        <w:rPr/>
      </w:pPr>
      <w:bookmarkStart w:id="27" w:name="seat-ex32_1.htm"/>
      <w:bookmarkStart w:id="28" w:name="ksseatex32_1"/>
      <w:bookmarkEnd w:id="27"/>
      <w:bookmarkEnd w:id="28"/>
      <w:r>
        <w:rPr/>
        <w:t> </w:t>
      </w:r>
    </w:p>
    <w:p>
      <w:pPr>
        <w:pStyle w:val="TextBody"/>
        <w:spacing w:before="0" w:after="0"/>
        <w:jc w:val="right"/>
        <w:rPr>
          <w:rFonts w:ascii="Calibri;sans-serif" w:hAnsi="Calibri;sans-serif"/>
          <w:b/>
          <w:sz w:val="20"/>
        </w:rPr>
      </w:pPr>
      <w:r>
        <w:rPr>
          <w:rFonts w:ascii="Calibri;sans-serif" w:hAnsi="Calibri;sans-serif"/>
          <w:b/>
          <w:sz w:val="20"/>
        </w:rPr>
        <w:t>Exhibit 32.1</w:t>
      </w:r>
    </w:p>
    <w:p>
      <w:pPr>
        <w:pStyle w:val="TextBody"/>
        <w:spacing w:before="360" w:after="0"/>
        <w:jc w:val="center"/>
        <w:rPr>
          <w:rFonts w:ascii="Calibri;sans-serif" w:hAnsi="Calibri;sans-serif"/>
          <w:b/>
          <w:sz w:val="20"/>
        </w:rPr>
      </w:pPr>
      <w:r>
        <w:rPr>
          <w:rFonts w:ascii="Calibri;sans-serif" w:hAnsi="Calibri;sans-serif"/>
          <w:b/>
          <w:sz w:val="20"/>
        </w:rPr>
        <w:t>CERTIFICATION PURSUANT TO</w:t>
      </w:r>
    </w:p>
    <w:p>
      <w:pPr>
        <w:pStyle w:val="TextBody"/>
        <w:spacing w:before="0" w:after="0"/>
        <w:jc w:val="center"/>
        <w:rPr>
          <w:rFonts w:ascii="Calibri;sans-serif" w:hAnsi="Calibri;sans-serif"/>
          <w:b/>
          <w:sz w:val="20"/>
        </w:rPr>
      </w:pPr>
      <w:r>
        <w:rPr>
          <w:rFonts w:ascii="Calibri;sans-serif" w:hAnsi="Calibri;sans-serif"/>
          <w:b/>
          <w:sz w:val="20"/>
        </w:rPr>
        <w:t>18 U.S.C. SECTION 1350, AS ADOPTED PURSUANT TO</w:t>
      </w:r>
    </w:p>
    <w:p>
      <w:pPr>
        <w:pStyle w:val="TextBody"/>
        <w:spacing w:before="0" w:after="0"/>
        <w:jc w:val="center"/>
        <w:rPr>
          <w:rFonts w:ascii="Calibri;sans-serif" w:hAnsi="Calibri;sans-serif"/>
          <w:b/>
          <w:sz w:val="20"/>
        </w:rPr>
      </w:pPr>
      <w:r>
        <w:rPr>
          <w:rFonts w:ascii="Calibri;sans-serif" w:hAnsi="Calibri;sans-serif"/>
          <w:b/>
          <w:sz w:val="20"/>
        </w:rPr>
        <w:t>SECTION 906 OF THE SARBANES-OXLEY ACT OF 2002</w:t>
      </w:r>
    </w:p>
    <w:p>
      <w:pPr>
        <w:pStyle w:val="TextBody"/>
        <w:spacing w:before="240" w:after="0"/>
        <w:jc w:val="both"/>
        <w:rPr>
          <w:rFonts w:ascii="Calibri;sans-serif" w:hAnsi="Calibri;sans-serif"/>
          <w:b w:val="false"/>
          <w:sz w:val="20"/>
        </w:rPr>
      </w:pPr>
      <w:r>
        <w:rPr>
          <w:rFonts w:ascii="Calibri;sans-serif" w:hAnsi="Calibri;sans-serif"/>
          <w:b w:val="false"/>
          <w:sz w:val="20"/>
        </w:rPr>
        <w:t>In connection with the Quarterly Report of Vivid Seats Inc. (the “Company”) on Form 10-Q for the period ending March 31, 2023 as filed with the Securities and Exchange Commission on the date hereof (the “Report”), I, Stanley Chia, Chief Executive Officer of the Company, certify, pursuant to 18 U.S.C. § 1350, as adopted pursuant to § 906 of the Sarbanes-Oxley Act of 2002, that, to such officer's knowledge:</w:t>
      </w:r>
    </w:p>
    <w:p>
      <w:pPr>
        <w:pStyle w:val="TextBody"/>
        <w:spacing w:before="240" w:after="0"/>
        <w:jc w:val="both"/>
        <w:rPr>
          <w:rFonts w:ascii="Times New Roman" w:hAnsi="Times New Roman"/>
          <w:b w:val="false"/>
          <w:sz w:val="20"/>
        </w:rPr>
      </w:pPr>
      <w:r>
        <w:rPr>
          <w:rFonts w:ascii="Times New Roman" w:hAnsi="Times New Roman"/>
          <w:b w:val="false"/>
          <w:sz w:val="20"/>
        </w:rPr>
        <w:t>(1)</w:t>
      </w:r>
    </w:p>
    <w:p>
      <w:pPr>
        <w:pStyle w:val="TextBody"/>
        <w:spacing w:before="240" w:after="0"/>
        <w:jc w:val="both"/>
        <w:rPr>
          <w:rFonts w:ascii="Calibri;sans-serif" w:hAnsi="Calibri;sans-serif"/>
          <w:b w:val="false"/>
          <w:sz w:val="20"/>
        </w:rPr>
      </w:pPr>
      <w:r>
        <w:rPr>
          <w:rFonts w:ascii="Calibri;sans-serif" w:hAnsi="Calibri;sans-serif"/>
          <w:b w:val="false"/>
          <w:sz w:val="20"/>
        </w:rPr>
        <w:t>The Report fully complies with the requirements of section 13(a) or 15(d) of the Securities Exchange Act of 1934; and</w:t>
      </w:r>
    </w:p>
    <w:p>
      <w:pPr>
        <w:pStyle w:val="TextBody"/>
        <w:spacing w:before="240" w:after="0"/>
        <w:jc w:val="both"/>
        <w:rPr>
          <w:rFonts w:ascii="Times New Roman" w:hAnsi="Times New Roman"/>
          <w:b w:val="false"/>
          <w:sz w:val="20"/>
        </w:rPr>
      </w:pPr>
      <w:r>
        <w:rPr>
          <w:rFonts w:ascii="Times New Roman" w:hAnsi="Times New Roman"/>
          <w:b w:val="false"/>
          <w:sz w:val="20"/>
        </w:rPr>
        <w:t>(2)</w:t>
      </w:r>
    </w:p>
    <w:p>
      <w:pPr>
        <w:pStyle w:val="TextBody"/>
        <w:spacing w:before="240" w:after="283"/>
        <w:jc w:val="both"/>
        <w:rPr>
          <w:rFonts w:ascii="Calibri;sans-serif" w:hAnsi="Calibri;sans-serif"/>
          <w:b w:val="false"/>
          <w:sz w:val="20"/>
        </w:rPr>
      </w:pPr>
      <w:r>
        <w:rPr>
          <w:rFonts w:ascii="Calibri;sans-serif" w:hAnsi="Calibri;sans-serif"/>
          <w:b w:val="false"/>
          <w:sz w:val="20"/>
        </w:rPr>
        <w:t>The information contained in the Report fairly presents, in all material respects, the financial condition and result of operations of the Company.</w:t>
      </w:r>
    </w:p>
    <w:p>
      <w:pPr>
        <w:pStyle w:val="TextBody"/>
        <w:spacing w:before="0" w:after="0"/>
        <w:jc w:val="left"/>
        <w:rPr/>
      </w:pPr>
      <w:r>
        <w:rPr/>
        <w:t> </w:t>
      </w:r>
    </w:p>
    <w:tbl>
      <w:tblPr>
        <w:tblW w:w="4364" w:type="dxa"/>
        <w:jc w:val="left"/>
        <w:tblInd w:w="0" w:type="dxa"/>
        <w:tblCellMar>
          <w:top w:w="28" w:type="dxa"/>
          <w:left w:w="28" w:type="dxa"/>
          <w:bottom w:w="28" w:type="dxa"/>
          <w:right w:w="28" w:type="dxa"/>
        </w:tblCellMar>
      </w:tblPr>
      <w:tblGrid>
        <w:gridCol w:w="1576"/>
        <w:gridCol w:w="146"/>
        <w:gridCol w:w="346"/>
        <w:gridCol w:w="2296"/>
      </w:tblGrid>
      <w:tr>
        <w:trPr/>
        <w:tc>
          <w:tcPr>
            <w:tcW w:w="15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296" w:type="dxa"/>
            <w:tcBorders/>
            <w:shd w:fill="auto" w:val="clear"/>
            <w:vAlign w:val="center"/>
          </w:tcPr>
          <w:p>
            <w:pPr>
              <w:pStyle w:val="TableContents"/>
              <w:spacing w:before="0" w:after="283"/>
              <w:rPr>
                <w:sz w:val="4"/>
                <w:szCs w:val="4"/>
              </w:rPr>
            </w:pPr>
            <w:r>
              <w:rPr>
                <w:sz w:val="4"/>
                <w:szCs w:val="4"/>
              </w:rPr>
            </w:r>
          </w:p>
        </w:tc>
      </w:tr>
      <w:tr>
        <w:trPr/>
        <w:tc>
          <w:tcPr>
            <w:tcW w:w="15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Date: May 9,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By:</w:t>
            </w:r>
          </w:p>
        </w:tc>
        <w:tc>
          <w:tcPr>
            <w:tcW w:w="229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/s/ Stanley Chia</w:t>
            </w:r>
          </w:p>
        </w:tc>
      </w:tr>
      <w:tr>
        <w:trPr/>
        <w:tc>
          <w:tcPr>
            <w:tcW w:w="157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Stanley Chia</w:t>
            </w:r>
          </w:p>
        </w:tc>
      </w:tr>
      <w:tr>
        <w:trPr/>
        <w:tc>
          <w:tcPr>
            <w:tcW w:w="157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Chief Executive Officer</w:t>
            </w:r>
          </w:p>
        </w:tc>
      </w:tr>
      <w:tr>
        <w:trPr/>
        <w:tc>
          <w:tcPr>
            <w:tcW w:w="15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29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i/>
                <w:sz w:val="20"/>
              </w:rPr>
            </w:pPr>
            <w:r>
              <w:rPr>
                <w:rFonts w:ascii="Calibri;sans-serif" w:hAnsi="Calibri;sans-serif"/>
                <w:b w:val="false"/>
                <w:i/>
                <w:sz w:val="20"/>
              </w:rPr>
              <w:t>(Principal Executive Officer)</w:t>
            </w:r>
          </w:p>
        </w:tc>
      </w:tr>
    </w:tbl>
    <w:p>
      <w:pPr>
        <w:pStyle w:val="TextBody"/>
        <w:spacing w:before="0" w:after="0"/>
        <w:jc w:val="left"/>
        <w:rPr/>
      </w:pPr>
      <w:r>
        <w:rPr/>
        <w:t> </w:t>
      </w:r>
    </w:p>
    <w:p>
      <w:pPr>
        <w:pStyle w:val="TextBody"/>
        <w:spacing w:before="240" w:after="0"/>
        <w:jc w:val="both"/>
        <w:rPr>
          <w:rFonts w:ascii="Calibri;sans-serif" w:hAnsi="Calibri;sans-serif"/>
          <w:b w:val="false"/>
          <w:sz w:val="20"/>
        </w:rPr>
      </w:pPr>
      <w:r>
        <w:rPr>
          <w:rFonts w:ascii="Calibri;sans-serif" w:hAnsi="Calibri;sans-serif"/>
          <w:b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spacing w:before="240" w:after="0"/>
        <w:jc w:val="both"/>
        <w:rPr>
          <w:rFonts w:ascii="Times New Roman" w:hAnsi="Times New Roman"/>
          <w:sz w:val="20"/>
        </w:rPr>
      </w:pPr>
      <w:r>
        <w:rPr>
          <w:rFonts w:ascii="Calibri;sans-serif" w:hAnsi="Calibri;sans-serif"/>
          <w:b w:val="false"/>
          <w:sz w:val="20"/>
        </w:rPr>
        <w:t>The foregoing certification is being furnished solely pursuant to 18 U.S.C. § 1350 and is not being filed as a part of this report or on a separate disclosure document.</w:t>
      </w:r>
      <w:r>
        <w:rPr>
          <w:rFonts w:ascii="Times New Roman" w:hAnsi="Times New Roman"/>
          <w:sz w:val="20"/>
        </w:rPr>
        <w:t xml:space="preserve"> </w:t>
      </w:r>
    </w:p>
    <w:p>
      <w:pPr>
        <w:pStyle w:val="TextBody"/>
        <w:spacing w:before="0" w:after="0"/>
        <w:jc w:val="center"/>
        <w:rPr/>
      </w:pPr>
      <w:r>
        <w:rPr/>
        <w:t> </w:t>
      </w:r>
    </w:p>
    <w:p>
      <w:pPr>
        <w:pStyle w:val="HorizontalLine"/>
        <w:rPr/>
      </w:pPr>
      <w:r>
        <w:rPr/>
      </w:r>
      <w:r>
        <w:br w:type="page"/>
      </w:r>
    </w:p>
    <w:p>
      <w:pPr>
        <w:pStyle w:val="TextBody"/>
        <w:spacing w:before="0" w:after="0"/>
        <w:jc w:val="left"/>
        <w:rPr/>
      </w:pPr>
      <w:bookmarkStart w:id="29" w:name="seat-ex32_2.htm"/>
      <w:bookmarkStart w:id="30" w:name="ksseatex32_2"/>
      <w:bookmarkEnd w:id="29"/>
      <w:bookmarkEnd w:id="30"/>
      <w:r>
        <w:rPr/>
        <w:t> </w:t>
      </w:r>
    </w:p>
    <w:p>
      <w:pPr>
        <w:pStyle w:val="TextBody"/>
        <w:spacing w:before="0" w:after="0"/>
        <w:jc w:val="right"/>
        <w:rPr>
          <w:rFonts w:ascii="Calibri;sans-serif" w:hAnsi="Calibri;sans-serif"/>
          <w:b/>
          <w:sz w:val="20"/>
        </w:rPr>
      </w:pPr>
      <w:r>
        <w:rPr>
          <w:rFonts w:ascii="Calibri;sans-serif" w:hAnsi="Calibri;sans-serif"/>
          <w:b/>
          <w:sz w:val="20"/>
        </w:rPr>
        <w:t>Exhibit 32.2</w:t>
      </w:r>
    </w:p>
    <w:p>
      <w:pPr>
        <w:pStyle w:val="TextBody"/>
        <w:spacing w:before="360" w:after="0"/>
        <w:jc w:val="center"/>
        <w:rPr>
          <w:rFonts w:ascii="Calibri;sans-serif" w:hAnsi="Calibri;sans-serif"/>
          <w:b/>
          <w:sz w:val="20"/>
        </w:rPr>
      </w:pPr>
      <w:r>
        <w:rPr>
          <w:rFonts w:ascii="Calibri;sans-serif" w:hAnsi="Calibri;sans-serif"/>
          <w:b/>
          <w:sz w:val="20"/>
        </w:rPr>
        <w:t>CERTIFICATION PURSUANT TO</w:t>
      </w:r>
    </w:p>
    <w:p>
      <w:pPr>
        <w:pStyle w:val="TextBody"/>
        <w:spacing w:before="0" w:after="0"/>
        <w:jc w:val="center"/>
        <w:rPr>
          <w:rFonts w:ascii="Calibri;sans-serif" w:hAnsi="Calibri;sans-serif"/>
          <w:b/>
          <w:sz w:val="20"/>
        </w:rPr>
      </w:pPr>
      <w:r>
        <w:rPr>
          <w:rFonts w:ascii="Calibri;sans-serif" w:hAnsi="Calibri;sans-serif"/>
          <w:b/>
          <w:sz w:val="20"/>
        </w:rPr>
        <w:t>18 U.S.C. SECTION 1350, AS ADOPTED PURSUANT TO</w:t>
      </w:r>
    </w:p>
    <w:p>
      <w:pPr>
        <w:pStyle w:val="TextBody"/>
        <w:spacing w:before="0" w:after="0"/>
        <w:jc w:val="center"/>
        <w:rPr>
          <w:rFonts w:ascii="Calibri;sans-serif" w:hAnsi="Calibri;sans-serif"/>
          <w:b/>
          <w:sz w:val="20"/>
        </w:rPr>
      </w:pPr>
      <w:r>
        <w:rPr>
          <w:rFonts w:ascii="Calibri;sans-serif" w:hAnsi="Calibri;sans-serif"/>
          <w:b/>
          <w:sz w:val="20"/>
        </w:rPr>
        <w:t>SECTION 906 OF THE SARBANES-OXLEY ACT OF 2002</w:t>
      </w:r>
    </w:p>
    <w:p>
      <w:pPr>
        <w:pStyle w:val="TextBody"/>
        <w:spacing w:before="240" w:after="0"/>
        <w:jc w:val="both"/>
        <w:rPr>
          <w:rFonts w:ascii="Calibri;sans-serif" w:hAnsi="Calibri;sans-serif"/>
          <w:b w:val="false"/>
          <w:sz w:val="20"/>
        </w:rPr>
      </w:pPr>
      <w:r>
        <w:rPr>
          <w:rFonts w:ascii="Calibri;sans-serif" w:hAnsi="Calibri;sans-serif"/>
          <w:b w:val="false"/>
          <w:sz w:val="20"/>
        </w:rPr>
        <w:t>In connection with the Quarterly Report of Vivid Seats Inc. (the “Company”) on Form 10-Q for the period ending March 31, 2023 as filed with the Securities and Exchange Commission on the date hereof (the “Report”), I, Lawrence Fey, Chief Financial Officer of the Company, certify, pursuant to 18 U.S.C. § 1350, as adopted pursuant to § 906 of the Sarbanes-Oxley Act of 2002, that, to such officer's knowledge:</w:t>
      </w:r>
    </w:p>
    <w:p>
      <w:pPr>
        <w:pStyle w:val="TextBody"/>
        <w:spacing w:before="240" w:after="0"/>
        <w:jc w:val="both"/>
        <w:rPr>
          <w:rFonts w:ascii="Times New Roman" w:hAnsi="Times New Roman"/>
          <w:b w:val="false"/>
          <w:sz w:val="20"/>
        </w:rPr>
      </w:pPr>
      <w:r>
        <w:rPr>
          <w:rFonts w:ascii="Times New Roman" w:hAnsi="Times New Roman"/>
          <w:b w:val="false"/>
          <w:sz w:val="20"/>
        </w:rPr>
        <w:t>(1)</w:t>
      </w:r>
    </w:p>
    <w:p>
      <w:pPr>
        <w:pStyle w:val="TextBody"/>
        <w:spacing w:before="240" w:after="0"/>
        <w:jc w:val="both"/>
        <w:rPr>
          <w:rFonts w:ascii="Calibri;sans-serif" w:hAnsi="Calibri;sans-serif"/>
          <w:b w:val="false"/>
          <w:sz w:val="20"/>
        </w:rPr>
      </w:pPr>
      <w:r>
        <w:rPr>
          <w:rFonts w:ascii="Calibri;sans-serif" w:hAnsi="Calibri;sans-serif"/>
          <w:b w:val="false"/>
          <w:sz w:val="20"/>
        </w:rPr>
        <w:t>The Report fully complies with the requirements of section 13(a) or 15(d) of the Securities Exchange Act of 1934; and</w:t>
      </w:r>
    </w:p>
    <w:p>
      <w:pPr>
        <w:pStyle w:val="TextBody"/>
        <w:spacing w:before="240" w:after="0"/>
        <w:jc w:val="both"/>
        <w:rPr>
          <w:rFonts w:ascii="Times New Roman" w:hAnsi="Times New Roman"/>
          <w:b w:val="false"/>
          <w:sz w:val="20"/>
        </w:rPr>
      </w:pPr>
      <w:r>
        <w:rPr>
          <w:rFonts w:ascii="Times New Roman" w:hAnsi="Times New Roman"/>
          <w:b w:val="false"/>
          <w:sz w:val="20"/>
        </w:rPr>
        <w:t>(2)</w:t>
      </w:r>
    </w:p>
    <w:p>
      <w:pPr>
        <w:pStyle w:val="TextBody"/>
        <w:spacing w:before="240" w:after="283"/>
        <w:jc w:val="both"/>
        <w:rPr>
          <w:rFonts w:ascii="Calibri;sans-serif" w:hAnsi="Calibri;sans-serif"/>
          <w:b w:val="false"/>
          <w:sz w:val="20"/>
        </w:rPr>
      </w:pPr>
      <w:r>
        <w:rPr>
          <w:rFonts w:ascii="Calibri;sans-serif" w:hAnsi="Calibri;sans-serif"/>
          <w:b w:val="false"/>
          <w:sz w:val="20"/>
        </w:rPr>
        <w:t>The information contained in the Report fairly presents, in all material respects, the financial condition and result of operations of the Company.</w:t>
      </w:r>
    </w:p>
    <w:p>
      <w:pPr>
        <w:pStyle w:val="TextBody"/>
        <w:spacing w:before="0" w:after="0"/>
        <w:jc w:val="left"/>
        <w:rPr/>
      </w:pPr>
      <w:r>
        <w:rPr/>
        <w:t> </w:t>
      </w:r>
    </w:p>
    <w:tbl>
      <w:tblPr>
        <w:tblW w:w="4349" w:type="dxa"/>
        <w:jc w:val="left"/>
        <w:tblInd w:w="0" w:type="dxa"/>
        <w:tblCellMar>
          <w:top w:w="28" w:type="dxa"/>
          <w:left w:w="28" w:type="dxa"/>
          <w:bottom w:w="28" w:type="dxa"/>
          <w:right w:w="28" w:type="dxa"/>
        </w:tblCellMar>
      </w:tblPr>
      <w:tblGrid>
        <w:gridCol w:w="1576"/>
        <w:gridCol w:w="146"/>
        <w:gridCol w:w="346"/>
        <w:gridCol w:w="2281"/>
      </w:tblGrid>
      <w:tr>
        <w:trPr/>
        <w:tc>
          <w:tcPr>
            <w:tcW w:w="15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281" w:type="dxa"/>
            <w:tcBorders/>
            <w:shd w:fill="auto" w:val="clear"/>
            <w:vAlign w:val="center"/>
          </w:tcPr>
          <w:p>
            <w:pPr>
              <w:pStyle w:val="TableContents"/>
              <w:spacing w:before="0" w:after="283"/>
              <w:rPr>
                <w:sz w:val="4"/>
                <w:szCs w:val="4"/>
              </w:rPr>
            </w:pPr>
            <w:r>
              <w:rPr>
                <w:sz w:val="4"/>
                <w:szCs w:val="4"/>
              </w:rPr>
            </w:r>
          </w:p>
        </w:tc>
      </w:tr>
      <w:tr>
        <w:trPr/>
        <w:tc>
          <w:tcPr>
            <w:tcW w:w="15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Date: May 9,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Calibri;sans-serif" w:hAnsi="Calibri;sans-serif"/>
                <w:b w:val="false"/>
                <w:sz w:val="20"/>
              </w:rPr>
            </w:pPr>
            <w:r>
              <w:rPr>
                <w:rFonts w:ascii="Calibri;sans-serif" w:hAnsi="Calibri;sans-serif"/>
                <w:b w:val="false"/>
                <w:sz w:val="20"/>
              </w:rPr>
              <w:t>By:</w:t>
            </w:r>
          </w:p>
        </w:tc>
        <w:tc>
          <w:tcPr>
            <w:tcW w:w="228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Calibri;sans-serif" w:hAnsi="Calibri;sans-serif"/>
                <w:b w:val="false"/>
                <w:sz w:val="20"/>
              </w:rPr>
            </w:pPr>
            <w:r>
              <w:rPr>
                <w:rFonts w:ascii="Calibri;sans-serif" w:hAnsi="Calibri;sans-serif"/>
                <w:b w:val="false"/>
                <w:sz w:val="20"/>
              </w:rPr>
              <w:t>/s/ Lawrence Fey</w:t>
            </w:r>
          </w:p>
        </w:tc>
      </w:tr>
      <w:tr>
        <w:trPr/>
        <w:tc>
          <w:tcPr>
            <w:tcW w:w="157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8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Lawrence Fey</w:t>
            </w:r>
          </w:p>
        </w:tc>
      </w:tr>
      <w:tr>
        <w:trPr/>
        <w:tc>
          <w:tcPr>
            <w:tcW w:w="157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28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sz w:val="20"/>
              </w:rPr>
            </w:pPr>
            <w:r>
              <w:rPr>
                <w:rFonts w:ascii="Calibri;sans-serif" w:hAnsi="Calibri;sans-serif"/>
                <w:b/>
                <w:sz w:val="20"/>
              </w:rPr>
              <w:t>Chief Financial Officer</w:t>
            </w:r>
          </w:p>
        </w:tc>
      </w:tr>
      <w:tr>
        <w:trPr/>
        <w:tc>
          <w:tcPr>
            <w:tcW w:w="15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28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Calibri;sans-serif" w:hAnsi="Calibri;sans-serif"/>
                <w:b w:val="false"/>
                <w:i/>
                <w:sz w:val="20"/>
              </w:rPr>
            </w:pPr>
            <w:r>
              <w:rPr>
                <w:rFonts w:ascii="Calibri;sans-serif" w:hAnsi="Calibri;sans-serif"/>
                <w:b w:val="false"/>
                <w:i/>
                <w:sz w:val="20"/>
              </w:rPr>
              <w:t>(Principal Financial Officer)</w:t>
            </w:r>
          </w:p>
        </w:tc>
      </w:tr>
    </w:tbl>
    <w:p>
      <w:pPr>
        <w:pStyle w:val="TextBody"/>
        <w:spacing w:before="0" w:after="0"/>
        <w:jc w:val="left"/>
        <w:rPr/>
      </w:pPr>
      <w:r>
        <w:rPr/>
        <w:t> </w:t>
      </w:r>
    </w:p>
    <w:p>
      <w:pPr>
        <w:pStyle w:val="TextBody"/>
        <w:spacing w:before="240" w:after="0"/>
        <w:jc w:val="both"/>
        <w:rPr>
          <w:rFonts w:ascii="Calibri;sans-serif" w:hAnsi="Calibri;sans-serif"/>
          <w:b w:val="false"/>
          <w:sz w:val="20"/>
        </w:rPr>
      </w:pPr>
      <w:r>
        <w:rPr>
          <w:rFonts w:ascii="Calibri;sans-serif" w:hAnsi="Calibri;sans-serif"/>
          <w:b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spacing w:before="240" w:after="0"/>
        <w:jc w:val="both"/>
        <w:rPr>
          <w:rFonts w:ascii="Times New Roman" w:hAnsi="Times New Roman"/>
          <w:sz w:val="20"/>
        </w:rPr>
      </w:pPr>
      <w:r>
        <w:rPr>
          <w:rFonts w:ascii="Calibri;sans-serif" w:hAnsi="Calibri;sans-serif"/>
          <w:b w:val="false"/>
          <w:sz w:val="20"/>
        </w:rPr>
        <w:t>The foregoing certification is being furnished solely pursuant to 18 U.S.C. § 1350 and is not being filed as a part of this report or on a separate disclosure document.</w:t>
      </w:r>
      <w:r>
        <w:rPr>
          <w:rFonts w:ascii="Times New Roman" w:hAnsi="Times New Roman"/>
          <w:sz w:val="20"/>
        </w:rPr>
        <w:t xml:space="preserve"> </w:t>
      </w:r>
    </w:p>
    <w:p>
      <w:pPr>
        <w:pStyle w:val="TextBody"/>
        <w:spacing w:before="0" w:after="0"/>
        <w:jc w:val="center"/>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Calibri">
    <w:altName w:val="sans-serif"/>
    <w:charset w:val="00"/>
    <w:family w:val="auto"/>
    <w:pitch w:val="default"/>
  </w:font>
  <w:font w:name="Times New Roman">
    <w:charset w:val="00"/>
    <w:family w:val="auto"/>
    <w:pitch w:val="default"/>
  </w:font>
  <w:font w:name="Calibri">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6031/000119312521175583/d447259dex22.htm" TargetMode="External"/><Relationship Id="rId3" Type="http://schemas.openxmlformats.org/officeDocument/2006/relationships/hyperlink" Target="https://www.sec.gov/Archives/edgar/data/0001856031/000095017021004585/seat-ex2_3.htm" TargetMode="External"/><Relationship Id="rId4" Type="http://schemas.openxmlformats.org/officeDocument/2006/relationships/hyperlink" Target="https://www.sec.gov/Archives/edgar/data/0001856031/000119312521305506/d216055dex31.htm" TargetMode="External"/><Relationship Id="rId5" Type="http://schemas.openxmlformats.org/officeDocument/2006/relationships/hyperlink" Target="https://www.sec.gov/Archives/edgar/data/1856031/000095017022008705/seat-ex3_2.htm" TargetMode="External"/><Relationship Id="rId6" Type="http://schemas.openxmlformats.org/officeDocument/2006/relationships/hyperlink" Target="https://www.sec.gov/Archives/edgar/data/0001856031/000119312521305506/d216055dex32.htm" TargetMode="External"/><Relationship Id="rId7" Type="http://schemas.openxmlformats.org/officeDocument/2006/relationships/hyperlink" Target="https://www.sec.gov/Archives/edgar/data/0001856031/000119312521305506/d216055dex107.htm" TargetMode="External"/><Relationship Id="rId8" Type="http://schemas.openxmlformats.org/officeDocument/2006/relationships/hyperlink" Target="https://www.sec.gov/Archives/edgar/data/1856031/000095017022003749/seat-ex4_2.htm" TargetMode="External"/><Relationship Id="rId9" Type="http://schemas.openxmlformats.org/officeDocument/2006/relationships/hyperlink" Target="https://www.sec.gov/Archives/edgar/data/1856031/000095017022003749/seat-ex4_3.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16610</Words>
  <CharactersWithSpaces>108881</CharactersWithSpaces>
  <Paragraphs>4870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