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Arnett Austin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w:t>
            </w:r>
            <w:r>
              <w:rPr>
                <w:rFonts w:ascii="Times;serif" w:hAnsi="Times;serif"/>
                <w:color w:val="008000"/>
                <w:position w:val="7"/>
                <w:sz w:val="16"/>
                <w:sz w:val="20"/>
                <w:shd w:fill="FFFFFF" w:val="clear"/>
              </w:rPr>
              <w:t>(2)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pursuant to a mandatory "sell to cover" provision of the RSU agreement to satisfy tax withholding obligations arising in connection with the vesting and settlement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vested on August 12, 2024. The remainder of the RSUs vested in equal quarterly installments such that they fully vested on August 12, 2026.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Arnett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581"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3607</Characters>
  <CharactersWithSpaces>4201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