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2023</w:t>
      </w:r>
    </w:p>
    <w:p>
      <w:pPr>
        <w:jc w:val="center"/>
        <w:spacing w:after="0"/>
        <w:rPr>
          <w:sz w:val="20"/>
          <w:szCs w:val="20"/>
          <w:color w:val="auto"/>
        </w:rPr>
      </w:pPr>
      <w:r>
        <w:rPr>
          <w:rFonts w:ascii="Arial" w:cs="Arial" w:eastAsia="Arial" w:hAnsi="Arial"/>
          <w:sz w:val="14"/>
          <w:szCs w:val="14"/>
          <w:b w:val="1"/>
          <w:bCs w:val="1"/>
          <w:color w:val="auto"/>
        </w:rPr>
        <w:t>OR</w:t>
      </w:r>
    </w:p>
    <w:p>
      <w:pPr>
        <w:spacing w:after="0" w:line="30" w:lineRule="exact"/>
        <w:rPr>
          <w:sz w:val="24"/>
          <w:szCs w:val="24"/>
          <w:color w:val="auto"/>
        </w:rPr>
      </w:pPr>
    </w:p>
    <w:p>
      <w:pPr>
        <w:ind w:left="20"/>
        <w:spacing w:after="0"/>
        <w:tabs>
          <w:tab w:leader="none" w:pos="48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4"/>
          <w:szCs w:val="14"/>
          <w:b w:val="1"/>
          <w:bCs w:val="1"/>
          <w:color w:val="auto"/>
        </w:rPr>
        <w:t>TRANSITION REPORT PURSUANT TO SECTION 13 OR 15(d) OF THE SECURITIES EXCHANGE ACT OF 1934</w:t>
      </w:r>
    </w:p>
    <w:p>
      <w:pPr>
        <w:spacing w:after="0" w:line="81"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For the transiton period from __________ to __________</w:t>
      </w:r>
    </w:p>
    <w:p>
      <w:pPr>
        <w:jc w:val="center"/>
        <w:spacing w:after="0"/>
        <w:rPr>
          <w:sz w:val="20"/>
          <w:szCs w:val="20"/>
          <w:color w:val="auto"/>
        </w:rPr>
      </w:pPr>
      <w:r>
        <w:rPr>
          <w:rFonts w:ascii="Arial" w:cs="Arial" w:eastAsia="Arial" w:hAnsi="Arial"/>
          <w:sz w:val="14"/>
          <w:szCs w:val="14"/>
          <w:b w:val="1"/>
          <w:bCs w:val="1"/>
          <w:color w:val="auto"/>
        </w:rPr>
        <w:t>Commission File Number: 001-40926</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462"/>
        </w:trPr>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3"/>
          </w:tcPr>
          <w:p>
            <w:pPr>
              <w:jc w:val="center"/>
              <w:ind w:right="460"/>
              <w:spacing w:after="0"/>
              <w:rPr>
                <w:sz w:val="20"/>
                <w:szCs w:val="20"/>
                <w:color w:val="auto"/>
              </w:rPr>
            </w:pPr>
            <w:r>
              <w:rPr>
                <w:rFonts w:ascii="Arial" w:cs="Arial" w:eastAsia="Arial" w:hAnsi="Arial"/>
                <w:sz w:val="36"/>
                <w:szCs w:val="36"/>
                <w:b w:val="1"/>
                <w:bCs w:val="1"/>
                <w:color w:val="auto"/>
                <w:w w:val="84"/>
              </w:rPr>
              <w:t>Vivid Seats Inc.</w:t>
            </w:r>
          </w:p>
        </w:tc>
        <w:tc>
          <w:tcPr>
            <w:tcW w:w="3940" w:type="dxa"/>
            <w:vAlign w:val="bottom"/>
          </w:tcPr>
          <w:p>
            <w:pPr>
              <w:spacing w:after="0"/>
              <w:rPr>
                <w:sz w:val="24"/>
                <w:szCs w:val="24"/>
                <w:color w:val="auto"/>
              </w:rPr>
            </w:pPr>
          </w:p>
        </w:tc>
      </w:tr>
      <w:tr>
        <w:trPr>
          <w:trHeight w:val="198"/>
        </w:trPr>
        <w:tc>
          <w:tcPr>
            <w:tcW w:w="402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(Exact Name of Registrant as Specifed in its Charter)</w:t>
            </w:r>
          </w:p>
        </w:tc>
        <w:tc>
          <w:tcPr>
            <w:tcW w:w="3940" w:type="dxa"/>
            <w:vAlign w:val="bottom"/>
          </w:tcPr>
          <w:p>
            <w:pPr>
              <w:spacing w:after="0"/>
              <w:rPr>
                <w:sz w:val="17"/>
                <w:szCs w:val="17"/>
                <w:color w:val="auto"/>
              </w:rPr>
            </w:pPr>
          </w:p>
        </w:tc>
      </w:tr>
      <w:tr>
        <w:trPr>
          <w:trHeight w:val="192"/>
        </w:trPr>
        <w:tc>
          <w:tcPr>
            <w:tcW w:w="4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r>
      <w:tr>
        <w:trPr>
          <w:trHeight w:val="369"/>
        </w:trPr>
        <w:tc>
          <w:tcPr>
            <w:tcW w:w="4020" w:type="dxa"/>
            <w:vAlign w:val="bottom"/>
          </w:tcPr>
          <w:p>
            <w:pPr>
              <w:jc w:val="center"/>
              <w:ind w:left="1548"/>
              <w:spacing w:after="0"/>
              <w:rPr>
                <w:sz w:val="20"/>
                <w:szCs w:val="20"/>
                <w:color w:val="auto"/>
              </w:rPr>
            </w:pPr>
            <w:r>
              <w:rPr>
                <w:rFonts w:ascii="Arial" w:cs="Arial" w:eastAsia="Arial" w:hAnsi="Arial"/>
                <w:sz w:val="14"/>
                <w:szCs w:val="14"/>
                <w:b w:val="1"/>
                <w:bCs w:val="1"/>
                <w:color w:val="auto"/>
                <w:w w:val="91"/>
              </w:rPr>
              <w:t>Delaware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tcPr>
          <w:p>
            <w:pPr>
              <w:jc w:val="right"/>
              <w:ind w:right="2388"/>
              <w:spacing w:after="0"/>
              <w:rPr>
                <w:sz w:val="20"/>
                <w:szCs w:val="20"/>
                <w:color w:val="auto"/>
              </w:rPr>
            </w:pPr>
            <w:r>
              <w:rPr>
                <w:rFonts w:ascii="Arial" w:cs="Arial" w:eastAsia="Arial" w:hAnsi="Arial"/>
                <w:sz w:val="14"/>
                <w:szCs w:val="14"/>
                <w:b w:val="1"/>
                <w:bCs w:val="1"/>
                <w:color w:val="auto"/>
              </w:rPr>
              <w:t>86-3355184</w:t>
            </w:r>
          </w:p>
        </w:tc>
      </w:tr>
      <w:tr>
        <w:trPr>
          <w:trHeight w:val="194"/>
        </w:trPr>
        <w:tc>
          <w:tcPr>
            <w:tcW w:w="4020" w:type="dxa"/>
            <w:vAlign w:val="bottom"/>
          </w:tcPr>
          <w:p>
            <w:pPr>
              <w:jc w:val="center"/>
              <w:ind w:left="1548"/>
              <w:spacing w:after="0"/>
              <w:rPr>
                <w:sz w:val="20"/>
                <w:szCs w:val="20"/>
                <w:color w:val="auto"/>
              </w:rPr>
            </w:pPr>
            <w:r>
              <w:rPr>
                <w:rFonts w:ascii="Arial" w:cs="Arial" w:eastAsia="Arial" w:hAnsi="Arial"/>
                <w:sz w:val="14"/>
                <w:szCs w:val="14"/>
                <w:b w:val="1"/>
                <w:bCs w:val="1"/>
                <w:color w:val="auto"/>
                <w:w w:val="91"/>
              </w:rPr>
              <w:t>(State or other jurisdicton of</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940" w:type="dxa"/>
            <w:vAlign w:val="bottom"/>
          </w:tcPr>
          <w:p>
            <w:pPr>
              <w:jc w:val="center"/>
              <w:ind w:right="1608"/>
              <w:spacing w:after="0"/>
              <w:rPr>
                <w:sz w:val="20"/>
                <w:szCs w:val="20"/>
                <w:color w:val="auto"/>
              </w:rPr>
            </w:pPr>
            <w:r>
              <w:rPr>
                <w:rFonts w:ascii="Arial" w:cs="Arial" w:eastAsia="Arial" w:hAnsi="Arial"/>
                <w:sz w:val="14"/>
                <w:szCs w:val="14"/>
                <w:b w:val="1"/>
                <w:bCs w:val="1"/>
                <w:color w:val="auto"/>
                <w:w w:val="87"/>
              </w:rPr>
              <w:t>(I.R.S. Employer</w:t>
            </w:r>
          </w:p>
        </w:tc>
      </w:tr>
      <w:tr>
        <w:trPr>
          <w:trHeight w:val="184"/>
        </w:trPr>
        <w:tc>
          <w:tcPr>
            <w:tcW w:w="4020" w:type="dxa"/>
            <w:vAlign w:val="bottom"/>
          </w:tcPr>
          <w:p>
            <w:pPr>
              <w:jc w:val="center"/>
              <w:ind w:left="1548"/>
              <w:spacing w:after="0"/>
              <w:rPr>
                <w:sz w:val="20"/>
                <w:szCs w:val="20"/>
                <w:color w:val="auto"/>
              </w:rPr>
            </w:pPr>
            <w:r>
              <w:rPr>
                <w:rFonts w:ascii="Arial" w:cs="Arial" w:eastAsia="Arial" w:hAnsi="Arial"/>
                <w:sz w:val="14"/>
                <w:szCs w:val="14"/>
                <w:b w:val="1"/>
                <w:bCs w:val="1"/>
                <w:color w:val="auto"/>
                <w:w w:val="93"/>
              </w:rPr>
              <w:t>incorporaton or organizaton)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40" w:type="dxa"/>
            <w:vAlign w:val="bottom"/>
          </w:tcPr>
          <w:p>
            <w:pPr>
              <w:jc w:val="center"/>
              <w:ind w:right="1588"/>
              <w:spacing w:after="0"/>
              <w:rPr>
                <w:sz w:val="20"/>
                <w:szCs w:val="20"/>
                <w:color w:val="auto"/>
              </w:rPr>
            </w:pPr>
            <w:r>
              <w:rPr>
                <w:rFonts w:ascii="Arial" w:cs="Arial" w:eastAsia="Arial" w:hAnsi="Arial"/>
                <w:sz w:val="14"/>
                <w:szCs w:val="14"/>
                <w:b w:val="1"/>
                <w:bCs w:val="1"/>
                <w:color w:val="auto"/>
              </w:rPr>
              <w:t>Identfcaton No.)</w:t>
            </w:r>
          </w:p>
        </w:tc>
      </w:tr>
      <w:tr>
        <w:trPr>
          <w:trHeight w:val="194"/>
        </w:trPr>
        <w:tc>
          <w:tcPr>
            <w:tcW w:w="4020" w:type="dxa"/>
            <w:vAlign w:val="bottom"/>
          </w:tcPr>
          <w:p>
            <w:pPr>
              <w:jc w:val="center"/>
              <w:ind w:left="1528"/>
              <w:spacing w:after="0"/>
              <w:rPr>
                <w:sz w:val="20"/>
                <w:szCs w:val="20"/>
                <w:color w:val="auto"/>
              </w:rPr>
            </w:pPr>
            <w:r>
              <w:rPr>
                <w:rFonts w:ascii="Arial" w:cs="Arial" w:eastAsia="Arial" w:hAnsi="Arial"/>
                <w:sz w:val="14"/>
                <w:szCs w:val="14"/>
                <w:b w:val="1"/>
                <w:bCs w:val="1"/>
                <w:color w:val="auto"/>
                <w:w w:val="88"/>
              </w:rPr>
              <w:t>24 E. Washington Street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940" w:type="dxa"/>
            <w:vAlign w:val="bottom"/>
          </w:tcPr>
          <w:p>
            <w:pPr>
              <w:spacing w:after="0"/>
              <w:rPr>
                <w:sz w:val="16"/>
                <w:szCs w:val="16"/>
                <w:color w:val="auto"/>
              </w:rPr>
            </w:pPr>
          </w:p>
        </w:tc>
      </w:tr>
      <w:tr>
        <w:trPr>
          <w:trHeight w:val="175"/>
        </w:trPr>
        <w:tc>
          <w:tcPr>
            <w:tcW w:w="4020" w:type="dxa"/>
            <w:vAlign w:val="bottom"/>
          </w:tcPr>
          <w:p>
            <w:pPr>
              <w:jc w:val="center"/>
              <w:ind w:left="1548"/>
              <w:spacing w:after="0"/>
              <w:rPr>
                <w:sz w:val="20"/>
                <w:szCs w:val="20"/>
                <w:color w:val="auto"/>
              </w:rPr>
            </w:pPr>
            <w:r>
              <w:rPr>
                <w:rFonts w:ascii="Arial" w:cs="Arial" w:eastAsia="Arial" w:hAnsi="Arial"/>
                <w:sz w:val="14"/>
                <w:szCs w:val="14"/>
                <w:b w:val="1"/>
                <w:bCs w:val="1"/>
                <w:color w:val="auto"/>
                <w:w w:val="91"/>
              </w:rPr>
              <w:t>Suite 900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40" w:type="dxa"/>
            <w:vAlign w:val="bottom"/>
          </w:tcPr>
          <w:p>
            <w:pPr>
              <w:spacing w:after="0"/>
              <w:rPr>
                <w:sz w:val="15"/>
                <w:szCs w:val="15"/>
                <w:color w:val="auto"/>
              </w:rPr>
            </w:pPr>
          </w:p>
        </w:tc>
      </w:tr>
      <w:tr>
        <w:trPr>
          <w:trHeight w:val="184"/>
        </w:trPr>
        <w:tc>
          <w:tcPr>
            <w:tcW w:w="4020" w:type="dxa"/>
            <w:vAlign w:val="bottom"/>
          </w:tcPr>
          <w:p>
            <w:pPr>
              <w:jc w:val="center"/>
              <w:ind w:left="1548"/>
              <w:spacing w:after="0"/>
              <w:rPr>
                <w:sz w:val="20"/>
                <w:szCs w:val="20"/>
                <w:color w:val="auto"/>
              </w:rPr>
            </w:pPr>
            <w:r>
              <w:rPr>
                <w:rFonts w:ascii="Arial" w:cs="Arial" w:eastAsia="Arial" w:hAnsi="Arial"/>
                <w:sz w:val="14"/>
                <w:szCs w:val="14"/>
                <w:b w:val="1"/>
                <w:bCs w:val="1"/>
                <w:color w:val="auto"/>
                <w:w w:val="85"/>
              </w:rPr>
              <w:t>Chicago, Illinois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40" w:type="dxa"/>
            <w:vAlign w:val="bottom"/>
          </w:tcPr>
          <w:p>
            <w:pPr>
              <w:jc w:val="right"/>
              <w:ind w:right="2548"/>
              <w:spacing w:after="0"/>
              <w:rPr>
                <w:sz w:val="20"/>
                <w:szCs w:val="20"/>
                <w:color w:val="auto"/>
              </w:rPr>
            </w:pPr>
            <w:r>
              <w:rPr>
                <w:rFonts w:ascii="Arial" w:cs="Arial" w:eastAsia="Arial" w:hAnsi="Arial"/>
                <w:sz w:val="14"/>
                <w:szCs w:val="14"/>
                <w:b w:val="1"/>
                <w:bCs w:val="1"/>
                <w:color w:val="auto"/>
              </w:rPr>
              <w:t>60602</w:t>
            </w:r>
          </w:p>
        </w:tc>
      </w:tr>
      <w:tr>
        <w:trPr>
          <w:trHeight w:val="203"/>
        </w:trPr>
        <w:tc>
          <w:tcPr>
            <w:tcW w:w="4020" w:type="dxa"/>
            <w:vAlign w:val="bottom"/>
          </w:tcPr>
          <w:p>
            <w:pPr>
              <w:jc w:val="center"/>
              <w:ind w:left="1528"/>
              <w:spacing w:after="0"/>
              <w:rPr>
                <w:sz w:val="20"/>
                <w:szCs w:val="20"/>
                <w:color w:val="auto"/>
              </w:rPr>
            </w:pPr>
            <w:r>
              <w:rPr>
                <w:rFonts w:ascii="Arial" w:cs="Arial" w:eastAsia="Arial" w:hAnsi="Arial"/>
                <w:sz w:val="14"/>
                <w:szCs w:val="14"/>
                <w:b w:val="1"/>
                <w:bCs w:val="1"/>
                <w:color w:val="auto"/>
                <w:w w:val="92"/>
              </w:rPr>
              <w:t>(Address of principal executve ofces)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940" w:type="dxa"/>
            <w:vAlign w:val="bottom"/>
          </w:tcPr>
          <w:p>
            <w:pPr>
              <w:jc w:val="center"/>
              <w:ind w:right="1608"/>
              <w:spacing w:after="0"/>
              <w:rPr>
                <w:sz w:val="20"/>
                <w:szCs w:val="20"/>
                <w:color w:val="auto"/>
              </w:rPr>
            </w:pPr>
            <w:r>
              <w:rPr>
                <w:rFonts w:ascii="Arial" w:cs="Arial" w:eastAsia="Arial" w:hAnsi="Arial"/>
                <w:sz w:val="14"/>
                <w:szCs w:val="14"/>
                <w:b w:val="1"/>
                <w:bCs w:val="1"/>
                <w:color w:val="auto"/>
                <w:w w:val="89"/>
              </w:rPr>
              <w:t>(Zip Code)</w:t>
            </w:r>
          </w:p>
        </w:tc>
      </w:tr>
      <w:tr>
        <w:trPr>
          <w:trHeight w:val="181"/>
        </w:trPr>
        <w:tc>
          <w:tcPr>
            <w:tcW w:w="4020" w:type="dxa"/>
            <w:vAlign w:val="bottom"/>
          </w:tcPr>
          <w:p>
            <w:pPr>
              <w:spacing w:after="0"/>
              <w:rPr>
                <w:sz w:val="15"/>
                <w:szCs w:val="15"/>
                <w:color w:val="auto"/>
              </w:rPr>
            </w:pPr>
          </w:p>
        </w:tc>
        <w:tc>
          <w:tcPr>
            <w:tcW w:w="2060" w:type="dxa"/>
            <w:vAlign w:val="bottom"/>
            <w:gridSpan w:val="3"/>
          </w:tcPr>
          <w:p>
            <w:pPr>
              <w:jc w:val="center"/>
              <w:ind w:left="1088"/>
              <w:spacing w:after="0"/>
              <w:rPr>
                <w:sz w:val="20"/>
                <w:szCs w:val="20"/>
                <w:color w:val="auto"/>
              </w:rPr>
            </w:pPr>
            <w:r>
              <w:rPr>
                <w:rFonts w:ascii="Arial" w:cs="Arial" w:eastAsia="Arial" w:hAnsi="Arial"/>
                <w:sz w:val="14"/>
                <w:szCs w:val="14"/>
                <w:b w:val="1"/>
                <w:bCs w:val="1"/>
                <w:color w:val="auto"/>
                <w:w w:val="93"/>
              </w:rPr>
              <w:t>(312) 291-9966</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40" w:type="dxa"/>
            <w:vAlign w:val="bottom"/>
          </w:tcPr>
          <w:p>
            <w:pPr>
              <w:spacing w:after="0"/>
              <w:rPr>
                <w:sz w:val="15"/>
                <w:szCs w:val="15"/>
                <w:color w:val="auto"/>
              </w:rPr>
            </w:pPr>
          </w:p>
        </w:tc>
      </w:tr>
      <w:tr>
        <w:trPr>
          <w:trHeight w:val="184"/>
        </w:trPr>
        <w:tc>
          <w:tcPr>
            <w:tcW w:w="4020" w:type="dxa"/>
            <w:vAlign w:val="bottom"/>
          </w:tcPr>
          <w:p>
            <w:pPr>
              <w:spacing w:after="0"/>
              <w:rPr>
                <w:sz w:val="15"/>
                <w:szCs w:val="15"/>
                <w:color w:val="auto"/>
              </w:rPr>
            </w:pPr>
          </w:p>
        </w:tc>
        <w:tc>
          <w:tcPr>
            <w:tcW w:w="32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3940" w:type="dxa"/>
            <w:vAlign w:val="bottom"/>
          </w:tcPr>
          <w:p>
            <w:pPr>
              <w:spacing w:after="0"/>
              <w:rPr>
                <w:sz w:val="15"/>
                <w:szCs w:val="15"/>
                <w:color w:val="auto"/>
              </w:rPr>
            </w:pPr>
          </w:p>
        </w:tc>
      </w:tr>
      <w:tr>
        <w:trPr>
          <w:trHeight w:val="191"/>
        </w:trPr>
        <w:tc>
          <w:tcPr>
            <w:tcW w:w="4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r>
      <w:tr>
        <w:trPr>
          <w:trHeight w:val="175"/>
        </w:trPr>
        <w:tc>
          <w:tcPr>
            <w:tcW w:w="4020" w:type="dxa"/>
            <w:vAlign w:val="bottom"/>
          </w:tcPr>
          <w:p>
            <w:pPr>
              <w:spacing w:after="0"/>
              <w:rPr>
                <w:sz w:val="20"/>
                <w:szCs w:val="20"/>
                <w:color w:val="auto"/>
              </w:rPr>
            </w:pPr>
            <w:r>
              <w:rPr>
                <w:rFonts w:ascii="Arial" w:cs="Arial" w:eastAsia="Arial" w:hAnsi="Arial"/>
                <w:sz w:val="14"/>
                <w:szCs w:val="14"/>
                <w:color w:val="auto"/>
              </w:rPr>
              <w:t>Securites registered pursuant to Secton 12(b) of the Act: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40" w:type="dxa"/>
            <w:vAlign w:val="bottom"/>
          </w:tcPr>
          <w:p>
            <w:pPr>
              <w:spacing w:after="0"/>
              <w:rPr>
                <w:sz w:val="15"/>
                <w:szCs w:val="15"/>
                <w:color w:val="auto"/>
              </w:rPr>
            </w:pPr>
          </w:p>
        </w:tc>
      </w:tr>
      <w:tr>
        <w:trPr>
          <w:trHeight w:val="388"/>
        </w:trPr>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5"/>
              </w:rPr>
              <w:t>Trading</w:t>
            </w:r>
          </w:p>
        </w:tc>
        <w:tc>
          <w:tcPr>
            <w:tcW w:w="3940" w:type="dxa"/>
            <w:vAlign w:val="bottom"/>
          </w:tcPr>
          <w:p>
            <w:pPr>
              <w:spacing w:after="0"/>
              <w:rPr>
                <w:sz w:val="24"/>
                <w:szCs w:val="24"/>
                <w:color w:val="auto"/>
              </w:rPr>
            </w:pPr>
          </w:p>
        </w:tc>
      </w:tr>
      <w:tr>
        <w:trPr>
          <w:trHeight w:val="184"/>
        </w:trPr>
        <w:tc>
          <w:tcPr>
            <w:tcW w:w="4020" w:type="dxa"/>
            <w:vAlign w:val="bottom"/>
          </w:tcPr>
          <w:p>
            <w:pPr>
              <w:jc w:val="center"/>
              <w:ind w:left="168"/>
              <w:spacing w:after="0"/>
              <w:rPr>
                <w:sz w:val="20"/>
                <w:szCs w:val="20"/>
                <w:color w:val="auto"/>
              </w:rPr>
            </w:pPr>
            <w:r>
              <w:rPr>
                <w:rFonts w:ascii="Arial" w:cs="Arial" w:eastAsia="Arial" w:hAnsi="Arial"/>
                <w:sz w:val="14"/>
                <w:szCs w:val="14"/>
                <w:b w:val="1"/>
                <w:bCs w:val="1"/>
                <w:color w:val="auto"/>
                <w:w w:val="87"/>
              </w:rPr>
              <w:t>Title of each class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5"/>
              </w:rPr>
              <w:t>Symbol(s)</w:t>
            </w:r>
          </w:p>
        </w:tc>
        <w:tc>
          <w:tcPr>
            <w:tcW w:w="3940" w:type="dxa"/>
            <w:vAlign w:val="bottom"/>
          </w:tcPr>
          <w:p>
            <w:pPr>
              <w:jc w:val="center"/>
              <w:ind w:right="1008"/>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30"/>
        </w:trPr>
        <w:tc>
          <w:tcPr>
            <w:tcW w:w="4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175"/>
        </w:trPr>
        <w:tc>
          <w:tcPr>
            <w:tcW w:w="4020" w:type="dxa"/>
            <w:vAlign w:val="bottom"/>
          </w:tcPr>
          <w:p>
            <w:pPr>
              <w:jc w:val="center"/>
              <w:ind w:left="208"/>
              <w:spacing w:after="0"/>
              <w:rPr>
                <w:sz w:val="20"/>
                <w:szCs w:val="20"/>
                <w:color w:val="auto"/>
              </w:rPr>
            </w:pPr>
            <w:r>
              <w:rPr>
                <w:rFonts w:ascii="Arial" w:cs="Arial" w:eastAsia="Arial" w:hAnsi="Arial"/>
                <w:sz w:val="14"/>
                <w:szCs w:val="14"/>
                <w:color w:val="auto"/>
                <w:w w:val="91"/>
              </w:rPr>
              <w:t>Class A common stock, par value $0.0001 per share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76"/>
              </w:rPr>
              <w:t>SEAT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40" w:type="dxa"/>
            <w:vAlign w:val="bottom"/>
          </w:tcPr>
          <w:p>
            <w:pPr>
              <w:jc w:val="center"/>
              <w:ind w:right="1028"/>
              <w:spacing w:after="0"/>
              <w:rPr>
                <w:sz w:val="20"/>
                <w:szCs w:val="20"/>
                <w:color w:val="auto"/>
              </w:rPr>
            </w:pPr>
            <w:r>
              <w:rPr>
                <w:rFonts w:ascii="Arial" w:cs="Arial" w:eastAsia="Arial" w:hAnsi="Arial"/>
                <w:sz w:val="14"/>
                <w:szCs w:val="14"/>
                <w:color w:val="auto"/>
                <w:w w:val="89"/>
              </w:rPr>
              <w:t>The Nasdaq Stock Market LLC</w:t>
            </w:r>
          </w:p>
        </w:tc>
      </w:tr>
      <w:tr>
        <w:trPr>
          <w:trHeight w:val="192"/>
        </w:trPr>
        <w:tc>
          <w:tcPr>
            <w:tcW w:w="4020" w:type="dxa"/>
            <w:vAlign w:val="bottom"/>
          </w:tcPr>
          <w:p>
            <w:pPr>
              <w:jc w:val="center"/>
              <w:ind w:left="168"/>
              <w:spacing w:after="0"/>
              <w:rPr>
                <w:sz w:val="20"/>
                <w:szCs w:val="20"/>
                <w:color w:val="auto"/>
              </w:rPr>
            </w:pPr>
            <w:r>
              <w:rPr>
                <w:rFonts w:ascii="Arial" w:cs="Arial" w:eastAsia="Arial" w:hAnsi="Arial"/>
                <w:sz w:val="14"/>
                <w:szCs w:val="14"/>
                <w:color w:val="auto"/>
                <w:w w:val="92"/>
              </w:rPr>
              <w:t>Warrants to purchase one share of Class A common stock</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3"/>
          </w:tcPr>
          <w:p>
            <w:pPr>
              <w:jc w:val="center"/>
              <w:ind w:right="1220"/>
              <w:spacing w:after="0"/>
              <w:rPr>
                <w:sz w:val="20"/>
                <w:szCs w:val="20"/>
                <w:color w:val="auto"/>
              </w:rPr>
            </w:pPr>
            <w:r>
              <w:rPr>
                <w:rFonts w:ascii="Arial" w:cs="Arial" w:eastAsia="Arial" w:hAnsi="Arial"/>
                <w:sz w:val="14"/>
                <w:szCs w:val="14"/>
                <w:color w:val="auto"/>
                <w:w w:val="80"/>
              </w:rPr>
              <w:t>SEATW</w:t>
            </w:r>
          </w:p>
        </w:tc>
        <w:tc>
          <w:tcPr>
            <w:tcW w:w="3940" w:type="dxa"/>
            <w:vAlign w:val="bottom"/>
          </w:tcPr>
          <w:p>
            <w:pPr>
              <w:jc w:val="center"/>
              <w:ind w:right="1028"/>
              <w:spacing w:after="0"/>
              <w:rPr>
                <w:sz w:val="20"/>
                <w:szCs w:val="20"/>
                <w:color w:val="auto"/>
              </w:rPr>
            </w:pPr>
            <w:r>
              <w:rPr>
                <w:rFonts w:ascii="Arial" w:cs="Arial" w:eastAsia="Arial" w:hAnsi="Arial"/>
                <w:sz w:val="14"/>
                <w:szCs w:val="14"/>
                <w:color w:val="auto"/>
                <w:w w:val="8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-2585085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4"/>
          <w:szCs w:val="24"/>
          <w:color w:val="auto"/>
        </w:rPr>
      </w:pPr>
    </w:p>
    <w:p>
      <w:pPr>
        <w:jc w:val="both"/>
        <w:spacing w:after="0" w:line="200" w:lineRule="exact"/>
        <w:rPr>
          <w:sz w:val="20"/>
          <w:szCs w:val="20"/>
          <w:color w:val="auto"/>
        </w:rPr>
      </w:pPr>
      <w:r>
        <w:rPr>
          <w:rFonts w:ascii="Arial" w:cs="Arial" w:eastAsia="Arial" w:hAnsi="Arial"/>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92" w:lineRule="auto"/>
        <w:rPr>
          <w:sz w:val="20"/>
          <w:szCs w:val="20"/>
          <w:color w:val="auto"/>
        </w:rPr>
      </w:pPr>
      <w:r>
        <w:rPr>
          <w:rFonts w:ascii="Arial" w:cs="Arial" w:eastAsia="Arial" w:hAnsi="Arial"/>
          <w:sz w:val="14"/>
          <w:szCs w:val="14"/>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5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Arial" w:cs="Arial" w:eastAsia="Arial" w:hAnsi="Arial"/>
                <w:sz w:val="14"/>
                <w:szCs w:val="14"/>
                <w:color w:val="auto"/>
              </w:rPr>
              <w:t>Large accelerated fler</w:t>
            </w:r>
          </w:p>
        </w:tc>
        <w:tc>
          <w:tcPr>
            <w:tcW w:w="32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Arial" w:cs="Arial" w:eastAsia="Arial" w:hAnsi="Arial"/>
                <w:sz w:val="14"/>
                <w:szCs w:val="14"/>
                <w:color w:val="auto"/>
              </w:rPr>
              <w:t>Accelerated fler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100" w:type="dxa"/>
            <w:vAlign w:val="bottom"/>
          </w:tcPr>
          <w:p>
            <w:pPr>
              <w:spacing w:after="0"/>
              <w:rPr>
                <w:sz w:val="20"/>
                <w:szCs w:val="20"/>
                <w:color w:val="auto"/>
              </w:rPr>
            </w:pPr>
            <w:r>
              <w:rPr>
                <w:rFonts w:ascii="Arial" w:cs="Arial" w:eastAsia="Arial" w:hAnsi="Arial"/>
                <w:sz w:val="14"/>
                <w:szCs w:val="14"/>
                <w:color w:val="auto"/>
              </w:rPr>
              <w:t>Non-accelerated fler</w:t>
            </w:r>
          </w:p>
        </w:tc>
        <w:tc>
          <w:tcPr>
            <w:tcW w:w="32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Arial" w:cs="Arial" w:eastAsia="Arial" w:hAnsi="Arial"/>
                <w:sz w:val="14"/>
                <w:szCs w:val="14"/>
                <w:color w:val="auto"/>
              </w:rPr>
              <w:t>Smaller reportng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20"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61" w:lineRule="exact"/>
        <w:tabs>
          <w:tab w:leader="none" w:pos="6640" w:val="left"/>
          <w:tab w:leader="none" w:pos="7160" w:val="left"/>
        </w:tabs>
        <w:rPr>
          <w:sz w:val="20"/>
          <w:szCs w:val="20"/>
          <w:color w:val="auto"/>
        </w:rPr>
      </w:pPr>
      <w:r>
        <w:rPr>
          <w:rFonts w:ascii="Arial" w:cs="Arial" w:eastAsia="Arial" w:hAnsi="Arial"/>
          <w:sz w:val="14"/>
          <w:szCs w:val="14"/>
          <w:color w:val="auto"/>
        </w:rPr>
        <w:t>Indicate by check mark whether the registrant is a shell company (as defned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3" w:lineRule="exact"/>
        <w:rPr>
          <w:sz w:val="24"/>
          <w:szCs w:val="24"/>
          <w:color w:val="auto"/>
        </w:rPr>
      </w:pPr>
    </w:p>
    <w:p>
      <w:pPr>
        <w:spacing w:after="0" w:line="292" w:lineRule="auto"/>
        <w:rPr>
          <w:sz w:val="20"/>
          <w:szCs w:val="20"/>
          <w:color w:val="auto"/>
        </w:rPr>
      </w:pPr>
      <w:r>
        <w:rPr>
          <w:rFonts w:ascii="Arial" w:cs="Arial" w:eastAsia="Arial" w:hAnsi="Arial"/>
          <w:sz w:val="14"/>
          <w:szCs w:val="14"/>
          <w:color w:val="auto"/>
        </w:rPr>
        <w:t>As of July 31, 2023, the registrant had outstanding 96,384,194 shares of Class A common stock, $0.0001 par value per share, net of treasury shares, and 99,800,000 shares of Class B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00" w:type="dxa"/>
            <w:vAlign w:val="bottom"/>
            <w:gridSpan w:val="7"/>
          </w:tcPr>
          <w:p>
            <w:pPr>
              <w:ind w:left="30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00" w:type="dxa"/>
            <w:vAlign w:val="bottom"/>
            <w:gridSpan w:val="20"/>
          </w:tcPr>
          <w:p>
            <w:pPr>
              <w:spacing w:after="0"/>
              <w:rPr>
                <w:sz w:val="20"/>
                <w:szCs w:val="20"/>
                <w:color w:val="auto"/>
              </w:rPr>
            </w:pPr>
            <w:r>
              <w:rPr>
                <w:rFonts w:ascii="Arial" w:cs="Arial" w:eastAsia="Arial" w:hAnsi="Arial"/>
                <w:sz w:val="18"/>
                <w:szCs w:val="18"/>
                <w:color w:val="0000FF"/>
              </w:rPr>
              <w:t>Forward-Looking Statements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21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w w:val="92"/>
              </w:rPr>
              <w:t>FINANCIAL INFORMATION</w:t>
            </w:r>
          </w:p>
        </w:tc>
        <w:tc>
          <w:tcPr>
            <w:tcW w:w="740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Financial Statements (Unaudited)</w:t>
            </w:r>
          </w:p>
        </w:tc>
        <w:tc>
          <w:tcPr>
            <w:tcW w:w="706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Condensed Consolidated Balance Sheets</w:t>
            </w:r>
          </w:p>
        </w:tc>
        <w:tc>
          <w:tcPr>
            <w:tcW w:w="6540" w:type="dxa"/>
            <w:vAlign w:val="bottom"/>
            <w:gridSpan w:val="8"/>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Condensed Consolidated Statements of Operatons</w:t>
            </w:r>
          </w:p>
        </w:tc>
        <w:tc>
          <w:tcPr>
            <w:tcW w:w="5760" w:type="dxa"/>
            <w:vAlign w:val="bottom"/>
            <w:gridSpan w:val="5"/>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5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1"/>
              </w:rPr>
              <w:t>Condensed Consolidated Statements of Defcit</w:t>
            </w:r>
          </w:p>
        </w:tc>
        <w:tc>
          <w:tcPr>
            <w:tcW w:w="1240" w:type="dxa"/>
            <w:vAlign w:val="bottom"/>
            <w:tcBorders>
              <w:top w:val="single" w:sz="8" w:color="0000FF"/>
            </w:tcBorders>
            <w:gridSpan w:val="5"/>
          </w:tcPr>
          <w:p>
            <w:pPr>
              <w:spacing w:after="0"/>
              <w:rPr>
                <w:sz w:val="18"/>
                <w:szCs w:val="18"/>
                <w:color w:val="auto"/>
              </w:rPr>
            </w:pPr>
          </w:p>
        </w:tc>
        <w:tc>
          <w:tcPr>
            <w:tcW w:w="4860" w:type="dxa"/>
            <w:vAlign w:val="bottom"/>
            <w:gridSpan w:val="2"/>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5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Notes to Condensed Consolidated Financial Statements</w:t>
            </w:r>
          </w:p>
        </w:tc>
        <w:tc>
          <w:tcPr>
            <w:tcW w:w="5460" w:type="dxa"/>
            <w:vAlign w:val="bottom"/>
            <w:gridSpan w:val="4"/>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50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Conditon and Results of Operatons</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3"/>
              </w:rPr>
              <w:t>Quanttatve and Qualitatve Disclosures About Market Risk</w:t>
            </w:r>
          </w:p>
        </w:tc>
        <w:tc>
          <w:tcPr>
            <w:tcW w:w="2060" w:type="dxa"/>
            <w:vAlign w:val="bottom"/>
            <w:tcBorders>
              <w:top w:val="single" w:sz="8" w:color="0000FF"/>
            </w:tcBorders>
            <w:gridSpan w:val="2"/>
          </w:tcPr>
          <w:p>
            <w:pPr>
              <w:spacing w:after="0"/>
              <w:rPr>
                <w:sz w:val="19"/>
                <w:szCs w:val="19"/>
                <w:color w:val="auto"/>
              </w:rPr>
            </w:pPr>
          </w:p>
        </w:tc>
        <w:tc>
          <w:tcPr>
            <w:tcW w:w="3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Controls and Procedures</w:t>
            </w:r>
          </w:p>
        </w:tc>
        <w:tc>
          <w:tcPr>
            <w:tcW w:w="7700" w:type="dxa"/>
            <w:vAlign w:val="bottom"/>
            <w:gridSpan w:val="13"/>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16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2"/>
              </w:rPr>
              <w:t>OTHER INFORMATION</w:t>
            </w:r>
          </w:p>
        </w:tc>
        <w:tc>
          <w:tcPr>
            <w:tcW w:w="788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50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3"/>
              </w:rPr>
              <w:t>Risk Factors</w:t>
            </w:r>
          </w:p>
        </w:tc>
        <w:tc>
          <w:tcPr>
            <w:tcW w:w="440" w:type="dxa"/>
            <w:vAlign w:val="bottom"/>
            <w:tcBorders>
              <w:top w:val="single" w:sz="8" w:color="0000FF"/>
            </w:tcBorders>
          </w:tcPr>
          <w:p>
            <w:pPr>
              <w:spacing w:after="0"/>
              <w:rPr>
                <w:sz w:val="19"/>
                <w:szCs w:val="19"/>
                <w:color w:val="auto"/>
              </w:rPr>
            </w:pPr>
          </w:p>
        </w:tc>
        <w:tc>
          <w:tcPr>
            <w:tcW w:w="8200" w:type="dxa"/>
            <w:vAlign w:val="bottom"/>
            <w:gridSpan w:val="17"/>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5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Securites and Use of Proceeds</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Securites</w:t>
            </w:r>
          </w:p>
        </w:tc>
        <w:tc>
          <w:tcPr>
            <w:tcW w:w="2020" w:type="dxa"/>
            <w:vAlign w:val="bottom"/>
            <w:tcBorders>
              <w:top w:val="single" w:sz="8" w:color="0000FF"/>
            </w:tcBorders>
            <w:gridSpan w:val="7"/>
          </w:tcPr>
          <w:p>
            <w:pPr>
              <w:spacing w:after="0"/>
              <w:rPr>
                <w:sz w:val="19"/>
                <w:szCs w:val="19"/>
                <w:color w:val="auto"/>
              </w:rPr>
            </w:pPr>
          </w:p>
        </w:tc>
        <w:tc>
          <w:tcPr>
            <w:tcW w:w="518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Mine Safety Disclosures</w:t>
            </w:r>
          </w:p>
        </w:tc>
        <w:tc>
          <w:tcPr>
            <w:tcW w:w="7760" w:type="dxa"/>
            <w:vAlign w:val="bottom"/>
            <w:gridSpan w:val="14"/>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6"/>
              </w:rPr>
              <w:t>Other Informaton</w:t>
            </w:r>
          </w:p>
        </w:tc>
        <w:tc>
          <w:tcPr>
            <w:tcW w:w="8160" w:type="dxa"/>
            <w:vAlign w:val="bottom"/>
            <w:gridSpan w:val="16"/>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50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95"/>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3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(this "Report") contains forward-looking statements regarding future events and the future results of Vivid Seats Inc. that are based on our current expectatons, estmates, forecasts and projectons about our business and the industries in which we operate and the beliefs and assumptons of our management. We intend such forward-looking statements to be covered by the safe harbor provisions for forward-looking statements contained in Secton 27A of the Securites Act of 1933, as amended (the "Securites Act"), and Secton 21E of the Securites Exchange Act of 1934, as amended (the "Exchange Act"). Words such as “expect,” “antcipate,” “target,” “goal,” “project,” “intend,” “plan,” “believe,” “seek,” “estmate,” “will,” “likely,” “may,” “designed,” “would,” “future,” “can,” and “could,” as well as similar expressions which predict or indicate future events and trends or which do not relate to historical maters, are intended to identfy such forward-looking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may use forward-looking statements when addressing topics such as:</w:t>
      </w:r>
    </w:p>
    <w:p>
      <w:pPr>
        <w:spacing w:after="0" w:line="171"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fnancing in the future;</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fnancial performance;</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in retaining or recruitng, or changes required in, our ofcers, key employees or directors;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pay dividends on our Class A common stock on the terms currently contemplated or at all;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relatng to our business, operatons and fnancial performance, including, but not limited to:</w:t>
      </w:r>
    </w:p>
    <w:p>
      <w:pPr>
        <w:spacing w:after="0" w:line="15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our ability to compete in the tcketng industry;</w:t>
      </w:r>
    </w:p>
    <w:p>
      <w:pPr>
        <w:spacing w:after="0" w:line="1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our ability to maintain relatonships with tcket buyers, sellers and distributon partners;</w:t>
      </w:r>
    </w:p>
    <w:p>
      <w:pPr>
        <w:spacing w:after="0" w:line="1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our ability to contnue to improve our platorm and maintain and enhance our brand;</w:t>
      </w:r>
    </w:p>
    <w:p>
      <w:pPr>
        <w:spacing w:after="0" w:line="157" w:lineRule="exact"/>
        <w:rPr>
          <w:rFonts w:ascii="Arial" w:cs="Arial" w:eastAsia="Arial" w:hAnsi="Arial"/>
          <w:sz w:val="18"/>
          <w:szCs w:val="18"/>
          <w:color w:val="auto"/>
        </w:rPr>
      </w:pPr>
    </w:p>
    <w:p>
      <w:pPr>
        <w:ind w:left="1540" w:hanging="509"/>
        <w:spacing w:after="0" w:line="273" w:lineRule="auto"/>
        <w:rPr>
          <w:rFonts w:ascii="Arial" w:cs="Arial" w:eastAsia="Arial" w:hAnsi="Arial"/>
          <w:sz w:val="18"/>
          <w:szCs w:val="18"/>
          <w:color w:val="auto"/>
        </w:rPr>
      </w:pPr>
      <w:r>
        <w:rPr>
          <w:rFonts w:ascii="Arial" w:cs="Arial" w:eastAsia="Arial" w:hAnsi="Arial"/>
          <w:sz w:val="18"/>
          <w:szCs w:val="18"/>
          <w:color w:val="auto"/>
        </w:rPr>
        <w:t>othe impact of extraordinary events or adverse economic conditons on discretonary consumer and corporate spending or on the supply and demand of live events;</w:t>
      </w:r>
    </w:p>
    <w:p>
      <w:pPr>
        <w:spacing w:after="0" w:line="1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identfy suitable acquisiton targets, and to complete and realize the expected benefts of planned acquisitons;</w:t>
      </w:r>
    </w:p>
    <w:p>
      <w:pPr>
        <w:spacing w:after="0" w:line="1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comply with applicable regulatory regimes;</w:t>
      </w:r>
    </w:p>
    <w:p>
      <w:pPr>
        <w:spacing w:after="0" w:line="15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successfully defend against litgaton;</w:t>
      </w:r>
    </w:p>
    <w:p>
      <w:pPr>
        <w:spacing w:after="0" w:line="1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maintain the integrity of our informaton systems and infrastructure, and to mitgate possible cyber security risks;</w:t>
      </w:r>
    </w:p>
    <w:p>
      <w:pPr>
        <w:spacing w:after="0" w:line="1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our ability to generate sufcient cash fows or raise additonal capital necessary to fund our operatons;</w:t>
      </w:r>
    </w:p>
    <w:p>
      <w:pPr>
        <w:spacing w:after="0" w:line="15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impact of pandemics on our business and the industries in which we operate; and</w:t>
      </w:r>
    </w:p>
    <w:p>
      <w:pPr>
        <w:spacing w:after="0" w:line="171" w:lineRule="exact"/>
        <w:rPr>
          <w:rFonts w:ascii="Arial" w:cs="Arial" w:eastAsia="Arial" w:hAnsi="Arial"/>
          <w:sz w:val="18"/>
          <w:szCs w:val="18"/>
          <w:color w:val="auto"/>
        </w:rPr>
      </w:pPr>
    </w:p>
    <w:p>
      <w:pPr>
        <w:ind w:left="1540" w:hanging="509"/>
        <w:spacing w:after="0" w:line="262" w:lineRule="auto"/>
        <w:rPr>
          <w:rFonts w:ascii="Arial" w:cs="Arial" w:eastAsia="Arial" w:hAnsi="Arial"/>
          <w:sz w:val="18"/>
          <w:szCs w:val="18"/>
          <w:color w:val="auto"/>
        </w:rPr>
      </w:pPr>
      <w:r>
        <w:rPr>
          <w:rFonts w:ascii="Arial" w:cs="Arial" w:eastAsia="Arial" w:hAnsi="Arial"/>
          <w:sz w:val="18"/>
          <w:szCs w:val="18"/>
          <w:color w:val="auto"/>
        </w:rPr>
        <w:t>oother factors detailed in the “Risk Factors” sectons of this Report, our Form 10-K for the fscal year ended December 31, 2022 (together with Amendment No. 1 thereto, our “2022 Form 10-K”) and our other flings with the Securites and Exchange Commission (the “SEC”).</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based these forward-looking statements largely on our current expectatons and projectons about future events and fnancial trends that we believe may afect our business, fnancial conditon and results of operatons. Forward-looking statements are not guarantees of future performance, conditons or results, and are subject to risks, uncertaintes and assumptons that are difcult to predict. Therefore, actual results may difer materially and adversely from those antcipated in any forward-looking statements. You are cautoned not to place undue reliance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 w:name="page4"/>
    <w:bookmarkEnd w:id="3"/>
    <w:p>
      <w:pPr>
        <w:jc w:val="both"/>
        <w:spacing w:after="0" w:line="258" w:lineRule="auto"/>
        <w:rPr>
          <w:sz w:val="20"/>
          <w:szCs w:val="20"/>
          <w:color w:val="auto"/>
        </w:rPr>
      </w:pPr>
      <w:r>
        <w:rPr>
          <w:rFonts w:ascii="Arial" w:cs="Arial" w:eastAsia="Arial" w:hAnsi="Arial"/>
          <w:sz w:val="18"/>
          <w:szCs w:val="18"/>
          <w:color w:val="auto"/>
        </w:rPr>
        <w:t>on these forward-looking statements, which speak only as of the date of this Report or, in the case of statements incorporated herein by reference, as of the date of the incorporated document.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Important factors that could cause or contribute to such diferences include, but are not limited to, those discussed under the “Risk Factors” and “Management’s Discussion and Analysis of Financial Conditon and Results of Operatons” sectons of this Report and our 2022 Form 10-K, as well as in our press releases and other flings with the SEC.</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Except as required by applicable law, we undertake no obligaton to update or revise any forward-looking statements contained in this Report, whether as a result of new informaton, future events, or otherwise.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5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3"/>
              </w:rPr>
              <w:t>December 31,</w:t>
            </w:r>
          </w:p>
        </w:tc>
      </w:tr>
      <w:tr>
        <w:trPr>
          <w:trHeight w:val="243"/>
        </w:trPr>
        <w:tc>
          <w:tcPr>
            <w:tcW w:w="7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33"/>
        </w:trPr>
        <w:tc>
          <w:tcPr>
            <w:tcW w:w="7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5"/>
        </w:trPr>
        <w:tc>
          <w:tcPr>
            <w:tcW w:w="7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1"/>
        </w:trPr>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306,202</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251,542</w:t>
            </w:r>
          </w:p>
        </w:tc>
        <w:tc>
          <w:tcPr>
            <w:tcW w:w="140" w:type="dxa"/>
            <w:vAlign w:val="bottom"/>
            <w:shd w:val="clear" w:color="auto" w:fill="CFF0FC"/>
          </w:tcPr>
          <w:p>
            <w:pPr>
              <w:spacing w:after="0"/>
              <w:rPr>
                <w:sz w:val="21"/>
                <w:szCs w:val="21"/>
                <w:color w:val="auto"/>
              </w:rPr>
            </w:pPr>
          </w:p>
        </w:tc>
      </w:tr>
      <w:tr>
        <w:trPr>
          <w:trHeight w:val="235"/>
        </w:trPr>
        <w:tc>
          <w:tcPr>
            <w:tcW w:w="752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20"/>
                <w:szCs w:val="20"/>
                <w:color w:val="auto"/>
              </w:rPr>
            </w:pPr>
          </w:p>
        </w:tc>
      </w:tr>
      <w:tr>
        <w:trPr>
          <w:trHeight w:val="251"/>
        </w:trPr>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receivable – net</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46,301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36,531</w:t>
            </w:r>
          </w:p>
        </w:tc>
        <w:tc>
          <w:tcPr>
            <w:tcW w:w="140" w:type="dxa"/>
            <w:vAlign w:val="bottom"/>
            <w:shd w:val="clear" w:color="auto" w:fill="CFF0FC"/>
          </w:tcPr>
          <w:p>
            <w:pPr>
              <w:spacing w:after="0"/>
              <w:rPr>
                <w:sz w:val="21"/>
                <w:szCs w:val="21"/>
                <w:color w:val="auto"/>
              </w:rPr>
            </w:pPr>
          </w:p>
        </w:tc>
      </w:tr>
      <w:tr>
        <w:trPr>
          <w:trHeight w:val="235"/>
        </w:trPr>
        <w:tc>
          <w:tcPr>
            <w:tcW w:w="7520" w:type="dxa"/>
            <w:vAlign w:val="bottom"/>
          </w:tcPr>
          <w:p>
            <w:pPr>
              <w:ind w:left="120"/>
              <w:spacing w:after="0"/>
              <w:rPr>
                <w:sz w:val="20"/>
                <w:szCs w:val="20"/>
                <w:color w:val="auto"/>
              </w:rPr>
            </w:pPr>
            <w:r>
              <w:rPr>
                <w:rFonts w:ascii="Arial" w:cs="Arial" w:eastAsia="Arial" w:hAnsi="Arial"/>
                <w:sz w:val="18"/>
                <w:szCs w:val="18"/>
                <w:color w:val="auto"/>
              </w:rPr>
              <w:t>Inventory – net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12,783</w:t>
            </w:r>
          </w:p>
        </w:tc>
        <w:tc>
          <w:tcPr>
            <w:tcW w:w="140" w:type="dxa"/>
            <w:vAlign w:val="bottom"/>
          </w:tcPr>
          <w:p>
            <w:pPr>
              <w:spacing w:after="0"/>
              <w:rPr>
                <w:sz w:val="20"/>
                <w:szCs w:val="20"/>
                <w:color w:val="auto"/>
              </w:rPr>
            </w:pPr>
          </w:p>
        </w:tc>
      </w:tr>
      <w:tr>
        <w:trPr>
          <w:trHeight w:val="245"/>
        </w:trPr>
        <w:tc>
          <w:tcPr>
            <w:tcW w:w="7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46,608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427,793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331,516</w:t>
            </w: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 net</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140" w:type="dxa"/>
            <w:vAlign w:val="bottom"/>
            <w:shd w:val="clear" w:color="auto" w:fill="CFF0FC"/>
          </w:tcPr>
          <w:p>
            <w:pPr>
              <w:spacing w:after="0"/>
              <w:rPr>
                <w:sz w:val="21"/>
                <w:szCs w:val="21"/>
                <w:color w:val="auto"/>
              </w:rPr>
            </w:pPr>
          </w:p>
        </w:tc>
      </w:tr>
      <w:tr>
        <w:trPr>
          <w:trHeight w:val="235"/>
        </w:trPr>
        <w:tc>
          <w:tcPr>
            <w:tcW w:w="7520" w:type="dxa"/>
            <w:vAlign w:val="bottom"/>
          </w:tcPr>
          <w:p>
            <w:pPr>
              <w:ind w:left="20"/>
              <w:spacing w:after="0"/>
              <w:rPr>
                <w:sz w:val="20"/>
                <w:szCs w:val="20"/>
                <w:color w:val="auto"/>
              </w:rPr>
            </w:pPr>
            <w:r>
              <w:rPr>
                <w:rFonts w:ascii="Arial" w:cs="Arial" w:eastAsia="Arial" w:hAnsi="Arial"/>
                <w:sz w:val="18"/>
                <w:szCs w:val="18"/>
                <w:color w:val="auto"/>
              </w:rPr>
              <w:t>Right-of-use assets – net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7,859</w:t>
            </w:r>
          </w:p>
        </w:tc>
        <w:tc>
          <w:tcPr>
            <w:tcW w:w="140" w:type="dxa"/>
            <w:vAlign w:val="bottom"/>
          </w:tcPr>
          <w:p>
            <w:pPr>
              <w:spacing w:after="0"/>
              <w:rPr>
                <w:sz w:val="20"/>
                <w:szCs w:val="20"/>
                <w:color w:val="auto"/>
              </w:rPr>
            </w:pPr>
          </w:p>
        </w:tc>
      </w:tr>
      <w:tr>
        <w:trPr>
          <w:trHeight w:val="251"/>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 net</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82,031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81,976</w:t>
            </w:r>
          </w:p>
        </w:tc>
        <w:tc>
          <w:tcPr>
            <w:tcW w:w="140" w:type="dxa"/>
            <w:vAlign w:val="bottom"/>
            <w:shd w:val="clear" w:color="auto" w:fill="CFF0FC"/>
          </w:tcPr>
          <w:p>
            <w:pPr>
              <w:spacing w:after="0"/>
              <w:rPr>
                <w:sz w:val="21"/>
                <w:szCs w:val="21"/>
                <w:color w:val="auto"/>
              </w:rPr>
            </w:pPr>
          </w:p>
        </w:tc>
      </w:tr>
      <w:tr>
        <w:trPr>
          <w:trHeight w:val="235"/>
        </w:trPr>
        <w:tc>
          <w:tcPr>
            <w:tcW w:w="7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715,258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715,258</w:t>
            </w:r>
          </w:p>
        </w:tc>
        <w:tc>
          <w:tcPr>
            <w:tcW w:w="140" w:type="dxa"/>
            <w:vAlign w:val="bottom"/>
          </w:tcPr>
          <w:p>
            <w:pPr>
              <w:spacing w:after="0"/>
              <w:rPr>
                <w:sz w:val="20"/>
                <w:szCs w:val="20"/>
                <w:color w:val="auto"/>
              </w:rPr>
            </w:pPr>
          </w:p>
        </w:tc>
      </w:tr>
      <w:tr>
        <w:trPr>
          <w:trHeight w:val="251"/>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79,275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140" w:type="dxa"/>
            <w:vAlign w:val="bottom"/>
          </w:tcPr>
          <w:p>
            <w:pPr>
              <w:spacing w:after="0"/>
              <w:rPr>
                <w:sz w:val="20"/>
                <w:szCs w:val="20"/>
                <w:color w:val="auto"/>
              </w:rPr>
            </w:pPr>
          </w:p>
        </w:tc>
      </w:tr>
      <w:tr>
        <w:trPr>
          <w:trHeight w:val="283"/>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1,324,684</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1,151,431</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Liabilites and shareholders’ defcit</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liabilites:</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75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204,217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161,312</w:t>
            </w:r>
          </w:p>
        </w:tc>
        <w:tc>
          <w:tcPr>
            <w:tcW w:w="140" w:type="dxa"/>
            <w:vAlign w:val="bottom"/>
          </w:tcPr>
          <w:p>
            <w:pPr>
              <w:spacing w:after="0"/>
              <w:rPr>
                <w:sz w:val="20"/>
                <w:szCs w:val="20"/>
                <w:color w:val="auto"/>
              </w:rPr>
            </w:pPr>
          </w:p>
        </w:tc>
      </w:tr>
      <w:tr>
        <w:trPr>
          <w:trHeight w:val="251"/>
        </w:trPr>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expenses and other current liabilites</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192,038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181,970</w:t>
            </w:r>
          </w:p>
        </w:tc>
        <w:tc>
          <w:tcPr>
            <w:tcW w:w="140" w:type="dxa"/>
            <w:vAlign w:val="bottom"/>
            <w:shd w:val="clear" w:color="auto" w:fill="CFF0FC"/>
          </w:tcPr>
          <w:p>
            <w:pPr>
              <w:spacing w:after="0"/>
              <w:rPr>
                <w:sz w:val="21"/>
                <w:szCs w:val="21"/>
                <w:color w:val="auto"/>
              </w:rPr>
            </w:pPr>
          </w:p>
        </w:tc>
      </w:tr>
      <w:tr>
        <w:trPr>
          <w:trHeight w:val="235"/>
        </w:trPr>
        <w:tc>
          <w:tcPr>
            <w:tcW w:w="752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31,983</w:t>
            </w:r>
          </w:p>
        </w:tc>
        <w:tc>
          <w:tcPr>
            <w:tcW w:w="140" w:type="dxa"/>
            <w:vAlign w:val="bottom"/>
          </w:tcPr>
          <w:p>
            <w:pPr>
              <w:spacing w:after="0"/>
              <w:rPr>
                <w:sz w:val="20"/>
                <w:szCs w:val="20"/>
                <w:color w:val="auto"/>
              </w:rPr>
            </w:pPr>
          </w:p>
        </w:tc>
      </w:tr>
      <w:tr>
        <w:trPr>
          <w:trHeight w:val="245"/>
        </w:trPr>
        <w:tc>
          <w:tcPr>
            <w:tcW w:w="7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Current maturites of long-term debt</w:t>
            </w:r>
          </w:p>
        </w:tc>
        <w:tc>
          <w:tcPr>
            <w:tcW w:w="3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429,075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378,015</w:t>
            </w: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 net</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263,873</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264,898</w:t>
            </w:r>
          </w:p>
        </w:tc>
        <w:tc>
          <w:tcPr>
            <w:tcW w:w="140" w:type="dxa"/>
            <w:vAlign w:val="bottom"/>
            <w:shd w:val="clear" w:color="auto" w:fill="CFF0FC"/>
          </w:tcPr>
          <w:p>
            <w:pPr>
              <w:spacing w:after="0"/>
              <w:rPr>
                <w:sz w:val="21"/>
                <w:szCs w:val="21"/>
                <w:color w:val="auto"/>
              </w:rPr>
            </w:pPr>
          </w:p>
        </w:tc>
      </w:tr>
      <w:tr>
        <w:trPr>
          <w:trHeight w:val="235"/>
        </w:trPr>
        <w:tc>
          <w:tcPr>
            <w:tcW w:w="7520" w:type="dxa"/>
            <w:vAlign w:val="bottom"/>
          </w:tcPr>
          <w:p>
            <w:pPr>
              <w:ind w:left="20"/>
              <w:spacing w:after="0"/>
              <w:rPr>
                <w:sz w:val="20"/>
                <w:szCs w:val="20"/>
                <w:color w:val="auto"/>
              </w:rPr>
            </w:pPr>
            <w:r>
              <w:rPr>
                <w:rFonts w:ascii="Arial" w:cs="Arial" w:eastAsia="Arial" w:hAnsi="Arial"/>
                <w:sz w:val="18"/>
                <w:szCs w:val="18"/>
                <w:color w:val="auto"/>
              </w:rPr>
              <w:t>Long-term lease liabilites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14,911</w:t>
            </w:r>
          </w:p>
        </w:tc>
        <w:tc>
          <w:tcPr>
            <w:tcW w:w="140" w:type="dxa"/>
            <w:vAlign w:val="bottom"/>
          </w:tcPr>
          <w:p>
            <w:pPr>
              <w:spacing w:after="0"/>
              <w:rPr>
                <w:sz w:val="20"/>
                <w:szCs w:val="20"/>
                <w:color w:val="auto"/>
              </w:rPr>
            </w:pPr>
          </w:p>
        </w:tc>
      </w:tr>
      <w:tr>
        <w:trPr>
          <w:trHeight w:val="251"/>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Receivable Agreement liability</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98,977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7520" w:type="dxa"/>
            <w:vAlign w:val="bottom"/>
          </w:tcPr>
          <w:p>
            <w:pPr>
              <w:ind w:left="20"/>
              <w:spacing w:after="0"/>
              <w:rPr>
                <w:sz w:val="20"/>
                <w:szCs w:val="20"/>
                <w:color w:val="auto"/>
              </w:rPr>
            </w:pPr>
            <w:r>
              <w:rPr>
                <w:rFonts w:ascii="Arial" w:cs="Arial" w:eastAsia="Arial" w:hAnsi="Arial"/>
                <w:sz w:val="18"/>
                <w:szCs w:val="18"/>
                <w:color w:val="auto"/>
              </w:rPr>
              <w:t>Other non-current liabilites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13,445</w:t>
            </w:r>
          </w:p>
        </w:tc>
        <w:tc>
          <w:tcPr>
            <w:tcW w:w="140" w:type="dxa"/>
            <w:vAlign w:val="bottom"/>
          </w:tcPr>
          <w:p>
            <w:pPr>
              <w:spacing w:after="0"/>
              <w:rPr>
                <w:sz w:val="20"/>
                <w:szCs w:val="20"/>
                <w:color w:val="auto"/>
              </w:rPr>
            </w:pPr>
          </w:p>
        </w:tc>
      </w:tr>
      <w:tr>
        <w:trPr>
          <w:trHeight w:val="243"/>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long-term liabilites</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398,526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293,254</w:t>
            </w: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contngencies (Note 11)</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790,416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862,860</w:t>
            </w:r>
          </w:p>
        </w:tc>
        <w:tc>
          <w:tcPr>
            <w:tcW w:w="140" w:type="dxa"/>
            <w:vAlign w:val="bottom"/>
            <w:shd w:val="clear" w:color="auto" w:fill="CFF0FC"/>
          </w:tcPr>
          <w:p>
            <w:pPr>
              <w:spacing w:after="0"/>
              <w:rPr>
                <w:sz w:val="21"/>
                <w:szCs w:val="21"/>
                <w:color w:val="auto"/>
              </w:rPr>
            </w:pPr>
          </w:p>
        </w:tc>
      </w:tr>
      <w:tr>
        <w:trPr>
          <w:trHeight w:val="243"/>
        </w:trPr>
        <w:tc>
          <w:tcPr>
            <w:tcW w:w="7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Shareholders' defcit</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197"/>
        </w:trPr>
        <w:tc>
          <w:tcPr>
            <w:tcW w:w="7520" w:type="dxa"/>
            <w:vAlign w:val="bottom"/>
          </w:tcPr>
          <w:p>
            <w:pPr>
              <w:ind w:left="120"/>
              <w:spacing w:after="0" w:line="197" w:lineRule="exact"/>
              <w:rPr>
                <w:sz w:val="20"/>
                <w:szCs w:val="20"/>
                <w:color w:val="auto"/>
              </w:rPr>
            </w:pPr>
            <w:r>
              <w:rPr>
                <w:rFonts w:ascii="Arial" w:cs="Arial" w:eastAsia="Arial" w:hAnsi="Arial"/>
                <w:sz w:val="18"/>
                <w:szCs w:val="18"/>
                <w:color w:val="auto"/>
                <w:w w:val="95"/>
              </w:rPr>
              <w:t>Class A common stock, $0.0001 par value; 500,000,000 shares authorized at June 30, 2023 and</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520" w:type="dxa"/>
            <w:vAlign w:val="bottom"/>
          </w:tcPr>
          <w:p>
            <w:pPr>
              <w:ind w:left="120"/>
              <w:spacing w:after="0"/>
              <w:rPr>
                <w:sz w:val="20"/>
                <w:szCs w:val="20"/>
                <w:color w:val="auto"/>
              </w:rPr>
            </w:pPr>
            <w:r>
              <w:rPr>
                <w:rFonts w:ascii="Arial" w:cs="Arial" w:eastAsia="Arial" w:hAnsi="Arial"/>
                <w:sz w:val="18"/>
                <w:szCs w:val="18"/>
                <w:color w:val="auto"/>
                <w:w w:val="96"/>
              </w:rPr>
              <w:t>December 31, 2022; 101,611,805 and 82,410,774 issued and outstanding at June 30, 2023 and</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7"/>
        </w:trPr>
        <w:tc>
          <w:tcPr>
            <w:tcW w:w="7520" w:type="dxa"/>
            <w:vAlign w:val="bottom"/>
          </w:tcPr>
          <w:p>
            <w:pPr>
              <w:ind w:left="120"/>
              <w:spacing w:after="0"/>
              <w:rPr>
                <w:sz w:val="20"/>
                <w:szCs w:val="20"/>
                <w:color w:val="auto"/>
              </w:rPr>
            </w:pPr>
            <w:r>
              <w:rPr>
                <w:rFonts w:ascii="Arial" w:cs="Arial" w:eastAsia="Arial" w:hAnsi="Arial"/>
                <w:sz w:val="18"/>
                <w:szCs w:val="18"/>
                <w:color w:val="auto"/>
              </w:rPr>
              <w:t>December 31, 2022, respectvely</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r>
      <w:tr>
        <w:trPr>
          <w:trHeight w:val="35"/>
        </w:trPr>
        <w:tc>
          <w:tcPr>
            <w:tcW w:w="7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7"/>
        </w:trPr>
        <w:tc>
          <w:tcPr>
            <w:tcW w:w="7520" w:type="dxa"/>
            <w:vAlign w:val="bottom"/>
            <w:shd w:val="clear" w:color="auto" w:fill="CFF0FC"/>
          </w:tcPr>
          <w:p>
            <w:pPr>
              <w:ind w:left="120"/>
              <w:spacing w:after="0" w:line="197" w:lineRule="exact"/>
              <w:rPr>
                <w:sz w:val="20"/>
                <w:szCs w:val="20"/>
                <w:color w:val="auto"/>
              </w:rPr>
            </w:pPr>
            <w:r>
              <w:rPr>
                <w:rFonts w:ascii="Arial" w:cs="Arial" w:eastAsia="Arial" w:hAnsi="Arial"/>
                <w:sz w:val="18"/>
                <w:szCs w:val="18"/>
                <w:color w:val="auto"/>
              </w:rPr>
              <w:t>Class B common stock, $0.0001 par value; 250,000,000 shares authorized, 99,800,000 and</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42"/>
        </w:trPr>
        <w:tc>
          <w:tcPr>
            <w:tcW w:w="7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118,200,000 issued and outstanding at June 30, 2023 and December 31, 2022, respectvely</w:t>
            </w:r>
          </w:p>
        </w:tc>
        <w:tc>
          <w:tcPr>
            <w:tcW w:w="3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7520" w:type="dxa"/>
            <w:vAlign w:val="bottom"/>
          </w:tcPr>
          <w:p>
            <w:pPr>
              <w:ind w:left="120"/>
              <w:spacing w:after="0"/>
              <w:rPr>
                <w:sz w:val="20"/>
                <w:szCs w:val="20"/>
                <w:color w:val="auto"/>
              </w:rPr>
            </w:pPr>
            <w:r>
              <w:rPr>
                <w:rFonts w:ascii="Arial" w:cs="Arial" w:eastAsia="Arial" w:hAnsi="Arial"/>
                <w:sz w:val="18"/>
                <w:szCs w:val="18"/>
                <w:color w:val="auto"/>
              </w:rPr>
              <w:t>Additonal paid-in capital</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717,990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663,908</w:t>
            </w:r>
          </w:p>
        </w:tc>
        <w:tc>
          <w:tcPr>
            <w:tcW w:w="140" w:type="dxa"/>
            <w:vAlign w:val="bottom"/>
          </w:tcPr>
          <w:p>
            <w:pPr>
              <w:spacing w:after="0"/>
              <w:rPr>
                <w:sz w:val="20"/>
                <w:szCs w:val="20"/>
                <w:color w:val="auto"/>
              </w:rPr>
            </w:pPr>
          </w:p>
        </w:tc>
      </w:tr>
      <w:tr>
        <w:trPr>
          <w:trHeight w:val="205"/>
        </w:trPr>
        <w:tc>
          <w:tcPr>
            <w:tcW w:w="7520" w:type="dxa"/>
            <w:vAlign w:val="bottom"/>
            <w:shd w:val="clear" w:color="auto" w:fill="CFF0FC"/>
          </w:tcPr>
          <w:p>
            <w:pPr>
              <w:ind w:left="120"/>
              <w:spacing w:after="0" w:line="205" w:lineRule="exact"/>
              <w:rPr>
                <w:sz w:val="20"/>
                <w:szCs w:val="20"/>
                <w:color w:val="auto"/>
              </w:rPr>
            </w:pPr>
            <w:r>
              <w:rPr>
                <w:rFonts w:ascii="Arial" w:cs="Arial" w:eastAsia="Arial" w:hAnsi="Arial"/>
                <w:sz w:val="18"/>
                <w:szCs w:val="18"/>
                <w:color w:val="auto"/>
                <w:w w:val="93"/>
              </w:rPr>
              <w:t>Treasury stock, at cost, 5,291,497 and 4,342,477 shares at June 30, 2023 and December 31, 2022,</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42"/>
        </w:trPr>
        <w:tc>
          <w:tcPr>
            <w:tcW w:w="7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respectvely</w:t>
            </w:r>
          </w:p>
        </w:tc>
        <w:tc>
          <w:tcPr>
            <w:tcW w:w="3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(40,106 )</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(32,494 )</w:t>
            </w:r>
          </w:p>
        </w:tc>
      </w:tr>
      <w:tr>
        <w:trPr>
          <w:trHeight w:val="237"/>
        </w:trPr>
        <w:tc>
          <w:tcPr>
            <w:tcW w:w="7520" w:type="dxa"/>
            <w:vAlign w:val="bottom"/>
          </w:tcPr>
          <w:p>
            <w:pPr>
              <w:ind w:left="120"/>
              <w:spacing w:after="0"/>
              <w:rPr>
                <w:sz w:val="20"/>
                <w:szCs w:val="20"/>
                <w:color w:val="auto"/>
              </w:rPr>
            </w:pPr>
            <w:r>
              <w:rPr>
                <w:rFonts w:ascii="Arial" w:cs="Arial" w:eastAsia="Arial" w:hAnsi="Arial"/>
                <w:sz w:val="18"/>
                <w:szCs w:val="18"/>
                <w:color w:val="auto"/>
              </w:rPr>
              <w:t>Accumulated defcit</w:t>
            </w:r>
          </w:p>
        </w:tc>
        <w:tc>
          <w:tcPr>
            <w:tcW w:w="3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(971,238 )</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(1,014,132 )</w:t>
            </w:r>
          </w:p>
        </w:tc>
      </w:tr>
      <w:tr>
        <w:trPr>
          <w:trHeight w:val="236"/>
        </w:trPr>
        <w:tc>
          <w:tcPr>
            <w:tcW w:w="75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Shareholders' defcit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(293,333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(382,698</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Total liabilites, Redeemable noncontrolling interests, and Shareholders' defcit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1,324,684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1,151,431</w:t>
            </w:r>
          </w:p>
        </w:tc>
        <w:tc>
          <w:tcPr>
            <w:tcW w:w="140" w:type="dxa"/>
            <w:vAlign w:val="bottom"/>
          </w:tcPr>
          <w:p>
            <w:pPr>
              <w:spacing w:after="0"/>
              <w:rPr>
                <w:sz w:val="21"/>
                <w:szCs w:val="21"/>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-5434330</wp:posOffset>
            </wp:positionV>
            <wp:extent cx="8572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-5434330</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-4182745</wp:posOffset>
            </wp:positionV>
            <wp:extent cx="133731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310" cy="1797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-3231515</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-3231515</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-363220</wp:posOffset>
            </wp:positionV>
            <wp:extent cx="7145020" cy="363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3638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 (Unaudited)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87"/>
              </w:rPr>
              <w:t>Three Months Ended June 30,</w:t>
            </w:r>
          </w:p>
        </w:tc>
        <w:tc>
          <w:tcPr>
            <w:tcW w:w="180" w:type="dxa"/>
            <w:vAlign w:val="bottom"/>
          </w:tcPr>
          <w:p>
            <w:pPr>
              <w:spacing w:after="0"/>
              <w:rPr>
                <w:sz w:val="20"/>
                <w:szCs w:val="20"/>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6"/>
              </w:rPr>
              <w:t>Six Months Ended June 30,</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165,380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147,694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326,443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278,466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line="203" w:lineRule="exact"/>
              <w:rPr>
                <w:sz w:val="20"/>
                <w:szCs w:val="20"/>
                <w:color w:val="auto"/>
              </w:rPr>
            </w:pPr>
            <w:r>
              <w:rPr>
                <w:rFonts w:ascii="Arial" w:cs="Arial" w:eastAsia="Arial" w:hAnsi="Arial"/>
                <w:sz w:val="18"/>
                <w:szCs w:val="18"/>
                <w:color w:val="auto"/>
              </w:rPr>
              <w:t>Cost of revenues (exclusive of depreciaton and amortzaton shown</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separately below)</w:t>
            </w: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42,616</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32,422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80,376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64,586</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780" w:type="dxa"/>
            <w:vAlign w:val="bottom"/>
          </w:tcPr>
          <w:p>
            <w:pPr>
              <w:ind w:left="120"/>
              <w:spacing w:after="0"/>
              <w:rPr>
                <w:sz w:val="20"/>
                <w:szCs w:val="20"/>
                <w:color w:val="auto"/>
              </w:rPr>
            </w:pPr>
            <w:r>
              <w:rPr>
                <w:rFonts w:ascii="Arial" w:cs="Arial" w:eastAsia="Arial" w:hAnsi="Arial"/>
                <w:sz w:val="18"/>
                <w:szCs w:val="18"/>
                <w:color w:val="auto"/>
              </w:rPr>
              <w:t>Marketng and selling</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65,192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59,412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119,964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administratve</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65,482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780" w:type="dxa"/>
            <w:vAlign w:val="bottom"/>
          </w:tcPr>
          <w:p>
            <w:pPr>
              <w:ind w:left="120"/>
              <w:spacing w:after="0"/>
              <w:rPr>
                <w:sz w:val="20"/>
                <w:szCs w:val="20"/>
                <w:color w:val="auto"/>
              </w:rPr>
            </w:pPr>
            <w:r>
              <w:rPr>
                <w:rFonts w:ascii="Arial" w:cs="Arial" w:eastAsia="Arial" w:hAnsi="Arial"/>
                <w:sz w:val="18"/>
                <w:szCs w:val="18"/>
                <w:color w:val="auto"/>
              </w:rPr>
              <w:t>Depreciaton and amortzaton</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fair value of contngent consideraton</w:t>
            </w: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(1,052 )</w:t>
            </w: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(1,018 )</w:t>
            </w: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Income from operatons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17,613</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17,927</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51,123</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31,647</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780" w:type="dxa"/>
            <w:vAlign w:val="bottom"/>
          </w:tcPr>
          <w:p>
            <w:pPr>
              <w:ind w:left="120"/>
              <w:spacing w:after="0"/>
              <w:rPr>
                <w:sz w:val="20"/>
                <w:szCs w:val="20"/>
                <w:color w:val="auto"/>
              </w:rPr>
            </w:pPr>
            <w:r>
              <w:rPr>
                <w:rFonts w:ascii="Arial" w:cs="Arial" w:eastAsia="Arial" w:hAnsi="Arial"/>
                <w:sz w:val="18"/>
                <w:szCs w:val="18"/>
                <w:color w:val="auto"/>
              </w:rPr>
              <w:t>Interest expense – net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on extnguishment of debt</w:t>
            </w: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(8,832 )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(6,553 )</w:t>
            </w: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13,841</w:t>
            </w:r>
          </w:p>
        </w:tc>
        <w:tc>
          <w:tcPr>
            <w:tcW w:w="3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24,060</w:t>
            </w: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44,398</w:t>
            </w: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27,274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Pr>
          <w:p>
            <w:pPr>
              <w:ind w:left="20"/>
              <w:spacing w:after="0"/>
              <w:rPr>
                <w:sz w:val="20"/>
                <w:szCs w:val="20"/>
                <w:color w:val="auto"/>
              </w:rPr>
            </w:pPr>
            <w:r>
              <w:rPr>
                <w:rFonts w:ascii="Arial" w:cs="Arial" w:eastAsia="Arial" w:hAnsi="Arial"/>
                <w:sz w:val="18"/>
                <w:szCs w:val="18"/>
                <w:color w:val="auto"/>
              </w:rPr>
              <w:t>Income tax expense (beneft)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(24,485 )</w:t>
            </w:r>
          </w:p>
        </w:tc>
        <w:tc>
          <w:tcPr>
            <w:tcW w:w="1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(24,200 )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38,326</w:t>
            </w:r>
          </w:p>
        </w:tc>
        <w:tc>
          <w:tcPr>
            <w:tcW w:w="3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24,060</w:t>
            </w: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68,598</w:t>
            </w: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27,198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Net income atributable to redeemable noncontrolling interests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atributable to Class A Common Stockholders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30,712</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9,655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42,894</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10,914</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per Class A common stock:</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78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0.36</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Weighted average Class A common stock outstanding:</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85,269,196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79,256,354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81,319,369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79,204,430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w w:val="95"/>
              </w:rPr>
              <w:t>196,128,25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196,377,470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79,259,017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79,737,582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-2797175</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-2797175</wp:posOffset>
            </wp:positionV>
            <wp:extent cx="857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-2797175</wp:posOffset>
            </wp:positionV>
            <wp:extent cx="8572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-2797175</wp:posOffset>
            </wp:positionV>
            <wp:extent cx="857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-1220470</wp:posOffset>
            </wp:positionV>
            <wp:extent cx="26492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49220" cy="18034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1"/>
              </w:rPr>
              <w:t>Three Months Ended June 30,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4"/>
              </w:rPr>
              <w:t>Six Months Ended June 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38,326</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68,598</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net of taxes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38,326</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24,060</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68,598</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27,198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120"/>
              <w:spacing w:after="0" w:line="197" w:lineRule="exact"/>
              <w:rPr>
                <w:sz w:val="20"/>
                <w:szCs w:val="20"/>
                <w:color w:val="auto"/>
              </w:rPr>
            </w:pPr>
            <w:r>
              <w:rPr>
                <w:rFonts w:ascii="Arial" w:cs="Arial" w:eastAsia="Arial" w:hAnsi="Arial"/>
                <w:sz w:val="18"/>
                <w:szCs w:val="18"/>
                <w:color w:val="auto"/>
              </w:rPr>
              <w:t>Comprehensive income atributable to redeemable</w:t>
            </w:r>
          </w:p>
        </w:tc>
        <w:tc>
          <w:tcPr>
            <w:tcW w:w="2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7,614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14,405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25,704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16,284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78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b w:val="1"/>
                <w:bCs w:val="1"/>
                <w:color w:val="auto"/>
                <w:w w:val="99"/>
              </w:rPr>
              <w:t>Comprehensive income atributable to Class A Common</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30,712</w:t>
            </w:r>
          </w:p>
        </w:tc>
        <w:tc>
          <w:tcPr>
            <w:tcW w:w="280" w:type="dxa"/>
            <w:vAlign w:val="bottom"/>
            <w:vMerge w:val="restart"/>
            <w:shd w:val="clear" w:color="auto" w:fill="CFF0FC"/>
          </w:tcPr>
          <w:p>
            <w:pPr>
              <w:spacing w:after="0"/>
              <w:rPr>
                <w:sz w:val="16"/>
                <w:szCs w:val="16"/>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9,655</w:t>
            </w:r>
          </w:p>
        </w:tc>
        <w:tc>
          <w:tcPr>
            <w:tcW w:w="280" w:type="dxa"/>
            <w:vAlign w:val="bottom"/>
            <w:vMerge w:val="restart"/>
            <w:shd w:val="clear" w:color="auto" w:fill="CFF0FC"/>
          </w:tcPr>
          <w:p>
            <w:pPr>
              <w:spacing w:after="0"/>
              <w:rPr>
                <w:sz w:val="16"/>
                <w:szCs w:val="16"/>
                <w:color w:val="auto"/>
              </w:rPr>
            </w:pP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42,894</w:t>
            </w:r>
          </w:p>
        </w:tc>
        <w:tc>
          <w:tcPr>
            <w:tcW w:w="280" w:type="dxa"/>
            <w:vAlign w:val="bottom"/>
            <w:vMerge w:val="restart"/>
            <w:shd w:val="clear" w:color="auto" w:fill="CFF0FC"/>
          </w:tcPr>
          <w:p>
            <w:pPr>
              <w:spacing w:after="0"/>
              <w:rPr>
                <w:sz w:val="16"/>
                <w:szCs w:val="16"/>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10,914</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w:t>
            </w:r>
          </w:p>
        </w:tc>
        <w:tc>
          <w:tcPr>
            <w:tcW w:w="260" w:type="dxa"/>
            <w:vAlign w:val="bottom"/>
            <w:tcBorders>
              <w:bottom w:val="single" w:sz="8" w:color="auto"/>
            </w:tcBorders>
            <w:vMerge w:val="continue"/>
            <w:shd w:val="clear" w:color="auto" w:fill="CFF0FC"/>
          </w:tcPr>
          <w:p>
            <w:pPr>
              <w:spacing w:after="0"/>
              <w:rPr>
                <w:sz w:val="22"/>
                <w:szCs w:val="22"/>
                <w:color w:val="auto"/>
              </w:rPr>
            </w:pPr>
          </w:p>
        </w:tc>
        <w:tc>
          <w:tcPr>
            <w:tcW w:w="1120" w:type="dxa"/>
            <w:vAlign w:val="bottom"/>
            <w:tcBorders>
              <w:bottom w:val="single" w:sz="8" w:color="auto"/>
            </w:tcBorders>
            <w:vMerge w:val="continue"/>
            <w:shd w:val="clear" w:color="auto" w:fill="CFF0FC"/>
          </w:tcPr>
          <w:p>
            <w:pPr>
              <w:spacing w:after="0"/>
              <w:rPr>
                <w:sz w:val="22"/>
                <w:szCs w:val="22"/>
                <w:color w:val="auto"/>
              </w:rPr>
            </w:pPr>
          </w:p>
        </w:tc>
        <w:tc>
          <w:tcPr>
            <w:tcW w:w="280" w:type="dxa"/>
            <w:vAlign w:val="bottom"/>
            <w:tcBorders>
              <w:bottom w:val="single" w:sz="8" w:color="CFF0FC"/>
            </w:tcBorders>
            <w:vMerge w:val="continue"/>
            <w:shd w:val="clear" w:color="auto" w:fill="CFF0FC"/>
          </w:tcPr>
          <w:p>
            <w:pPr>
              <w:spacing w:after="0"/>
              <w:rPr>
                <w:sz w:val="22"/>
                <w:szCs w:val="22"/>
                <w:color w:val="auto"/>
              </w:rPr>
            </w:pPr>
          </w:p>
        </w:tc>
        <w:tc>
          <w:tcPr>
            <w:tcW w:w="300" w:type="dxa"/>
            <w:vAlign w:val="bottom"/>
            <w:tcBorders>
              <w:bottom w:val="single" w:sz="8" w:color="auto"/>
            </w:tcBorders>
            <w:vMerge w:val="continue"/>
            <w:shd w:val="clear" w:color="auto" w:fill="CFF0FC"/>
          </w:tcPr>
          <w:p>
            <w:pPr>
              <w:spacing w:after="0"/>
              <w:rPr>
                <w:sz w:val="22"/>
                <w:szCs w:val="22"/>
                <w:color w:val="auto"/>
              </w:rPr>
            </w:pPr>
          </w:p>
        </w:tc>
        <w:tc>
          <w:tcPr>
            <w:tcW w:w="1060" w:type="dxa"/>
            <w:vAlign w:val="bottom"/>
            <w:tcBorders>
              <w:bottom w:val="single" w:sz="8" w:color="auto"/>
            </w:tcBorders>
            <w:vMerge w:val="continue"/>
            <w:shd w:val="clear" w:color="auto" w:fill="CFF0FC"/>
          </w:tcPr>
          <w:p>
            <w:pPr>
              <w:spacing w:after="0"/>
              <w:rPr>
                <w:sz w:val="22"/>
                <w:szCs w:val="22"/>
                <w:color w:val="auto"/>
              </w:rPr>
            </w:pPr>
          </w:p>
        </w:tc>
        <w:tc>
          <w:tcPr>
            <w:tcW w:w="280" w:type="dxa"/>
            <w:vAlign w:val="bottom"/>
            <w:tcBorders>
              <w:bottom w:val="single" w:sz="8" w:color="CFF0FC"/>
            </w:tcBorders>
            <w:vMerge w:val="continue"/>
            <w:shd w:val="clear" w:color="auto" w:fill="CFF0FC"/>
          </w:tcPr>
          <w:p>
            <w:pPr>
              <w:spacing w:after="0"/>
              <w:rPr>
                <w:sz w:val="22"/>
                <w:szCs w:val="22"/>
                <w:color w:val="auto"/>
              </w:rPr>
            </w:pPr>
          </w:p>
        </w:tc>
        <w:tc>
          <w:tcPr>
            <w:tcW w:w="300" w:type="dxa"/>
            <w:vAlign w:val="bottom"/>
            <w:tcBorders>
              <w:bottom w:val="single" w:sz="8" w:color="auto"/>
            </w:tcBorders>
            <w:vMerge w:val="continue"/>
            <w:shd w:val="clear" w:color="auto" w:fill="CFF0FC"/>
          </w:tcPr>
          <w:p>
            <w:pPr>
              <w:spacing w:after="0"/>
              <w:rPr>
                <w:sz w:val="22"/>
                <w:szCs w:val="22"/>
                <w:color w:val="auto"/>
              </w:rPr>
            </w:pPr>
          </w:p>
        </w:tc>
        <w:tc>
          <w:tcPr>
            <w:tcW w:w="1080" w:type="dxa"/>
            <w:vAlign w:val="bottom"/>
            <w:tcBorders>
              <w:bottom w:val="single" w:sz="8" w:color="auto"/>
            </w:tcBorders>
            <w:vMerge w:val="continue"/>
            <w:shd w:val="clear" w:color="auto" w:fill="CFF0FC"/>
          </w:tcPr>
          <w:p>
            <w:pPr>
              <w:spacing w:after="0"/>
              <w:rPr>
                <w:sz w:val="22"/>
                <w:szCs w:val="22"/>
                <w:color w:val="auto"/>
              </w:rPr>
            </w:pPr>
          </w:p>
        </w:tc>
        <w:tc>
          <w:tcPr>
            <w:tcW w:w="280" w:type="dxa"/>
            <w:vAlign w:val="bottom"/>
            <w:tcBorders>
              <w:bottom w:val="single" w:sz="8" w:color="CFF0FC"/>
            </w:tcBorders>
            <w:vMerge w:val="continue"/>
            <w:shd w:val="clear" w:color="auto" w:fill="CFF0FC"/>
          </w:tcPr>
          <w:p>
            <w:pPr>
              <w:spacing w:after="0"/>
              <w:rPr>
                <w:sz w:val="22"/>
                <w:szCs w:val="22"/>
                <w:color w:val="auto"/>
              </w:rPr>
            </w:pPr>
          </w:p>
        </w:tc>
        <w:tc>
          <w:tcPr>
            <w:tcW w:w="300" w:type="dxa"/>
            <w:vAlign w:val="bottom"/>
            <w:tcBorders>
              <w:bottom w:val="single" w:sz="8" w:color="auto"/>
            </w:tcBorders>
            <w:vMerge w:val="continue"/>
            <w:shd w:val="clear" w:color="auto" w:fill="CFF0FC"/>
          </w:tcPr>
          <w:p>
            <w:pPr>
              <w:spacing w:after="0"/>
              <w:rPr>
                <w:sz w:val="22"/>
                <w:szCs w:val="22"/>
                <w:color w:val="auto"/>
              </w:rPr>
            </w:pPr>
          </w:p>
        </w:tc>
        <w:tc>
          <w:tcPr>
            <w:tcW w:w="1060" w:type="dxa"/>
            <w:vAlign w:val="bottom"/>
            <w:tcBorders>
              <w:bottom w:val="single" w:sz="8" w:color="auto"/>
            </w:tcBorders>
            <w:vMerge w:val="continue"/>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-25400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Redee</w:t>
      </w:r>
    </w:p>
    <w:p>
      <w:pPr>
        <w:spacing w:after="0" w:line="3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mable</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noncon</w:t>
      </w:r>
    </w:p>
    <w:p>
      <w:pPr>
        <w:spacing w:after="0" w:line="32"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trolling</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interest</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w:t>
      </w:r>
    </w:p>
    <w:p>
      <w:pPr>
        <w:spacing w:after="0" w:line="20" w:lineRule="exact"/>
        <w:rPr>
          <w:sz w:val="20"/>
          <w:szCs w:val="20"/>
          <w:color w:val="auto"/>
        </w:rPr>
      </w:pPr>
      <w:r>
        <w:rPr>
          <w:sz w:val="20"/>
          <w:szCs w:val="20"/>
          <w:color w:val="auto"/>
        </w:rPr>
        <w:br w:type="column"/>
      </w:r>
    </w:p>
    <w:p>
      <w:pPr>
        <w:jc w:val="center"/>
        <w:ind w:right="3600"/>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ind w:right="3600"/>
        <w:spacing w:after="0"/>
        <w:rPr>
          <w:sz w:val="20"/>
          <w:szCs w:val="20"/>
          <w:color w:val="auto"/>
        </w:rPr>
      </w:pPr>
      <w:r>
        <w:rPr>
          <w:rFonts w:ascii="Arial" w:cs="Arial" w:eastAsia="Arial" w:hAnsi="Arial"/>
          <w:sz w:val="13"/>
          <w:szCs w:val="13"/>
          <w:b w:val="1"/>
          <w:bCs w:val="1"/>
          <w:color w:val="auto"/>
        </w:rPr>
        <w:t>CONDENSED CONSOLIDATED STATEMENTS OF DEFICIT</w:t>
      </w:r>
    </w:p>
    <w:p>
      <w:pPr>
        <w:spacing w:after="0" w:line="67" w:lineRule="exact"/>
        <w:rPr>
          <w:sz w:val="20"/>
          <w:szCs w:val="20"/>
          <w:color w:val="auto"/>
        </w:rPr>
      </w:pPr>
    </w:p>
    <w:p>
      <w:pPr>
        <w:jc w:val="center"/>
        <w:ind w:right="3600"/>
        <w:spacing w:after="0"/>
        <w:rPr>
          <w:sz w:val="20"/>
          <w:szCs w:val="20"/>
          <w:color w:val="auto"/>
        </w:rPr>
      </w:pPr>
      <w:r>
        <w:rPr>
          <w:rFonts w:ascii="Arial" w:cs="Arial" w:eastAsia="Arial" w:hAnsi="Arial"/>
          <w:sz w:val="17"/>
          <w:szCs w:val="17"/>
          <w:b w:val="1"/>
          <w:bCs w:val="1"/>
          <w:color w:val="auto"/>
        </w:rPr>
        <w:t>(in thousands, except for share data) (Unaudited)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Class A Common</w:t>
            </w:r>
          </w:p>
        </w:tc>
        <w:tc>
          <w:tcPr>
            <w:tcW w:w="24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Class B Common</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60" w:type="dxa"/>
            <w:vAlign w:val="bottom"/>
          </w:tcPr>
          <w:p>
            <w:pPr>
              <w:ind w:left="540"/>
              <w:spacing w:after="0"/>
              <w:rPr>
                <w:sz w:val="20"/>
                <w:szCs w:val="20"/>
                <w:color w:val="auto"/>
              </w:rPr>
            </w:pPr>
            <w:r>
              <w:rPr>
                <w:rFonts w:ascii="Arial" w:cs="Arial" w:eastAsia="Arial" w:hAnsi="Arial"/>
                <w:sz w:val="18"/>
                <w:szCs w:val="18"/>
                <w:b w:val="1"/>
                <w:bCs w:val="1"/>
                <w:color w:val="auto"/>
                <w:w w:val="81"/>
              </w:rPr>
              <w:t>Stock</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Stock</w:t>
            </w:r>
          </w:p>
        </w:tc>
        <w:tc>
          <w:tcPr>
            <w:tcW w:w="108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w w:val="98"/>
              </w:rPr>
              <w:t>Treasury Stock</w:t>
            </w: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w:t>
            </w: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Accum</w:t>
            </w:r>
          </w:p>
        </w:tc>
        <w:tc>
          <w:tcPr>
            <w:tcW w:w="70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3"/>
              </w:rPr>
              <w:t>Total</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Amou</w:t>
            </w: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87"/>
              </w:rPr>
              <w:t>Amoun</w:t>
            </w: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onal</w:t>
            </w:r>
          </w:p>
        </w:tc>
        <w:tc>
          <w:tcPr>
            <w:tcW w:w="740" w:type="dxa"/>
            <w:vAlign w:val="bottom"/>
          </w:tcPr>
          <w:p>
            <w:pPr>
              <w:spacing w:after="0"/>
              <w:rPr>
                <w:sz w:val="9"/>
                <w:szCs w:val="9"/>
                <w:color w:val="auto"/>
              </w:rPr>
            </w:pPr>
          </w:p>
        </w:tc>
        <w:tc>
          <w:tcPr>
            <w:tcW w:w="76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7"/>
              </w:rPr>
              <w:t>Amoun</w:t>
            </w:r>
          </w:p>
        </w:tc>
        <w:tc>
          <w:tcPr>
            <w:tcW w:w="960" w:type="dxa"/>
            <w:vAlign w:val="bottom"/>
            <w:vMerge w:val="continue"/>
          </w:tcPr>
          <w:p>
            <w:pPr>
              <w:spacing w:after="0"/>
              <w:rPr>
                <w:sz w:val="9"/>
                <w:szCs w:val="9"/>
                <w:color w:val="auto"/>
              </w:rPr>
            </w:pPr>
          </w:p>
        </w:tc>
        <w:tc>
          <w:tcPr>
            <w:tcW w:w="70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8"/>
              </w:rPr>
              <w:t>shareh</w:t>
            </w:r>
          </w:p>
        </w:tc>
        <w:tc>
          <w:tcPr>
            <w:tcW w:w="0" w:type="dxa"/>
            <w:vAlign w:val="bottom"/>
          </w:tcPr>
          <w:p>
            <w:pPr>
              <w:spacing w:after="0"/>
              <w:rPr>
                <w:sz w:val="1"/>
                <w:szCs w:val="1"/>
                <w:color w:val="auto"/>
              </w:rPr>
            </w:pPr>
          </w:p>
        </w:tc>
      </w:tr>
      <w:tr>
        <w:trPr>
          <w:trHeight w:val="108"/>
        </w:trPr>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7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760" w:type="dxa"/>
            <w:vAlign w:val="bottom"/>
            <w:vMerge w:val="continue"/>
          </w:tcPr>
          <w:p>
            <w:pPr>
              <w:spacing w:after="0"/>
              <w:rPr>
                <w:sz w:val="9"/>
                <w:szCs w:val="9"/>
                <w:color w:val="auto"/>
              </w:rPr>
            </w:pPr>
          </w:p>
        </w:tc>
        <w:tc>
          <w:tcPr>
            <w:tcW w:w="9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ulated</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2"/>
              </w:rPr>
              <w:t>nt</w:t>
            </w: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w:t>
            </w: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paid-in</w:t>
            </w:r>
          </w:p>
        </w:tc>
        <w:tc>
          <w:tcPr>
            <w:tcW w:w="740" w:type="dxa"/>
            <w:vAlign w:val="bottom"/>
            <w:vMerge w:val="continue"/>
          </w:tcPr>
          <w:p>
            <w:pPr>
              <w:spacing w:after="0"/>
              <w:rPr>
                <w:sz w:val="9"/>
                <w:szCs w:val="9"/>
                <w:color w:val="auto"/>
              </w:rPr>
            </w:pPr>
          </w:p>
        </w:tc>
        <w:tc>
          <w:tcPr>
            <w:tcW w:w="76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9"/>
              </w:rPr>
              <w:t>t</w:t>
            </w:r>
          </w:p>
        </w:tc>
        <w:tc>
          <w:tcPr>
            <w:tcW w:w="960" w:type="dxa"/>
            <w:vAlign w:val="bottom"/>
            <w:vMerge w:val="continue"/>
          </w:tcPr>
          <w:p>
            <w:pPr>
              <w:spacing w:after="0"/>
              <w:rPr>
                <w:sz w:val="9"/>
                <w:szCs w:val="9"/>
                <w:color w:val="auto"/>
              </w:rPr>
            </w:pPr>
          </w:p>
        </w:tc>
        <w:tc>
          <w:tcPr>
            <w:tcW w:w="70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5"/>
              </w:rPr>
              <w:t>olders'</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defcit</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capital</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0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99"/>
              </w:rPr>
              <w:t>defcit</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ectPr>
          <w:pgSz w:w="11900" w:h="16838" w:orient="portrait"/>
          <w:cols w:equalWidth="0" w:num="2">
            <w:col w:w="3320" w:space="280"/>
            <w:col w:w="7640"/>
          </w:cols>
          <w:pgMar w:left="320" w:top="105" w:right="339" w:bottom="1440" w:gutter="0" w:footer="0" w:header="0"/>
        </w:sectPr>
      </w:pPr>
    </w:p>
    <w:tbl>
      <w:tblPr>
        <w:tblLayout w:type="fixed"/>
        <w:tblInd w:w="0" w:type="dxa"/>
        <w:tblCellMar>
          <w:top w:w="0" w:type="dxa"/>
          <w:left w:w="0" w:type="dxa"/>
          <w:bottom w:w="0" w:type="dxa"/>
          <w:right w:w="0" w:type="dxa"/>
        </w:tblCellMar>
      </w:tblPr>
      <w:tr>
        <w:trPr>
          <w:trHeight w:val="211"/>
        </w:trPr>
        <w:tc>
          <w:tcPr>
            <w:tcW w:w="27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1,286,</w:t>
            </w:r>
          </w:p>
        </w:tc>
        <w:tc>
          <w:tcPr>
            <w:tcW w:w="26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79,091</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(860,6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Balances at January 1, 2022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5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0,000</w:t>
            </w:r>
          </w:p>
        </w:tc>
        <w:tc>
          <w:tcPr>
            <w:tcW w:w="5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2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52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108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$ 2,794 )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5"/>
        </w:trPr>
        <w:tc>
          <w:tcPr>
            <w:tcW w:w="2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1,879</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of shares</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75,072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700" w:type="dxa"/>
            <w:vAlign w:val="bottom"/>
          </w:tcPr>
          <w:p>
            <w:pPr>
              <w:ind w:left="20"/>
              <w:spacing w:after="0" w:line="197" w:lineRule="exact"/>
              <w:rPr>
                <w:sz w:val="20"/>
                <w:szCs w:val="20"/>
                <w:color w:val="auto"/>
              </w:rPr>
            </w:pPr>
            <w:r>
              <w:rPr>
                <w:rFonts w:ascii="Arial" w:cs="Arial" w:eastAsia="Arial" w:hAnsi="Arial"/>
                <w:sz w:val="18"/>
                <w:szCs w:val="18"/>
                <w:color w:val="auto"/>
              </w:rPr>
              <w:t>Deemed contributon from former</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00" w:type="dxa"/>
            <w:vAlign w:val="bottom"/>
          </w:tcPr>
          <w:p>
            <w:pPr>
              <w:ind w:left="20"/>
              <w:spacing w:after="0"/>
              <w:rPr>
                <w:sz w:val="20"/>
                <w:szCs w:val="20"/>
                <w:color w:val="auto"/>
              </w:rPr>
            </w:pPr>
            <w:r>
              <w:rPr>
                <w:rFonts w:ascii="Arial" w:cs="Arial" w:eastAsia="Arial" w:hAnsi="Arial"/>
                <w:sz w:val="18"/>
                <w:szCs w:val="18"/>
                <w:color w:val="auto"/>
              </w:rPr>
              <w:t>parent</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463</w:t>
            </w:r>
          </w:p>
        </w:tc>
        <w:tc>
          <w:tcPr>
            <w:tcW w:w="26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2,44</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Equity-based compensaton</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2,443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700" w:type="dxa"/>
            <w:vAlign w:val="bottom"/>
          </w:tcPr>
          <w:p>
            <w:pPr>
              <w:ind w:left="20"/>
              <w:spacing w:after="0" w:line="197" w:lineRule="exact"/>
              <w:rPr>
                <w:sz w:val="20"/>
                <w:szCs w:val="20"/>
                <w:color w:val="auto"/>
              </w:rPr>
            </w:pPr>
            <w:r>
              <w:rPr>
                <w:rFonts w:ascii="Arial" w:cs="Arial" w:eastAsia="Arial" w:hAnsi="Arial"/>
                <w:sz w:val="18"/>
                <w:szCs w:val="18"/>
                <w:color w:val="auto"/>
              </w:rPr>
              <w:t>Subsequent remeasurement of</w:t>
            </w:r>
          </w:p>
        </w:tc>
        <w:tc>
          <w:tcPr>
            <w:tcW w:w="14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18,70</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92"/>
              </w:rPr>
              <w:t>(18,7</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(18,70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line="202" w:lineRule="exact"/>
              <w:rPr>
                <w:sz w:val="20"/>
                <w:szCs w:val="20"/>
                <w:color w:val="auto"/>
              </w:rPr>
            </w:pPr>
            <w:r>
              <w:rPr>
                <w:rFonts w:ascii="Arial" w:cs="Arial" w:eastAsia="Arial" w:hAnsi="Arial"/>
                <w:sz w:val="18"/>
                <w:szCs w:val="18"/>
                <w:color w:val="auto"/>
              </w:rPr>
              <w:t>Redeemable noncontrolling</w:t>
            </w: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70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06 )</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b w:val="1"/>
                <w:bCs w:val="1"/>
                <w:color w:val="auto"/>
                <w:w w:val="95"/>
              </w:rPr>
              <w:t>1,307,</w:t>
            </w: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b w:val="1"/>
                <w:bCs w:val="1"/>
                <w:color w:val="auto"/>
              </w:rPr>
              <w:t>79,166</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b w:val="1"/>
                <w:bCs w:val="1"/>
                <w:color w:val="auto"/>
              </w:rPr>
              <w:t>118,20</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b w:val="1"/>
                <w:bCs w:val="1"/>
                <w:color w:val="auto"/>
              </w:rPr>
              <w:t>166,</w:t>
            </w: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b w:val="1"/>
                <w:bCs w:val="1"/>
                <w:color w:val="auto"/>
              </w:rPr>
              <w:t>(1,04</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b w:val="1"/>
                <w:bCs w:val="1"/>
                <w:color w:val="auto"/>
                <w:w w:val="93"/>
              </w:rPr>
              <w:t>(875,2</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292</w:t>
            </w:r>
          </w:p>
        </w:tc>
        <w:tc>
          <w:tcPr>
            <w:tcW w:w="2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,943</w:t>
            </w:r>
          </w:p>
        </w:tc>
        <w:tc>
          <w:tcPr>
            <w:tcW w:w="5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0,000</w:t>
            </w:r>
          </w:p>
        </w:tc>
        <w:tc>
          <w:tcPr>
            <w:tcW w:w="5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291</w:t>
            </w:r>
          </w:p>
        </w:tc>
        <w:tc>
          <w:tcPr>
            <w:tcW w:w="2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b w:val="1"/>
                <w:bCs w:val="1"/>
                <w:color w:val="auto"/>
                <w:w w:val="88"/>
              </w:rPr>
              <w:t>—</w:t>
            </w:r>
          </w:p>
        </w:tc>
        <w:tc>
          <w:tcPr>
            <w:tcW w:w="52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b w:val="1"/>
                <w:bCs w:val="1"/>
                <w:color w:val="auto"/>
                <w:w w:val="88"/>
              </w:rPr>
              <w:t>—</w:t>
            </w:r>
          </w:p>
        </w:tc>
        <w:tc>
          <w:tcPr>
            <w:tcW w:w="108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$ 1,535 )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r>
        <w:trPr>
          <w:trHeight w:val="197"/>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Arial" w:cs="Arial" w:eastAsia="Arial" w:hAnsi="Arial"/>
                <w:sz w:val="18"/>
                <w:szCs w:val="18"/>
                <w:color w:val="auto"/>
              </w:rPr>
              <w:t>14,40</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9,655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9,655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of shares</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74,089</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700" w:type="dxa"/>
            <w:vAlign w:val="bottom"/>
          </w:tcPr>
          <w:p>
            <w:pPr>
              <w:ind w:left="20"/>
              <w:spacing w:after="0" w:line="197" w:lineRule="exact"/>
              <w:rPr>
                <w:sz w:val="20"/>
                <w:szCs w:val="20"/>
                <w:color w:val="auto"/>
              </w:rPr>
            </w:pPr>
            <w:r>
              <w:rPr>
                <w:rFonts w:ascii="Arial" w:cs="Arial" w:eastAsia="Arial" w:hAnsi="Arial"/>
                <w:sz w:val="18"/>
                <w:szCs w:val="18"/>
                <w:color w:val="auto"/>
              </w:rPr>
              <w:t>Deemed contributon from former</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00" w:type="dxa"/>
            <w:vAlign w:val="bottom"/>
          </w:tcPr>
          <w:p>
            <w:pPr>
              <w:ind w:left="20"/>
              <w:spacing w:after="0"/>
              <w:rPr>
                <w:sz w:val="20"/>
                <w:szCs w:val="20"/>
                <w:color w:val="auto"/>
              </w:rPr>
            </w:pPr>
            <w:r>
              <w:rPr>
                <w:rFonts w:ascii="Arial" w:cs="Arial" w:eastAsia="Arial" w:hAnsi="Arial"/>
                <w:sz w:val="18"/>
                <w:szCs w:val="18"/>
                <w:color w:val="auto"/>
              </w:rPr>
              <w:t>parent</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468</w:t>
            </w:r>
          </w:p>
        </w:tc>
        <w:tc>
          <w:tcPr>
            <w:tcW w:w="26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4,14</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Equity-based compensaton</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700" w:type="dxa"/>
            <w:vAlign w:val="bottom"/>
          </w:tcPr>
          <w:p>
            <w:pPr>
              <w:ind w:left="20"/>
              <w:spacing w:after="0" w:line="197" w:lineRule="exact"/>
              <w:rPr>
                <w:sz w:val="20"/>
                <w:szCs w:val="20"/>
                <w:color w:val="auto"/>
              </w:rPr>
            </w:pPr>
            <w:r>
              <w:rPr>
                <w:rFonts w:ascii="Arial" w:cs="Arial" w:eastAsia="Arial" w:hAnsi="Arial"/>
                <w:sz w:val="18"/>
                <w:szCs w:val="18"/>
                <w:color w:val="auto"/>
              </w:rPr>
              <w:t>Distributons to non-controlling</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line="197" w:lineRule="exact"/>
              <w:rPr>
                <w:sz w:val="20"/>
                <w:szCs w:val="20"/>
                <w:color w:val="auto"/>
              </w:rPr>
            </w:pPr>
            <w:r>
              <w:rPr>
                <w:rFonts w:ascii="Arial" w:cs="Arial" w:eastAsia="Arial" w:hAnsi="Arial"/>
                <w:sz w:val="18"/>
                <w:szCs w:val="18"/>
                <w:color w:val="auto"/>
                <w:w w:val="92"/>
              </w:rPr>
              <w:t>(4,10</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00" w:type="dxa"/>
            <w:vAlign w:val="bottom"/>
          </w:tcPr>
          <w:p>
            <w:pPr>
              <w:ind w:left="2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(4,108 )</w:t>
            </w:r>
          </w:p>
        </w:tc>
        <w:tc>
          <w:tcPr>
            <w:tcW w:w="0" w:type="dxa"/>
            <w:vAlign w:val="bottom"/>
          </w:tcPr>
          <w:p>
            <w:pPr>
              <w:spacing w:after="0"/>
              <w:rPr>
                <w:sz w:val="1"/>
                <w:szCs w:val="1"/>
                <w:color w:val="auto"/>
              </w:rPr>
            </w:pPr>
          </w:p>
        </w:tc>
      </w:tr>
      <w:tr>
        <w:trPr>
          <w:trHeight w:val="35"/>
        </w:trPr>
        <w:tc>
          <w:tcPr>
            <w:tcW w:w="2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Subsequent remeasurement of</w:t>
            </w:r>
          </w:p>
        </w:tc>
        <w:tc>
          <w:tcPr>
            <w:tcW w:w="140" w:type="dxa"/>
            <w:vAlign w:val="bottom"/>
            <w:shd w:val="clear" w:color="auto" w:fill="CFF0FC"/>
          </w:tcPr>
          <w:p>
            <w:pPr>
              <w:spacing w:after="0"/>
              <w:rPr>
                <w:sz w:val="17"/>
                <w:szCs w:val="17"/>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3"/>
              </w:rPr>
              <w:t>(439,4</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Redeemable noncontrolling</w:t>
            </w:r>
          </w:p>
        </w:tc>
        <w:tc>
          <w:tcPr>
            <w:tcW w:w="140" w:type="dxa"/>
            <w:vAlign w:val="bottom"/>
            <w:shd w:val="clear" w:color="auto" w:fill="CFF0FC"/>
          </w:tcPr>
          <w:p>
            <w:pPr>
              <w:spacing w:after="0"/>
              <w:rPr>
                <w:sz w:val="17"/>
                <w:szCs w:val="17"/>
                <w:color w:val="auto"/>
              </w:rPr>
            </w:pPr>
          </w:p>
        </w:tc>
        <w:tc>
          <w:tcPr>
            <w:tcW w:w="50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42 )</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7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882,9</w:t>
            </w:r>
          </w:p>
        </w:tc>
        <w:tc>
          <w:tcPr>
            <w:tcW w:w="260" w:type="dxa"/>
            <w:vAlign w:val="bottom"/>
            <w:tcBorders>
              <w:top w:val="single" w:sz="8" w:color="CFF0FC"/>
            </w:tcBorders>
          </w:tcPr>
          <w:p>
            <w:pPr>
              <w:spacing w:after="0"/>
              <w:rPr>
                <w:sz w:val="16"/>
                <w:szCs w:val="16"/>
                <w:color w:val="auto"/>
              </w:rPr>
            </w:pPr>
          </w:p>
        </w:tc>
        <w:tc>
          <w:tcPr>
            <w:tcW w:w="6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79,241</w:t>
            </w:r>
          </w:p>
        </w:tc>
        <w:tc>
          <w:tcPr>
            <w:tcW w:w="26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6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118,20</w:t>
            </w:r>
          </w:p>
        </w:tc>
        <w:tc>
          <w:tcPr>
            <w:tcW w:w="26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606,</w:t>
            </w:r>
          </w:p>
        </w:tc>
        <w:tc>
          <w:tcPr>
            <w:tcW w:w="260" w:type="dxa"/>
            <w:vAlign w:val="bottom"/>
            <w:tcBorders>
              <w:top w:val="single" w:sz="8" w:color="CFF0FC"/>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(1,03</w:t>
            </w: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w w:val="93"/>
              </w:rPr>
              <w:t>(425,6</w:t>
            </w: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26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0,000</w:t>
            </w:r>
          </w:p>
        </w:tc>
        <w:tc>
          <w:tcPr>
            <w:tcW w:w="26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260" w:type="dxa"/>
            <w:vAlign w:val="bottom"/>
          </w:tcPr>
          <w:p>
            <w:pPr>
              <w:spacing w:after="0"/>
              <w:rPr>
                <w:sz w:val="22"/>
                <w:szCs w:val="22"/>
                <w:color w:val="auto"/>
              </w:rPr>
            </w:pPr>
          </w:p>
        </w:tc>
        <w:tc>
          <w:tcPr>
            <w:tcW w:w="640" w:type="dxa"/>
            <w:vAlign w:val="bottom"/>
          </w:tcPr>
          <w:p>
            <w:pPr>
              <w:ind w:left="460"/>
              <w:spacing w:after="0"/>
              <w:rPr>
                <w:sz w:val="20"/>
                <w:szCs w:val="20"/>
                <w:color w:val="auto"/>
              </w:rPr>
            </w:pPr>
            <w:r>
              <w:rPr>
                <w:rFonts w:ascii="Arial" w:cs="Arial" w:eastAsia="Arial" w:hAnsi="Arial"/>
                <w:sz w:val="18"/>
                <w:szCs w:val="18"/>
                <w:b w:val="1"/>
                <w:bCs w:val="1"/>
                <w:color w:val="auto"/>
                <w:w w:val="88"/>
              </w:rPr>
              <w:t>—</w:t>
            </w:r>
          </w:p>
        </w:tc>
        <w:tc>
          <w:tcPr>
            <w:tcW w:w="26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ind w:left="16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$ 1,880 )</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7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-848360</wp:posOffset>
            </wp:positionV>
            <wp:extent cx="85725"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-848360</wp:posOffset>
            </wp:positionV>
            <wp:extent cx="76835" cy="325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-848360</wp:posOffset>
            </wp:positionV>
            <wp:extent cx="76835"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-848360</wp:posOffset>
            </wp:positionV>
            <wp:extent cx="85725"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-848360</wp:posOffset>
            </wp:positionV>
            <wp:extent cx="76835"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-848360</wp:posOffset>
            </wp:positionV>
            <wp:extent cx="7683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-848360</wp:posOffset>
            </wp:positionV>
            <wp:extent cx="85725" cy="32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-848360</wp:posOffset>
            </wp:positionV>
            <wp:extent cx="76835"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-848360</wp:posOffset>
            </wp:positionV>
            <wp:extent cx="85725" cy="325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-848360</wp:posOffset>
            </wp:positionV>
            <wp:extent cx="85725"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Redee</w:t>
      </w:r>
    </w:p>
    <w:p>
      <w:pPr>
        <w:spacing w:after="0" w:line="3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mable</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noncon</w:t>
      </w:r>
    </w:p>
    <w:p>
      <w:pPr>
        <w:spacing w:after="0" w:line="32"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trolling</w:t>
      </w:r>
    </w:p>
    <w:p>
      <w:pPr>
        <w:spacing w:after="0" w:line="21"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interest</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w:t>
      </w:r>
    </w:p>
    <w:p>
      <w:pPr>
        <w:spacing w:after="0" w:line="20" w:lineRule="exact"/>
        <w:rPr>
          <w:sz w:val="20"/>
          <w:szCs w:val="20"/>
          <w:color w:val="auto"/>
        </w:rPr>
      </w:pPr>
      <w:r>
        <w:rPr>
          <w:sz w:val="20"/>
          <w:szCs w:val="20"/>
          <w:color w:val="auto"/>
        </w:rPr>
        <w:br w:type="column"/>
      </w:r>
    </w:p>
    <w:p>
      <w:pPr>
        <w:jc w:val="center"/>
        <w:ind w:right="3620"/>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ind w:right="3620"/>
        <w:spacing w:after="0"/>
        <w:rPr>
          <w:sz w:val="20"/>
          <w:szCs w:val="20"/>
          <w:color w:val="auto"/>
        </w:rPr>
      </w:pPr>
      <w:r>
        <w:rPr>
          <w:rFonts w:ascii="Arial" w:cs="Arial" w:eastAsia="Arial" w:hAnsi="Arial"/>
          <w:sz w:val="13"/>
          <w:szCs w:val="13"/>
          <w:b w:val="1"/>
          <w:bCs w:val="1"/>
          <w:color w:val="auto"/>
        </w:rPr>
        <w:t>CONDENSED CONSOLIDATED STATEMENTS OF DEFICIT</w:t>
      </w:r>
    </w:p>
    <w:p>
      <w:pPr>
        <w:spacing w:after="0" w:line="67" w:lineRule="exact"/>
        <w:rPr>
          <w:sz w:val="20"/>
          <w:szCs w:val="20"/>
          <w:color w:val="auto"/>
        </w:rPr>
      </w:pPr>
    </w:p>
    <w:p>
      <w:pPr>
        <w:jc w:val="center"/>
        <w:ind w:right="3620"/>
        <w:spacing w:after="0"/>
        <w:rPr>
          <w:sz w:val="20"/>
          <w:szCs w:val="20"/>
          <w:color w:val="auto"/>
        </w:rPr>
      </w:pPr>
      <w:r>
        <w:rPr>
          <w:rFonts w:ascii="Arial" w:cs="Arial" w:eastAsia="Arial" w:hAnsi="Arial"/>
          <w:sz w:val="17"/>
          <w:szCs w:val="17"/>
          <w:b w:val="1"/>
          <w:bCs w:val="1"/>
          <w:color w:val="auto"/>
        </w:rPr>
        <w:t>(in thousands, except for share data) (Unaudited)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Class A Common</w:t>
            </w:r>
          </w:p>
        </w:tc>
        <w:tc>
          <w:tcPr>
            <w:tcW w:w="26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Class B Common</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40" w:type="dxa"/>
            <w:vAlign w:val="bottom"/>
          </w:tcPr>
          <w:p>
            <w:pPr>
              <w:ind w:left="520"/>
              <w:spacing w:after="0"/>
              <w:rPr>
                <w:sz w:val="20"/>
                <w:szCs w:val="20"/>
                <w:color w:val="auto"/>
              </w:rPr>
            </w:pPr>
            <w:r>
              <w:rPr>
                <w:rFonts w:ascii="Arial" w:cs="Arial" w:eastAsia="Arial" w:hAnsi="Arial"/>
                <w:sz w:val="18"/>
                <w:szCs w:val="18"/>
                <w:b w:val="1"/>
                <w:bCs w:val="1"/>
                <w:color w:val="auto"/>
                <w:w w:val="81"/>
              </w:rPr>
              <w:t>Stock</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Stock</w:t>
            </w:r>
          </w:p>
        </w:tc>
        <w:tc>
          <w:tcPr>
            <w:tcW w:w="108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w w:val="98"/>
              </w:rPr>
              <w:t>Treasury Stock</w:t>
            </w: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Addit</w:t>
            </w: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Accum</w:t>
            </w:r>
          </w:p>
        </w:tc>
        <w:tc>
          <w:tcPr>
            <w:tcW w:w="68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83"/>
              </w:rPr>
              <w:t>Total</w:t>
            </w: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Amou</w:t>
            </w: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90"/>
              </w:rPr>
              <w:t>Amoun</w:t>
            </w: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onal</w:t>
            </w:r>
          </w:p>
        </w:tc>
        <w:tc>
          <w:tcPr>
            <w:tcW w:w="740" w:type="dxa"/>
            <w:vAlign w:val="bottom"/>
          </w:tcPr>
          <w:p>
            <w:pPr>
              <w:spacing w:after="0"/>
              <w:rPr>
                <w:sz w:val="9"/>
                <w:szCs w:val="9"/>
                <w:color w:val="auto"/>
              </w:rPr>
            </w:pPr>
          </w:p>
        </w:tc>
        <w:tc>
          <w:tcPr>
            <w:tcW w:w="76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7"/>
              </w:rPr>
              <w:t>Amoun</w:t>
            </w:r>
          </w:p>
        </w:tc>
        <w:tc>
          <w:tcPr>
            <w:tcW w:w="960" w:type="dxa"/>
            <w:vAlign w:val="bottom"/>
            <w:vMerge w:val="continue"/>
          </w:tcPr>
          <w:p>
            <w:pPr>
              <w:spacing w:after="0"/>
              <w:rPr>
                <w:sz w:val="9"/>
                <w:szCs w:val="9"/>
                <w:color w:val="auto"/>
              </w:rPr>
            </w:pPr>
          </w:p>
        </w:tc>
        <w:tc>
          <w:tcPr>
            <w:tcW w:w="68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4"/>
              </w:rPr>
              <w:t>shareh</w:t>
            </w:r>
          </w:p>
        </w:tc>
        <w:tc>
          <w:tcPr>
            <w:tcW w:w="0" w:type="dxa"/>
            <w:vAlign w:val="bottom"/>
          </w:tcPr>
          <w:p>
            <w:pPr>
              <w:spacing w:after="0"/>
              <w:rPr>
                <w:sz w:val="1"/>
                <w:szCs w:val="1"/>
                <w:color w:val="auto"/>
              </w:rPr>
            </w:pPr>
          </w:p>
        </w:tc>
      </w:tr>
      <w:tr>
        <w:trPr>
          <w:trHeight w:val="108"/>
        </w:trPr>
        <w:tc>
          <w:tcPr>
            <w:tcW w:w="9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5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7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760" w:type="dxa"/>
            <w:vAlign w:val="bottom"/>
            <w:vMerge w:val="continue"/>
          </w:tcPr>
          <w:p>
            <w:pPr>
              <w:spacing w:after="0"/>
              <w:rPr>
                <w:sz w:val="9"/>
                <w:szCs w:val="9"/>
                <w:color w:val="auto"/>
              </w:rPr>
            </w:pPr>
          </w:p>
        </w:tc>
        <w:tc>
          <w:tcPr>
            <w:tcW w:w="9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ulated</w:t>
            </w: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nt</w:t>
            </w:r>
          </w:p>
        </w:tc>
        <w:tc>
          <w:tcPr>
            <w:tcW w:w="2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w:t>
            </w: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paid-in</w:t>
            </w:r>
          </w:p>
        </w:tc>
        <w:tc>
          <w:tcPr>
            <w:tcW w:w="740" w:type="dxa"/>
            <w:vAlign w:val="bottom"/>
            <w:vMerge w:val="continue"/>
          </w:tcPr>
          <w:p>
            <w:pPr>
              <w:spacing w:after="0"/>
              <w:rPr>
                <w:sz w:val="9"/>
                <w:szCs w:val="9"/>
                <w:color w:val="auto"/>
              </w:rPr>
            </w:pPr>
          </w:p>
        </w:tc>
        <w:tc>
          <w:tcPr>
            <w:tcW w:w="76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9"/>
              </w:rPr>
              <w:t>t</w:t>
            </w:r>
          </w:p>
        </w:tc>
        <w:tc>
          <w:tcPr>
            <w:tcW w:w="960" w:type="dxa"/>
            <w:vAlign w:val="bottom"/>
            <w:vMerge w:val="continue"/>
          </w:tcPr>
          <w:p>
            <w:pPr>
              <w:spacing w:after="0"/>
              <w:rPr>
                <w:sz w:val="9"/>
                <w:szCs w:val="9"/>
                <w:color w:val="auto"/>
              </w:rPr>
            </w:pPr>
          </w:p>
        </w:tc>
        <w:tc>
          <w:tcPr>
            <w:tcW w:w="68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5"/>
              </w:rPr>
              <w:t>olders'</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defcit</w:t>
            </w: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capital</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8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95"/>
              </w:rPr>
              <w:t>defcit</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ectPr>
          <w:pgSz w:w="11900" w:h="16838" w:orient="portrait"/>
          <w:cols w:equalWidth="0" w:num="2">
            <w:col w:w="3340" w:space="280"/>
            <w:col w:w="7620"/>
          </w:cols>
          <w:pgMar w:left="320" w:top="105" w:right="339" w:bottom="1440" w:gutter="0" w:footer="0" w:header="0"/>
        </w:sectPr>
      </w:pPr>
    </w:p>
    <w:tbl>
      <w:tblPr>
        <w:tblLayout w:type="fixed"/>
        <w:tblInd w:w="0" w:type="dxa"/>
        <w:tblCellMar>
          <w:top w:w="0" w:type="dxa"/>
          <w:left w:w="0" w:type="dxa"/>
          <w:bottom w:w="0" w:type="dxa"/>
          <w:right w:w="0" w:type="dxa"/>
        </w:tblCellMar>
      </w:tblPr>
      <w:tr>
        <w:trPr>
          <w:trHeight w:val="211"/>
        </w:trPr>
        <w:tc>
          <w:tcPr>
            <w:tcW w:w="27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26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82,410</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6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(4,342</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(32,4</w:t>
            </w:r>
          </w:p>
        </w:tc>
        <w:tc>
          <w:tcPr>
            <w:tcW w:w="24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(382,6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Balances at January 1, 2023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0,000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,477 )</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94 )</w:t>
            </w:r>
          </w:p>
        </w:tc>
        <w:tc>
          <w:tcPr>
            <w:tcW w:w="8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0"/>
              </w:rPr>
              <w:t>$ 4,132 )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Arial" w:cs="Arial" w:eastAsia="Arial" w:hAnsi="Arial"/>
                <w:sz w:val="18"/>
                <w:szCs w:val="18"/>
                <w:color w:val="auto"/>
              </w:rPr>
              <w:t>18,09</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197" w:lineRule="exact"/>
              <w:rPr>
                <w:sz w:val="20"/>
                <w:szCs w:val="20"/>
                <w:color w:val="auto"/>
              </w:rPr>
            </w:pPr>
            <w:r>
              <w:rPr>
                <w:rFonts w:ascii="Arial" w:cs="Arial" w:eastAsia="Arial" w:hAnsi="Arial"/>
                <w:sz w:val="18"/>
                <w:szCs w:val="18"/>
                <w:color w:val="auto"/>
              </w:rPr>
              <w:t>12,18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Arial" w:cs="Arial" w:eastAsia="Arial" w:hAnsi="Arial"/>
                <w:sz w:val="18"/>
                <w:szCs w:val="18"/>
                <w:color w:val="auto"/>
              </w:rPr>
              <w:t>12,18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491,50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of shares</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720" w:type="dxa"/>
            <w:vAlign w:val="bottom"/>
          </w:tcPr>
          <w:p>
            <w:pPr>
              <w:ind w:left="20"/>
              <w:spacing w:after="0" w:line="197" w:lineRule="exact"/>
              <w:rPr>
                <w:sz w:val="20"/>
                <w:szCs w:val="20"/>
                <w:color w:val="auto"/>
              </w:rPr>
            </w:pPr>
            <w:r>
              <w:rPr>
                <w:rFonts w:ascii="Arial" w:cs="Arial" w:eastAsia="Arial" w:hAnsi="Arial"/>
                <w:sz w:val="18"/>
                <w:szCs w:val="18"/>
                <w:color w:val="auto"/>
              </w:rPr>
              <w:t>Deemed contributon from former</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Arial" w:cs="Arial" w:eastAsia="Arial" w:hAnsi="Arial"/>
                <w:sz w:val="18"/>
                <w:szCs w:val="18"/>
                <w:color w:val="auto"/>
              </w:rPr>
              <w:t>parent</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577</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4,61</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Equity-based compensaton</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line="197" w:lineRule="exact"/>
              <w:rPr>
                <w:sz w:val="20"/>
                <w:szCs w:val="20"/>
                <w:color w:val="auto"/>
              </w:rPr>
            </w:pPr>
            <w:r>
              <w:rPr>
                <w:rFonts w:ascii="Arial" w:cs="Arial" w:eastAsia="Arial" w:hAnsi="Arial"/>
                <w:sz w:val="18"/>
                <w:szCs w:val="18"/>
                <w:color w:val="auto"/>
              </w:rPr>
              <w:t>(949,0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line="197" w:lineRule="exact"/>
              <w:rPr>
                <w:sz w:val="20"/>
                <w:szCs w:val="20"/>
                <w:color w:val="auto"/>
              </w:rPr>
            </w:pPr>
            <w:r>
              <w:rPr>
                <w:rFonts w:ascii="Arial" w:cs="Arial" w:eastAsia="Arial" w:hAnsi="Arial"/>
                <w:sz w:val="18"/>
                <w:szCs w:val="18"/>
                <w:color w:val="auto"/>
                <w:w w:val="97"/>
              </w:rPr>
              <w:t>(7,61</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(7,612 )</w:t>
            </w:r>
          </w:p>
        </w:tc>
        <w:tc>
          <w:tcPr>
            <w:tcW w:w="0" w:type="dxa"/>
            <w:vAlign w:val="bottom"/>
          </w:tcPr>
          <w:p>
            <w:pPr>
              <w:spacing w:after="0"/>
              <w:rPr>
                <w:sz w:val="1"/>
                <w:szCs w:val="1"/>
                <w:color w:val="auto"/>
              </w:rPr>
            </w:pPr>
          </w:p>
        </w:tc>
      </w:tr>
      <w:tr>
        <w:trPr>
          <w:trHeight w:val="35"/>
        </w:trPr>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Distributons to non-controlling</w:t>
            </w: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6"/>
              </w:rPr>
              <w:t>(3,816 )</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720" w:type="dxa"/>
            <w:vAlign w:val="bottom"/>
          </w:tcPr>
          <w:p>
            <w:pPr>
              <w:ind w:left="20"/>
              <w:spacing w:after="0" w:line="197" w:lineRule="exact"/>
              <w:rPr>
                <w:sz w:val="20"/>
                <w:szCs w:val="20"/>
                <w:color w:val="auto"/>
              </w:rPr>
            </w:pPr>
            <w:r>
              <w:rPr>
                <w:rFonts w:ascii="Arial" w:cs="Arial" w:eastAsia="Arial" w:hAnsi="Arial"/>
                <w:sz w:val="18"/>
                <w:szCs w:val="18"/>
                <w:color w:val="auto"/>
              </w:rPr>
              <w:t>Subsequent remeasurement of</w:t>
            </w:r>
          </w:p>
        </w:tc>
        <w:tc>
          <w:tcPr>
            <w:tcW w:w="14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24,15</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92"/>
              </w:rPr>
              <w:t>(24,1</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(24,15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rPr>
              <w:t>Redeemable noncontrolling</w:t>
            </w: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72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55 )</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
        </w:trPr>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b w:val="1"/>
                <w:bCs w:val="1"/>
                <w:color w:val="auto"/>
              </w:rPr>
              <w:t>118,2</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901,8</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82,90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00,00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644,</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(5,291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(40,1</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(397,2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w:t>
            </w:r>
          </w:p>
        </w:tc>
        <w:tc>
          <w:tcPr>
            <w:tcW w:w="2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2,276</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759</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,497 )</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06 )</w:t>
            </w:r>
          </w:p>
        </w:tc>
        <w:tc>
          <w:tcPr>
            <w:tcW w:w="8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0"/>
              </w:rPr>
              <w:t>$ 1,950 )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76 )</w:t>
            </w: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197" w:lineRule="exact"/>
              <w:rPr>
                <w:sz w:val="20"/>
                <w:szCs w:val="20"/>
                <w:color w:val="auto"/>
              </w:rPr>
            </w:pPr>
            <w:r>
              <w:rPr>
                <w:rFonts w:ascii="Arial" w:cs="Arial" w:eastAsia="Arial" w:hAnsi="Arial"/>
                <w:sz w:val="18"/>
                <w:szCs w:val="18"/>
                <w:color w:val="auto"/>
              </w:rPr>
              <w:t>30,71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Arial" w:cs="Arial" w:eastAsia="Arial" w:hAnsi="Arial"/>
                <w:sz w:val="18"/>
                <w:szCs w:val="18"/>
                <w:color w:val="auto"/>
              </w:rPr>
              <w:t>30,71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7,614</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309,52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of shares</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720" w:type="dxa"/>
            <w:vAlign w:val="bottom"/>
          </w:tcPr>
          <w:p>
            <w:pPr>
              <w:ind w:left="20"/>
              <w:spacing w:after="0" w:line="197" w:lineRule="exact"/>
              <w:rPr>
                <w:sz w:val="20"/>
                <w:szCs w:val="20"/>
                <w:color w:val="auto"/>
              </w:rPr>
            </w:pPr>
            <w:r>
              <w:rPr>
                <w:rFonts w:ascii="Arial" w:cs="Arial" w:eastAsia="Arial" w:hAnsi="Arial"/>
                <w:sz w:val="18"/>
                <w:szCs w:val="18"/>
                <w:color w:val="auto"/>
              </w:rPr>
              <w:t>Deemed contributon from former</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Arial" w:cs="Arial" w:eastAsia="Arial" w:hAnsi="Arial"/>
                <w:sz w:val="18"/>
                <w:szCs w:val="18"/>
                <w:color w:val="auto"/>
              </w:rPr>
              <w:t>parent</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Secondary Ofering of Class A</w:t>
            </w: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w w:val="90"/>
              </w:rPr>
              <w:t>(145,0</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18,400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197" w:lineRule="exact"/>
              <w:rPr>
                <w:sz w:val="20"/>
                <w:szCs w:val="20"/>
                <w:color w:val="auto"/>
              </w:rPr>
            </w:pPr>
            <w:r>
              <w:rPr>
                <w:rFonts w:ascii="Arial" w:cs="Arial" w:eastAsia="Arial" w:hAnsi="Arial"/>
                <w:sz w:val="18"/>
                <w:szCs w:val="18"/>
                <w:color w:val="auto"/>
              </w:rPr>
              <w:t>(18,40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145,0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64 )</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0,000 )</w:t>
            </w: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7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4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5" w:right="339" w:bottom="1440" w:gutter="0" w:footer="0" w:header="0"/>
          <w:type w:val="continuous"/>
        </w:sectPr>
      </w:pP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Equity-based compensaton</w:t>
      </w:r>
    </w:p>
    <w:p>
      <w:pPr>
        <w:spacing w:after="0" w:line="36" w:lineRule="exact"/>
        <w:rPr>
          <w:sz w:val="20"/>
          <w:szCs w:val="20"/>
          <w:color w:val="auto"/>
        </w:rPr>
      </w:pPr>
    </w:p>
    <w:p>
      <w:pPr>
        <w:ind w:left="20" w:right="240"/>
        <w:spacing w:after="0" w:line="266" w:lineRule="auto"/>
        <w:rPr>
          <w:sz w:val="20"/>
          <w:szCs w:val="20"/>
          <w:color w:val="auto"/>
        </w:rPr>
      </w:pPr>
      <w:r>
        <w:rPr>
          <w:rFonts w:ascii="Arial" w:cs="Arial" w:eastAsia="Arial" w:hAnsi="Arial"/>
          <w:sz w:val="18"/>
          <w:szCs w:val="18"/>
          <w:color w:val="auto"/>
        </w:rPr>
        <w:t>Distributons to non-controlling interest</w:t>
      </w:r>
    </w:p>
    <w:p>
      <w:pPr>
        <w:ind w:left="20" w:right="260"/>
        <w:spacing w:after="0" w:line="276" w:lineRule="auto"/>
        <w:rPr>
          <w:sz w:val="20"/>
          <w:szCs w:val="20"/>
          <w:color w:val="auto"/>
        </w:rPr>
      </w:pPr>
      <w:r>
        <w:rPr>
          <w:rFonts w:ascii="Arial" w:cs="Arial" w:eastAsia="Arial" w:hAnsi="Arial"/>
          <w:sz w:val="17"/>
          <w:szCs w:val="17"/>
          <w:color w:val="auto"/>
        </w:rPr>
        <w:t>Subsequent remeasurement of Redeemable noncontrolling interests</w:t>
      </w:r>
    </w:p>
    <w:p>
      <w:pPr>
        <w:spacing w:after="0" w:line="1" w:lineRule="exact"/>
        <w:rPr>
          <w:sz w:val="20"/>
          <w:szCs w:val="20"/>
          <w:color w:val="auto"/>
        </w:rPr>
      </w:pPr>
    </w:p>
    <w:p>
      <w:pPr>
        <w:ind w:left="20"/>
        <w:spacing w:after="0" w:line="278" w:lineRule="auto"/>
        <w:rPr>
          <w:sz w:val="20"/>
          <w:szCs w:val="20"/>
          <w:color w:val="auto"/>
        </w:rPr>
      </w:pPr>
      <w:r>
        <w:rPr>
          <w:rFonts w:ascii="Arial" w:cs="Arial" w:eastAsia="Arial" w:hAnsi="Arial"/>
          <w:sz w:val="17"/>
          <w:szCs w:val="17"/>
          <w:color w:val="auto"/>
        </w:rPr>
        <w:t>Establishment of liabilites under the Tax Receivable Agreement, net of tax and other tax impact of the Secondary Ofering (Note 13)</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Balances at June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6,52</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7"/>
        </w:trPr>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6,524</w:t>
            </w:r>
          </w:p>
        </w:tc>
        <w:tc>
          <w:tcPr>
            <w:tcW w:w="80" w:type="dxa"/>
            <w:vAlign w:val="bottom"/>
          </w:tcPr>
          <w:p>
            <w:pPr>
              <w:spacing w:after="0"/>
              <w:rPr>
                <w:sz w:val="19"/>
                <w:szCs w:val="19"/>
                <w:color w:val="auto"/>
              </w:rPr>
            </w:pPr>
          </w:p>
        </w:tc>
      </w:tr>
      <w:tr>
        <w:trPr>
          <w:trHeight w:val="459"/>
        </w:trPr>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(7,200 )</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48"/>
        </w:trPr>
        <w:tc>
          <w:tcPr>
            <w:tcW w:w="640" w:type="dxa"/>
            <w:vAlign w:val="bottom"/>
          </w:tcPr>
          <w:p>
            <w:pPr>
              <w:jc w:val="right"/>
              <w:spacing w:after="0"/>
              <w:rPr>
                <w:sz w:val="20"/>
                <w:szCs w:val="20"/>
                <w:color w:val="auto"/>
              </w:rPr>
            </w:pPr>
            <w:r>
              <w:rPr>
                <w:rFonts w:ascii="Arial" w:cs="Arial" w:eastAsia="Arial" w:hAnsi="Arial"/>
                <w:sz w:val="18"/>
                <w:szCs w:val="18"/>
                <w:color w:val="auto"/>
              </w:rPr>
              <w:t>32,65</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(32,65</w:t>
            </w:r>
          </w:p>
        </w:tc>
        <w:tc>
          <w:tcPr>
            <w:tcW w:w="80" w:type="dxa"/>
            <w:vAlign w:val="bottom"/>
          </w:tcPr>
          <w:p>
            <w:pPr>
              <w:spacing w:after="0"/>
              <w:rPr>
                <w:sz w:val="24"/>
                <w:szCs w:val="24"/>
                <w:color w:val="auto"/>
              </w:rPr>
            </w:pPr>
          </w:p>
        </w:tc>
      </w:tr>
      <w:tr>
        <w:trPr>
          <w:trHeight w:val="227"/>
        </w:trPr>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56 )</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651"/>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(46,13</w:t>
            </w:r>
          </w:p>
        </w:tc>
        <w:tc>
          <w:tcPr>
            <w:tcW w:w="80" w:type="dxa"/>
            <w:vAlign w:val="bottom"/>
          </w:tcPr>
          <w:p>
            <w:pPr>
              <w:spacing w:after="0"/>
              <w:rPr>
                <w:sz w:val="24"/>
                <w:szCs w:val="24"/>
                <w:color w:val="auto"/>
              </w:rPr>
            </w:pPr>
          </w:p>
        </w:tc>
      </w:tr>
      <w:tr>
        <w:trPr>
          <w:trHeight w:val="227"/>
        </w:trPr>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32 )</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35"/>
        </w:trPr>
        <w:tc>
          <w:tcPr>
            <w:tcW w:w="6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89"/>
        </w:trPr>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101,6</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790,4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11,80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99,80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717,</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(5,291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7"/>
              </w:rPr>
              <w:t>(40,1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(971,</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(293,3</w:t>
            </w:r>
          </w:p>
        </w:tc>
        <w:tc>
          <w:tcPr>
            <w:tcW w:w="80" w:type="dxa"/>
            <w:vAlign w:val="bottom"/>
          </w:tcPr>
          <w:p>
            <w:pPr>
              <w:spacing w:after="0"/>
              <w:rPr>
                <w:sz w:val="18"/>
                <w:szCs w:val="18"/>
                <w:color w:val="auto"/>
              </w:rPr>
            </w:pPr>
          </w:p>
        </w:tc>
      </w:tr>
      <w:tr>
        <w:trPr>
          <w:trHeight w:val="231"/>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89"/>
              </w:rPr>
              <w:t>$16</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   11</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0,000</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  990</w:t>
            </w:r>
          </w:p>
        </w:tc>
        <w:tc>
          <w:tcPr>
            <w:tcW w:w="26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,497 )  $</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06 )</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238 )</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$33 )</w:t>
            </w:r>
          </w:p>
        </w:tc>
      </w:tr>
      <w:tr>
        <w:trPr>
          <w:trHeight w:val="33"/>
        </w:trPr>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-1739900</wp:posOffset>
            </wp:positionV>
            <wp:extent cx="7132320"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-1019175</wp:posOffset>
            </wp:positionV>
            <wp:extent cx="7132320" cy="1019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19810"/>
                    </a:xfrm>
                    <a:prstGeom prst="rect">
                      <a:avLst/>
                    </a:prstGeom>
                    <a:noFill/>
                  </pic:spPr>
                </pic:pic>
              </a:graphicData>
            </a:graphic>
          </wp:anchor>
        </w:drawing>
      </w:r>
    </w:p>
    <w:p>
      <w:pPr>
        <w:spacing w:after="0" w:line="96" w:lineRule="exact"/>
        <w:rPr>
          <w:sz w:val="20"/>
          <w:szCs w:val="20"/>
          <w:color w:val="auto"/>
        </w:rPr>
      </w:pPr>
    </w:p>
    <w:p>
      <w:pPr>
        <w:jc w:val="center"/>
        <w:ind w:right="2720"/>
        <w:spacing w:after="0"/>
        <w:rPr>
          <w:sz w:val="20"/>
          <w:szCs w:val="20"/>
          <w:color w:val="auto"/>
        </w:rPr>
      </w:pPr>
      <w:r>
        <w:rPr>
          <w:rFonts w:ascii="Arial" w:cs="Arial" w:eastAsia="Arial" w:hAnsi="Arial"/>
          <w:sz w:val="17"/>
          <w:szCs w:val="17"/>
          <w:color w:val="auto"/>
        </w:rPr>
        <w:t>The accompanying notes are an integral part of these fnancial statements.</w:t>
      </w:r>
    </w:p>
    <w:p>
      <w:pPr>
        <w:spacing w:after="0" w:line="129" w:lineRule="exact"/>
        <w:rPr>
          <w:sz w:val="20"/>
          <w:szCs w:val="20"/>
          <w:color w:val="auto"/>
        </w:rPr>
      </w:pPr>
    </w:p>
    <w:p>
      <w:pPr>
        <w:jc w:val="center"/>
        <w:ind w:right="27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81915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40" w:space="180"/>
            <w:col w:w="8520"/>
          </w:cols>
          <w:pgMar w:left="320" w:top="105"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51"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Six Months Ended June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33"/>
        </w:trPr>
        <w:tc>
          <w:tcPr>
            <w:tcW w:w="7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fows from operatng actvites</w:t>
            </w: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68,598</w:t>
            </w:r>
          </w:p>
        </w:tc>
        <w:tc>
          <w:tcPr>
            <w:tcW w:w="3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27,198</w:t>
            </w: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Adjustments to reconcile net income to net cash provided by operatng actvites: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Depreciaton and amortzaton</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5,302</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3,111</w:t>
            </w: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Amortzaton of deferred fnancing costs and interest rate cap</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Equity-based compensaton expense</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12,910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8,909</w:t>
            </w: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on extnguishment of debt</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w:t>
            </w: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Change in fair value of warrants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673</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(6,553 )</w:t>
            </w: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Amortzaton of leases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Loss on asset disposals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fair value of contngent consideraton</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(1,018 )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Deferred taxes</w:t>
            </w:r>
          </w:p>
        </w:tc>
        <w:tc>
          <w:tcPr>
            <w:tcW w:w="104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w w:val="94"/>
              </w:rPr>
              <w:t>(24,577 )</w:t>
            </w:r>
          </w:p>
        </w:tc>
        <w:tc>
          <w:tcPr>
            <w:tcW w:w="38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51"/>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Change in assets and liabilites: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(9,770 )</w:t>
            </w: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(8,171 )</w:t>
            </w: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Inventory</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94"/>
              </w:rPr>
              <w:t>(15,227 )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(9,429 )</w:t>
            </w: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w w:val="94"/>
              </w:rPr>
              <w:t>(16,696 )</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13,412</w:t>
            </w: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42,905</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(638 )</w:t>
            </w: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liabilites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13,586</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(38,014 )</w:t>
            </w: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(1,913 )</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120"/>
              <w:spacing w:after="0"/>
              <w:rPr>
                <w:sz w:val="20"/>
                <w:szCs w:val="20"/>
                <w:color w:val="auto"/>
              </w:rPr>
            </w:pPr>
            <w:r>
              <w:rPr>
                <w:rFonts w:ascii="Arial" w:cs="Arial" w:eastAsia="Arial" w:hAnsi="Arial"/>
                <w:sz w:val="18"/>
                <w:szCs w:val="18"/>
                <w:color w:val="auto"/>
              </w:rPr>
              <w:t>Other non-current assets and liabilites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7,132</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(1,974 )</w:t>
            </w: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operatng actvites</w:t>
            </w:r>
          </w:p>
        </w:tc>
        <w:tc>
          <w:tcPr>
            <w:tcW w:w="104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82,670</w:t>
            </w:r>
          </w:p>
        </w:tc>
        <w:tc>
          <w:tcPr>
            <w:tcW w:w="32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1,406</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fows from investng actvites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(606 )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(1,392 )</w:t>
            </w: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Purchases of personal seat licenses</w:t>
            </w:r>
          </w:p>
        </w:tc>
        <w:tc>
          <w:tcPr>
            <w:tcW w:w="104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(486 )</w:t>
            </w: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(137 )</w:t>
            </w: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Investments in developed technology</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(4,491 )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(5,394 )</w:t>
            </w:r>
          </w:p>
        </w:tc>
      </w:tr>
      <w:tr>
        <w:trPr>
          <w:trHeight w:val="237"/>
        </w:trPr>
        <w:tc>
          <w:tcPr>
            <w:tcW w:w="7460" w:type="dxa"/>
            <w:vAlign w:val="bottom"/>
          </w:tcPr>
          <w:p>
            <w:pPr>
              <w:ind w:left="120"/>
              <w:spacing w:after="0"/>
              <w:rPr>
                <w:sz w:val="20"/>
                <w:szCs w:val="20"/>
                <w:color w:val="auto"/>
              </w:rPr>
            </w:pPr>
            <w:r>
              <w:rPr>
                <w:rFonts w:ascii="Arial" w:cs="Arial" w:eastAsia="Arial" w:hAnsi="Arial"/>
                <w:sz w:val="18"/>
                <w:szCs w:val="18"/>
                <w:color w:val="auto"/>
              </w:rPr>
              <w:t>Cash adjustment in acquisiton</w:t>
            </w:r>
          </w:p>
        </w:tc>
        <w:tc>
          <w:tcPr>
            <w:tcW w:w="1040" w:type="dxa"/>
            <w:vAlign w:val="bottom"/>
          </w:tcPr>
          <w:p>
            <w:pPr>
              <w:spacing w:after="0"/>
              <w:rPr>
                <w:sz w:val="20"/>
                <w:szCs w:val="20"/>
                <w:color w:val="auto"/>
              </w:rPr>
            </w:pPr>
          </w:p>
        </w:tc>
        <w:tc>
          <w:tcPr>
            <w:tcW w:w="9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used in investng actvites</w:t>
            </w:r>
          </w:p>
        </w:tc>
        <w:tc>
          <w:tcPr>
            <w:tcW w:w="104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(5,583</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(6,931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fows from fnancing actvites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Payments of February 2022 First Lien Loan</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(1,375 )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(687 )</w:t>
            </w: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Repurchase of common stock as treasury stock</w:t>
            </w:r>
          </w:p>
        </w:tc>
        <w:tc>
          <w:tcPr>
            <w:tcW w:w="104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(7,612 )</w:t>
            </w:r>
          </w:p>
        </w:tc>
        <w:tc>
          <w:tcPr>
            <w:tcW w:w="38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paid for milestone payments</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(2,500 )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Tax distributons</w:t>
            </w:r>
          </w:p>
        </w:tc>
        <w:tc>
          <w:tcPr>
            <w:tcW w:w="104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w w:val="94"/>
              </w:rPr>
              <w:t>(11,016 )</w:t>
            </w:r>
          </w:p>
        </w:tc>
        <w:tc>
          <w:tcPr>
            <w:tcW w:w="38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Payments of June 2017 First Lien Loan</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(465,712 )</w:t>
            </w: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Proceeds from February 2022 First Lien Loan</w:t>
            </w:r>
          </w:p>
        </w:tc>
        <w:tc>
          <w:tcPr>
            <w:tcW w:w="1040" w:type="dxa"/>
            <w:vAlign w:val="bottom"/>
          </w:tcPr>
          <w:p>
            <w:pPr>
              <w:spacing w:after="0"/>
              <w:rPr>
                <w:sz w:val="20"/>
                <w:szCs w:val="20"/>
                <w:color w:val="auto"/>
              </w:rPr>
            </w:pPr>
          </w:p>
        </w:tc>
        <w:tc>
          <w:tcPr>
            <w:tcW w:w="9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275,000</w:t>
            </w:r>
          </w:p>
        </w:tc>
        <w:tc>
          <w:tcPr>
            <w:tcW w:w="140" w:type="dxa"/>
            <w:vAlign w:val="bottom"/>
          </w:tcPr>
          <w:p>
            <w:pPr>
              <w:spacing w:after="0"/>
              <w:rPr>
                <w:sz w:val="20"/>
                <w:szCs w:val="20"/>
                <w:color w:val="auto"/>
              </w:rPr>
            </w:pPr>
          </w:p>
        </w:tc>
      </w:tr>
      <w:tr>
        <w:trPr>
          <w:trHeight w:val="243"/>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Payments of deferred fnancing costs and other debt-related costs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(4,856 )</w:t>
            </w:r>
          </w:p>
        </w:tc>
      </w:tr>
      <w:tr>
        <w:trPr>
          <w:trHeight w:val="22"/>
        </w:trPr>
        <w:tc>
          <w:tcPr>
            <w:tcW w:w="74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Net cash used in fnancing actvites</w:t>
            </w:r>
          </w:p>
        </w:tc>
        <w:tc>
          <w:tcPr>
            <w:tcW w:w="104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4"/>
              </w:rPr>
              <w:t>(22,503 )</w:t>
            </w: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(196,255 )</w:t>
            </w:r>
          </w:p>
        </w:tc>
      </w:tr>
      <w:tr>
        <w:trPr>
          <w:trHeight w:val="237"/>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54,584</w:t>
            </w:r>
          </w:p>
        </w:tc>
        <w:tc>
          <w:tcPr>
            <w:tcW w:w="3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(201,780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252,290</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489,810</w:t>
            </w:r>
          </w:p>
        </w:tc>
        <w:tc>
          <w:tcPr>
            <w:tcW w:w="140" w:type="dxa"/>
            <w:vAlign w:val="bottom"/>
          </w:tcPr>
          <w:p>
            <w:pPr>
              <w:spacing w:after="0"/>
              <w:rPr>
                <w:sz w:val="20"/>
                <w:szCs w:val="20"/>
                <w:color w:val="auto"/>
              </w:rPr>
            </w:pPr>
          </w:p>
        </w:tc>
      </w:tr>
      <w:tr>
        <w:trPr>
          <w:trHeight w:val="283"/>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306,874</w:t>
            </w:r>
          </w:p>
        </w:tc>
        <w:tc>
          <w:tcPr>
            <w:tcW w:w="3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288,030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7"/>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fow informaton:</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paid for interest</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6,285</w:t>
            </w: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Cash paid for income tax</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paid for operatng lease liabilites</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120"/>
              <w:spacing w:after="0"/>
              <w:rPr>
                <w:sz w:val="20"/>
                <w:szCs w:val="20"/>
                <w:color w:val="auto"/>
              </w:rPr>
            </w:pPr>
            <w:r>
              <w:rPr>
                <w:rFonts w:ascii="Arial" w:cs="Arial" w:eastAsia="Arial" w:hAnsi="Arial"/>
                <w:sz w:val="18"/>
                <w:szCs w:val="18"/>
                <w:color w:val="auto"/>
              </w:rPr>
              <w:t>Right-of-use assets obtained in exchange for lease obligatons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3,406</w:t>
            </w: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Establishment of liabilites under Tax Receivable Agreement</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98,977</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Pr>
          <w:p>
            <w:pPr>
              <w:ind w:left="120"/>
              <w:spacing w:after="0"/>
              <w:rPr>
                <w:sz w:val="20"/>
                <w:szCs w:val="20"/>
                <w:color w:val="auto"/>
              </w:rPr>
            </w:pPr>
            <w:r>
              <w:rPr>
                <w:rFonts w:ascii="Arial" w:cs="Arial" w:eastAsia="Arial" w:hAnsi="Arial"/>
                <w:sz w:val="18"/>
                <w:szCs w:val="18"/>
                <w:color w:val="auto"/>
                <w:w w:val="98"/>
              </w:rPr>
              <w:t>Establishment of deferred tax asset under Tax Receivable Agreement and Secondary Ofering</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52,845</w:t>
            </w:r>
          </w:p>
        </w:tc>
        <w:tc>
          <w:tcPr>
            <w:tcW w:w="3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410"/>
        </w:trPr>
        <w:tc>
          <w:tcPr>
            <w:tcW w:w="7460" w:type="dxa"/>
            <w:vAlign w:val="bottom"/>
          </w:tcPr>
          <w:p>
            <w:pPr>
              <w:ind w:left="5580"/>
              <w:spacing w:after="0"/>
              <w:rPr>
                <w:sz w:val="20"/>
                <w:szCs w:val="20"/>
                <w:color w:val="auto"/>
              </w:rPr>
            </w:pPr>
            <w:r>
              <w:rPr>
                <w:rFonts w:ascii="Arial" w:cs="Arial" w:eastAsia="Arial" w:hAnsi="Arial"/>
                <w:sz w:val="18"/>
                <w:szCs w:val="18"/>
                <w:color w:val="auto"/>
              </w:rPr>
              <w:t>8</w:t>
            </w:r>
          </w:p>
        </w:tc>
        <w:tc>
          <w:tcPr>
            <w:tcW w:w="10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6"/>
        </w:trPr>
        <w:tc>
          <w:tcPr>
            <w:tcW w:w="74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-7714615</wp:posOffset>
            </wp:positionV>
            <wp:extent cx="2314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-2125345</wp:posOffset>
            </wp:positionV>
            <wp:extent cx="8572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-2125345</wp:posOffset>
            </wp:positionV>
            <wp:extent cx="8572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-1799590</wp:posOffset>
            </wp:positionV>
            <wp:extent cx="8572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-1799590</wp:posOffset>
            </wp:positionV>
            <wp:extent cx="8572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-1473835</wp:posOffset>
            </wp:positionV>
            <wp:extent cx="134620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4620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(Unaudited)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fnancial statements.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resentation</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Vivid Seats Inc. and its subsidiaries including Hoya Intermediate, LLC ("Hoya Intermediate"), Hoya Midco, LLC ("Hoya Midco"), and Vivid Seats LLC (collectvely the “Company,” “us,” “we,” and “our”) provide an online secondary tcket marketplace that enables tcket buyers to discover and easily purchase tckets to concert, sportng and theater events in the United States and Canada. Through our Marketplace segment, we operate an online platorm enabling tcket buyers to purchase tckets to live events, while enabling tcket sellers to seamlessly manage their operatons. In our Resale segment, we acquire tckets to resell on secondary tcket marketplaces, including our own.</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prepared these unaudited condensed consolidated fnancial statements in accordance with accountng principles generally accepted in the United States of America ("GAAP") for interim fnancial informaton and the instructons to the Quarterly Report on Form 10-Q and Artcle 10 of Regulaton S-X issued by the U.S. Securites and Exchange Commission ("SEC"). Accordingly, they do not include all of the informaton and notes required by GAAP for comprehensive annual fnancial statements. These condensed consolidated fnancial statements are not necessarily indicatve of results that may be expected for any other interim period or for the full year. These condensed consolidated fnancial statements should be read together with the audited annual consolidated fnancial statements and accompanying notes included in our Annual Report on Form 10-K for the fscal year ended December 31, 2022 and Amendment No. 1 thereto, which were fled with the SEC on March 7, 2023 and May 9, 2023, respectvely (together, our “2022 Form 10-K”). These condensed consolidated fnancial statements include all of our accounts, including those of our consolidated subsidiaries. All intercompany transactons and balances have been eliminated in consolidaton. Certain prior period amounts of Other non-current assets have been reclassifed to conform to current period presentaton. These reclassifcatons had no efect on previously reported totals for assets, liabilites, shareholders' defcit, cash fows or net income.</w:t>
      </w:r>
    </w:p>
    <w:p>
      <w:pPr>
        <w:spacing w:after="0" w:line="13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accountng standards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Financial Accountng Standards Board ("FASB") issued Accountng Standards Update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which changes how enttes will measure credit losses for fnancial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certain other instruments that are not measured at fair value through net income. The new expected credit loss impairment model requires immediate recogniton of estmated credit losses expected to occur. ASU 2019-10, </w:t>
      </w:r>
      <w:r>
        <w:rPr>
          <w:rFonts w:ascii="Arial" w:cs="Arial" w:eastAsia="Arial" w:hAnsi="Arial"/>
          <w:sz w:val="18"/>
          <w:szCs w:val="18"/>
          <w:i w:val="1"/>
          <w:iCs w:val="1"/>
          <w:color w:val="auto"/>
        </w:rPr>
        <w:t>Financial Instruments-Credit Losses (Topic 326), Derivatves and Hedging (Topic</w:t>
      </w:r>
      <w:r>
        <w:rPr>
          <w:rFonts w:ascii="Arial" w:cs="Arial" w:eastAsia="Arial" w:hAnsi="Arial"/>
          <w:sz w:val="18"/>
          <w:szCs w:val="18"/>
          <w:color w:val="auto"/>
        </w:rPr>
        <w:t xml:space="preserve"> </w:t>
      </w:r>
      <w:r>
        <w:rPr>
          <w:rFonts w:ascii="Arial" w:cs="Arial" w:eastAsia="Arial" w:hAnsi="Arial"/>
          <w:sz w:val="18"/>
          <w:szCs w:val="18"/>
          <w:i w:val="1"/>
          <w:iCs w:val="1"/>
          <w:color w:val="auto"/>
        </w:rPr>
        <w:t>815), and Leases (Topic 842): Efectve Dates</w:t>
      </w:r>
      <w:r>
        <w:rPr>
          <w:rFonts w:ascii="Arial" w:cs="Arial" w:eastAsia="Arial" w:hAnsi="Arial"/>
          <w:sz w:val="18"/>
          <w:szCs w:val="18"/>
          <w:color w:val="auto"/>
        </w:rPr>
        <w:t>, deferred the efectve date for non-public companies. The standard is efectve for non-public companies for</w:t>
      </w:r>
      <w:r>
        <w:rPr>
          <w:rFonts w:ascii="Arial" w:cs="Arial" w:eastAsia="Arial" w:hAnsi="Arial"/>
          <w:sz w:val="18"/>
          <w:szCs w:val="18"/>
          <w:i w:val="1"/>
          <w:iCs w:val="1"/>
          <w:color w:val="auto"/>
        </w:rPr>
        <w:t xml:space="preserve"> </w:t>
      </w:r>
      <w:r>
        <w:rPr>
          <w:rFonts w:ascii="Arial" w:cs="Arial" w:eastAsia="Arial" w:hAnsi="Arial"/>
          <w:sz w:val="18"/>
          <w:szCs w:val="18"/>
          <w:color w:val="auto"/>
        </w:rPr>
        <w:t>fscal years beginning afer December 15, 2022. We adopted these requirements as of January 1, 2023 with no material impact on our consolidated fnancial statements.</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Facilitaton of the Efects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Reportng</w:t>
      </w:r>
      <w:r>
        <w:rPr>
          <w:rFonts w:ascii="Arial" w:cs="Arial" w:eastAsia="Arial" w:hAnsi="Arial"/>
          <w:sz w:val="16"/>
          <w:szCs w:val="16"/>
          <w:color w:val="auto"/>
        </w:rPr>
        <w:t>, as modifed in January 2021. The ASU is intended to help stakeholders during the global market-wide reference rate transiton period.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provides optonal expedients and exceptons for applying GAAP to contract modifcatons and hedging relatonships, subject to meetng certain criteria, that reference the London Interbank Ofered Rate (“LIBOR”) or another reference rate expected to be discontnued. The guidance also establishes</w:t>
      </w:r>
    </w:p>
    <w:p>
      <w:pPr>
        <w:spacing w:after="0" w:line="1" w:lineRule="exact"/>
        <w:rPr>
          <w:sz w:val="20"/>
          <w:szCs w:val="20"/>
          <w:color w:val="auto"/>
        </w:rPr>
      </w:pPr>
    </w:p>
    <w:p>
      <w:pPr>
        <w:ind w:firstLine="8"/>
        <w:spacing w:after="0" w:line="323" w:lineRule="auto"/>
        <w:tabs>
          <w:tab w:leader="none" w:pos="251" w:val="left"/>
        </w:tabs>
        <w:numPr>
          <w:ilvl w:val="0"/>
          <w:numId w:val="5"/>
        </w:numPr>
        <w:rPr>
          <w:rFonts w:ascii="Arial" w:cs="Arial" w:eastAsia="Arial" w:hAnsi="Arial"/>
          <w:sz w:val="16"/>
          <w:szCs w:val="16"/>
          <w:color w:val="auto"/>
        </w:rPr>
      </w:pPr>
      <w:r>
        <w:rPr>
          <w:rFonts w:ascii="Arial" w:cs="Arial" w:eastAsia="Arial" w:hAnsi="Arial"/>
          <w:sz w:val="16"/>
          <w:szCs w:val="16"/>
          <w:color w:val="auto"/>
        </w:rPr>
        <w:t>a general contract modifcaton principle that enttes can apply in other areas that may be afected by reference rate reform and (2) certain electve hedge accountng expedients. We adopted these requirements as of January 1, 2023 with no material impact on our consolidated fnancial statements.</w:t>
      </w:r>
    </w:p>
    <w:p>
      <w:pPr>
        <w:spacing w:after="0" w:line="5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ecognition</w:t>
      </w:r>
    </w:p>
    <w:p>
      <w:pPr>
        <w:spacing w:after="0" w:line="16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xml:space="preserve">We recognize revenue in accordance with Accountng Standards Codifcaton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We have two reportable segments: Marketplace and Resale.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Through the Marketplace segment, we act as an intermediary between tcket buyers and sellers. We earn revenue processing tcket sales from our Owned Propertes, consistng of the Vivid Seats website and our mobile applicatons, and from our Private Label ofering, which is comprised of numerous distributon partners.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Marketplace revenues consisted of the following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4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4060" w:type="dxa"/>
            <w:vAlign w:val="bottom"/>
          </w:tcPr>
          <w:p>
            <w:pPr>
              <w:ind w:left="20"/>
              <w:spacing w:after="0"/>
              <w:rPr>
                <w:sz w:val="20"/>
                <w:szCs w:val="20"/>
                <w:color w:val="auto"/>
              </w:rPr>
            </w:pPr>
            <w:r>
              <w:rPr>
                <w:rFonts w:ascii="Arial" w:cs="Arial" w:eastAsia="Arial" w:hAnsi="Arial"/>
                <w:sz w:val="18"/>
                <w:szCs w:val="18"/>
                <w:color w:val="auto"/>
              </w:rPr>
              <w:t>Owned Propertes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103,413</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98,564</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206,228</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182,230</w:t>
            </w:r>
          </w:p>
        </w:tc>
        <w:tc>
          <w:tcPr>
            <w:tcW w:w="140" w:type="dxa"/>
            <w:vAlign w:val="bottom"/>
          </w:tcPr>
          <w:p>
            <w:pPr>
              <w:spacing w:after="0"/>
              <w:rPr>
                <w:sz w:val="20"/>
                <w:szCs w:val="20"/>
                <w:color w:val="auto"/>
              </w:rPr>
            </w:pPr>
          </w:p>
        </w:tc>
      </w:tr>
      <w:tr>
        <w:trPr>
          <w:trHeight w:val="245"/>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Private Label</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35,737</w:t>
            </w:r>
          </w:p>
        </w:tc>
        <w:tc>
          <w:tcPr>
            <w:tcW w:w="3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31,350</w:t>
            </w:r>
          </w:p>
        </w:tc>
        <w:tc>
          <w:tcPr>
            <w:tcW w:w="4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69,503</w:t>
            </w:r>
          </w:p>
        </w:tc>
        <w:tc>
          <w:tcPr>
            <w:tcW w:w="4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4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Total Marketplace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139,150</w:t>
            </w:r>
          </w:p>
        </w:tc>
        <w:tc>
          <w:tcPr>
            <w:tcW w:w="3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129,914</w:t>
            </w:r>
          </w:p>
        </w:tc>
        <w:tc>
          <w:tcPr>
            <w:tcW w:w="4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275,731</w:t>
            </w:r>
          </w:p>
        </w:tc>
        <w:tc>
          <w:tcPr>
            <w:tcW w:w="4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240,430</w:t>
            </w:r>
          </w:p>
        </w:tc>
        <w:tc>
          <w:tcPr>
            <w:tcW w:w="14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27"/>
        </w:trPr>
        <w:tc>
          <w:tcPr>
            <w:tcW w:w="6200" w:type="dxa"/>
            <w:vAlign w:val="bottom"/>
            <w:gridSpan w:val="5"/>
          </w:tcPr>
          <w:p>
            <w:pPr>
              <w:spacing w:after="0"/>
              <w:rPr>
                <w:sz w:val="20"/>
                <w:szCs w:val="20"/>
                <w:color w:val="auto"/>
              </w:rPr>
            </w:pPr>
            <w:r>
              <w:rPr>
                <w:rFonts w:ascii="Arial" w:cs="Arial" w:eastAsia="Arial" w:hAnsi="Arial"/>
                <w:sz w:val="18"/>
                <w:szCs w:val="18"/>
                <w:color w:val="auto"/>
                <w:w w:val="95"/>
              </w:rPr>
              <w:t>Marketplace revenues consisted of the following event categories (in thousands):</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7"/>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24"/>
                <w:szCs w:val="24"/>
                <w:color w:val="auto"/>
              </w:rPr>
            </w:pPr>
          </w:p>
        </w:tc>
      </w:tr>
      <w:tr>
        <w:trPr>
          <w:trHeight w:val="33"/>
        </w:trPr>
        <w:tc>
          <w:tcPr>
            <w:tcW w:w="4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4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4060" w:type="dxa"/>
            <w:vAlign w:val="bottom"/>
          </w:tcPr>
          <w:p>
            <w:pPr>
              <w:ind w:left="20"/>
              <w:spacing w:after="0"/>
              <w:rPr>
                <w:sz w:val="20"/>
                <w:szCs w:val="20"/>
                <w:color w:val="auto"/>
              </w:rPr>
            </w:pPr>
            <w:r>
              <w:rPr>
                <w:rFonts w:ascii="Arial" w:cs="Arial" w:eastAsia="Arial" w:hAnsi="Arial"/>
                <w:sz w:val="18"/>
                <w:szCs w:val="18"/>
                <w:color w:val="auto"/>
              </w:rPr>
              <w:t>Concerts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77,741</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65,816</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152,620</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124,489</w:t>
            </w:r>
          </w:p>
        </w:tc>
        <w:tc>
          <w:tcPr>
            <w:tcW w:w="140" w:type="dxa"/>
            <w:vAlign w:val="bottom"/>
          </w:tcPr>
          <w:p>
            <w:pPr>
              <w:spacing w:after="0"/>
              <w:rPr>
                <w:sz w:val="20"/>
                <w:szCs w:val="20"/>
                <w:color w:val="auto"/>
              </w:rPr>
            </w:pPr>
          </w:p>
        </w:tc>
      </w:tr>
      <w:tr>
        <w:trPr>
          <w:trHeight w:val="251"/>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Sports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45,349</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51,285</w:t>
            </w: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90,949</w:t>
            </w:r>
          </w:p>
        </w:tc>
        <w:tc>
          <w:tcPr>
            <w:tcW w:w="4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90,200</w:t>
            </w:r>
          </w:p>
        </w:tc>
        <w:tc>
          <w:tcPr>
            <w:tcW w:w="140" w:type="dxa"/>
            <w:vAlign w:val="bottom"/>
            <w:shd w:val="clear" w:color="auto" w:fill="CFF0FC"/>
          </w:tcPr>
          <w:p>
            <w:pPr>
              <w:spacing w:after="0"/>
              <w:rPr>
                <w:sz w:val="21"/>
                <w:szCs w:val="21"/>
                <w:color w:val="auto"/>
              </w:rPr>
            </w:pPr>
          </w:p>
        </w:tc>
      </w:tr>
      <w:tr>
        <w:trPr>
          <w:trHeight w:val="235"/>
        </w:trPr>
        <w:tc>
          <w:tcPr>
            <w:tcW w:w="4060" w:type="dxa"/>
            <w:vAlign w:val="bottom"/>
          </w:tcPr>
          <w:p>
            <w:pPr>
              <w:ind w:left="20"/>
              <w:spacing w:after="0"/>
              <w:rPr>
                <w:sz w:val="20"/>
                <w:szCs w:val="20"/>
                <w:color w:val="auto"/>
              </w:rPr>
            </w:pPr>
            <w:r>
              <w:rPr>
                <w:rFonts w:ascii="Arial" w:cs="Arial" w:eastAsia="Arial" w:hAnsi="Arial"/>
                <w:sz w:val="18"/>
                <w:szCs w:val="18"/>
                <w:color w:val="auto"/>
              </w:rPr>
              <w:t>Theater</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15,527</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11,856</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30,917</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24,471</w:t>
            </w:r>
          </w:p>
        </w:tc>
        <w:tc>
          <w:tcPr>
            <w:tcW w:w="140" w:type="dxa"/>
            <w:vAlign w:val="bottom"/>
          </w:tcPr>
          <w:p>
            <w:pPr>
              <w:spacing w:after="0"/>
              <w:rPr>
                <w:sz w:val="20"/>
                <w:szCs w:val="20"/>
                <w:color w:val="auto"/>
              </w:rPr>
            </w:pPr>
          </w:p>
        </w:tc>
      </w:tr>
      <w:tr>
        <w:trPr>
          <w:trHeight w:val="245"/>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3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4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4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Total Marketplace revenues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139,150</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129,914</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275,731</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240,430</w:t>
            </w:r>
          </w:p>
        </w:tc>
        <w:tc>
          <w:tcPr>
            <w:tcW w:w="14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-1791335</wp:posOffset>
            </wp:positionV>
            <wp:extent cx="7683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-1791335</wp:posOffset>
            </wp:positionV>
            <wp:extent cx="8572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-1791335</wp:posOffset>
            </wp:positionV>
            <wp:extent cx="8572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-1791335</wp:posOffset>
            </wp:positionV>
            <wp:extent cx="8572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-187960</wp:posOffset>
            </wp:positionV>
            <wp:extent cx="7683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-187960</wp:posOffset>
            </wp:positionV>
            <wp:extent cx="85725"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8572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9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Resale revenues were $26.2 million and $50.7 million during the three and six months ended June 30, 2023, respectvely, and $17.8 million and $38.0 million during the three and six months ended June 30, 2022, respectvely.</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June 30, 2023, Deferred revenue in the Condensed Consolidated Balance Sheets was $30.1 million, which primarily relates to Vivid Seats Rewards, our loyalty program. Stamps earned under the program expire in two to three years, if not converted to credits, and credits expire in two to four years, if not redeemed. We expect to recognize all outstanding deferred revenue in the next seven years.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2022, $32.0 million was recorded as Deferred revenue, of which $0.8 million and $11.7 million was recognized as revenue during the three and six months ended June 30, 2023, respectvely. At December 31, 2021, $25.1 million was recorded as Deferred revenue, of which $2.0 million and $6.0 million was recognized as revenue during the three and six months ended June 30, 2022, respectvely.</w:t>
      </w:r>
    </w:p>
    <w:p>
      <w:pPr>
        <w:spacing w:after="0" w:line="11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eporting</w:t>
      </w:r>
    </w:p>
    <w:p>
      <w:pPr>
        <w:spacing w:after="0" w:line="14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reportable segments are Marketplace and Resale. Through the Marketplace segment, we act as an intermediary between tcket buyers and sellers within our online secondary tcket marketplace. Through the Resale segment, we acquire tckets from primary sellers, which we then sell through secondary tcket marketplaces, including our own. Revenues and contributon margin are used by our Chief Operatng Decision Maker ("CODM") to assess performance of the business. We defne contributon margin as revenues less cost of revenues and marketng and selling expenses.</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do not report our assets, capital expenditures, general and administratve expenses or related depreciaton and amortzaton expenses by segment because our CODM does not use this informaton to evaluate the performance of our operatng segments.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our segment informaton (in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gridSpan w:val="8"/>
          </w:tcPr>
          <w:p>
            <w:pPr>
              <w:jc w:val="right"/>
              <w:ind w:right="1260"/>
              <w:spacing w:after="0"/>
              <w:rPr>
                <w:sz w:val="20"/>
                <w:szCs w:val="20"/>
                <w:color w:val="auto"/>
              </w:rPr>
            </w:pPr>
            <w:r>
              <w:rPr>
                <w:rFonts w:ascii="Arial" w:cs="Arial" w:eastAsia="Arial" w:hAnsi="Arial"/>
                <w:sz w:val="18"/>
                <w:szCs w:val="18"/>
                <w:b w:val="1"/>
                <w:bCs w:val="1"/>
                <w:color w:val="auto"/>
              </w:rPr>
              <w:t>Three Months Ended June 30, 2023</w:t>
            </w:r>
          </w:p>
        </w:tc>
        <w:tc>
          <w:tcPr>
            <w:tcW w:w="300" w:type="dxa"/>
            <w:vAlign w:val="bottom"/>
          </w:tcPr>
          <w:p>
            <w:pPr>
              <w:spacing w:after="0"/>
              <w:rPr>
                <w:sz w:val="20"/>
                <w:szCs w:val="20"/>
                <w:color w:val="auto"/>
              </w:rPr>
            </w:pPr>
          </w:p>
        </w:tc>
        <w:tc>
          <w:tcPr>
            <w:tcW w:w="2860" w:type="dxa"/>
            <w:vAlign w:val="bottom"/>
            <w:gridSpan w:val="6"/>
          </w:tcPr>
          <w:p>
            <w:pPr>
              <w:jc w:val="center"/>
              <w:ind w:left="290"/>
              <w:spacing w:after="0"/>
              <w:rPr>
                <w:sz w:val="20"/>
                <w:szCs w:val="20"/>
                <w:color w:val="auto"/>
              </w:rPr>
            </w:pPr>
            <w:r>
              <w:rPr>
                <w:rFonts w:ascii="Arial" w:cs="Arial" w:eastAsia="Arial" w:hAnsi="Arial"/>
                <w:sz w:val="18"/>
                <w:szCs w:val="18"/>
                <w:b w:val="1"/>
                <w:bCs w:val="1"/>
                <w:color w:val="auto"/>
                <w:w w:val="86"/>
              </w:rPr>
              <w:t>Six Months Ended June 30, 2023</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Marketplace</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Resale</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5"/>
              </w:rPr>
              <w:t>Consolidated</w:t>
            </w:r>
          </w:p>
        </w:tc>
        <w:tc>
          <w:tcPr>
            <w:tcW w:w="300" w:type="dxa"/>
            <w:vAlign w:val="bottom"/>
            <w:vMerge w:val="continue"/>
          </w:tcPr>
          <w:p>
            <w:pPr>
              <w:spacing w:after="0"/>
              <w:rPr>
                <w:sz w:val="20"/>
                <w:szCs w:val="20"/>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Marketplace</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2"/>
              </w:rPr>
              <w:t>Resale</w:t>
            </w:r>
          </w:p>
        </w:tc>
        <w:tc>
          <w:tcPr>
            <w:tcW w:w="3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139,150</w:t>
            </w: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165,380</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275,731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50,712</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326,443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line="197" w:lineRule="exact"/>
              <w:rPr>
                <w:sz w:val="20"/>
                <w:szCs w:val="20"/>
                <w:color w:val="auto"/>
              </w:rPr>
            </w:pPr>
            <w:r>
              <w:rPr>
                <w:rFonts w:ascii="Arial" w:cs="Arial" w:eastAsia="Arial" w:hAnsi="Arial"/>
                <w:sz w:val="18"/>
                <w:szCs w:val="18"/>
                <w:color w:val="auto"/>
              </w:rPr>
              <w:t>Cost of revenues (exclusive of</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8"/>
                <w:szCs w:val="18"/>
                <w:color w:val="auto"/>
              </w:rPr>
              <w:t>depreciaton and amortzaton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22,766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42,616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42,826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37,550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60" w:type="dxa"/>
            <w:vAlign w:val="bottom"/>
          </w:tcPr>
          <w:p>
            <w:pPr>
              <w:ind w:left="20"/>
              <w:spacing w:after="0"/>
              <w:rPr>
                <w:sz w:val="20"/>
                <w:szCs w:val="20"/>
                <w:color w:val="auto"/>
              </w:rPr>
            </w:pPr>
            <w:r>
              <w:rPr>
                <w:rFonts w:ascii="Arial" w:cs="Arial" w:eastAsia="Arial" w:hAnsi="Arial"/>
                <w:sz w:val="18"/>
                <w:szCs w:val="18"/>
                <w:color w:val="auto"/>
              </w:rPr>
              <w:t>shown separately below)</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Marketng and selling</w:t>
            </w: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65,192</w:t>
            </w:r>
          </w:p>
        </w:tc>
        <w:tc>
          <w:tcPr>
            <w:tcW w:w="3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65,192</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119,964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119,964</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Contributon margin</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51,192</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6,380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57,572</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112,941</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13,162</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126,103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administratve</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460" w:type="dxa"/>
            <w:vAlign w:val="bottom"/>
          </w:tcPr>
          <w:p>
            <w:pPr>
              <w:ind w:left="20"/>
              <w:spacing w:after="0"/>
              <w:rPr>
                <w:sz w:val="20"/>
                <w:szCs w:val="20"/>
                <w:color w:val="auto"/>
              </w:rPr>
            </w:pPr>
            <w:r>
              <w:rPr>
                <w:rFonts w:ascii="Arial" w:cs="Arial" w:eastAsia="Arial" w:hAnsi="Arial"/>
                <w:sz w:val="18"/>
                <w:szCs w:val="18"/>
                <w:color w:val="auto"/>
              </w:rPr>
              <w:t>Depreciaton and amortzaton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Change in fair value of</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(1,052 )</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(1,018 )</w:t>
            </w:r>
          </w:p>
        </w:tc>
        <w:tc>
          <w:tcPr>
            <w:tcW w:w="0" w:type="dxa"/>
            <w:vAlign w:val="bottom"/>
          </w:tcPr>
          <w:p>
            <w:pPr>
              <w:spacing w:after="0"/>
              <w:rPr>
                <w:sz w:val="1"/>
                <w:szCs w:val="1"/>
                <w:color w:val="auto"/>
              </w:rPr>
            </w:pPr>
          </w:p>
        </w:tc>
      </w:tr>
      <w:tr>
        <w:trPr>
          <w:trHeight w:val="119"/>
        </w:trPr>
        <w:tc>
          <w:tcPr>
            <w:tcW w:w="24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contngent consideraton</w:t>
            </w:r>
          </w:p>
        </w:tc>
        <w:tc>
          <w:tcPr>
            <w:tcW w:w="14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60" w:type="dxa"/>
            <w:vAlign w:val="bottom"/>
            <w:gridSpan w:val="2"/>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46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6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4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Income from operatons</w:t>
            </w:r>
          </w:p>
        </w:tc>
        <w:tc>
          <w:tcPr>
            <w:tcW w:w="140" w:type="dxa"/>
            <w:vAlign w:val="bottom"/>
            <w:tcBorders>
              <w:top w:val="single" w:sz="8" w:color="CFF0FC"/>
            </w:tcBorders>
          </w:tcPr>
          <w:p>
            <w:pPr>
              <w:spacing w:after="0"/>
              <w:rPr>
                <w:sz w:val="20"/>
                <w:szCs w:val="20"/>
                <w:color w:val="auto"/>
              </w:rPr>
            </w:pPr>
          </w:p>
        </w:tc>
        <w:tc>
          <w:tcPr>
            <w:tcW w:w="1140" w:type="dxa"/>
            <w:vAlign w:val="bottom"/>
            <w:tcBorders>
              <w:top w:val="single" w:sz="8" w:color="CFF0FC"/>
            </w:tcBorders>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17,613</w:t>
            </w:r>
          </w:p>
        </w:tc>
        <w:tc>
          <w:tcPr>
            <w:tcW w:w="30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8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0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51,123</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 net</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99"/>
              </w:rPr>
              <w:t>Income before income taxes</w:t>
            </w:r>
          </w:p>
        </w:tc>
        <w:tc>
          <w:tcPr>
            <w:tcW w:w="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13,841</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44,398</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gridSpan w:val="8"/>
          </w:tcPr>
          <w:p>
            <w:pPr>
              <w:jc w:val="right"/>
              <w:ind w:right="1260"/>
              <w:spacing w:after="0"/>
              <w:rPr>
                <w:sz w:val="20"/>
                <w:szCs w:val="20"/>
                <w:color w:val="auto"/>
              </w:rPr>
            </w:pPr>
            <w:r>
              <w:rPr>
                <w:rFonts w:ascii="Arial" w:cs="Arial" w:eastAsia="Arial" w:hAnsi="Arial"/>
                <w:sz w:val="18"/>
                <w:szCs w:val="18"/>
                <w:b w:val="1"/>
                <w:bCs w:val="1"/>
                <w:color w:val="auto"/>
              </w:rPr>
              <w:t>Three Months Ended June 30, 2022</w:t>
            </w:r>
          </w:p>
        </w:tc>
        <w:tc>
          <w:tcPr>
            <w:tcW w:w="300" w:type="dxa"/>
            <w:vAlign w:val="bottom"/>
          </w:tcPr>
          <w:p>
            <w:pPr>
              <w:spacing w:after="0"/>
              <w:rPr>
                <w:sz w:val="24"/>
                <w:szCs w:val="24"/>
                <w:color w:val="auto"/>
              </w:rPr>
            </w:pPr>
          </w:p>
        </w:tc>
        <w:tc>
          <w:tcPr>
            <w:tcW w:w="2860" w:type="dxa"/>
            <w:vAlign w:val="bottom"/>
            <w:gridSpan w:val="6"/>
          </w:tcPr>
          <w:p>
            <w:pPr>
              <w:jc w:val="center"/>
              <w:ind w:left="290"/>
              <w:spacing w:after="0"/>
              <w:rPr>
                <w:sz w:val="20"/>
                <w:szCs w:val="20"/>
                <w:color w:val="auto"/>
              </w:rPr>
            </w:pPr>
            <w:r>
              <w:rPr>
                <w:rFonts w:ascii="Arial" w:cs="Arial" w:eastAsia="Arial" w:hAnsi="Arial"/>
                <w:sz w:val="18"/>
                <w:szCs w:val="18"/>
                <w:b w:val="1"/>
                <w:bCs w:val="1"/>
                <w:color w:val="auto"/>
                <w:w w:val="86"/>
              </w:rPr>
              <w:t>Six Months Ended June 30, 2022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Marketplace</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Resale</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5"/>
              </w:rPr>
              <w:t>Consolidated</w:t>
            </w:r>
          </w:p>
        </w:tc>
        <w:tc>
          <w:tcPr>
            <w:tcW w:w="300" w:type="dxa"/>
            <w:vAlign w:val="bottom"/>
            <w:vMerge w:val="continue"/>
          </w:tcPr>
          <w:p>
            <w:pPr>
              <w:spacing w:after="0"/>
              <w:rPr>
                <w:sz w:val="20"/>
                <w:szCs w:val="20"/>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Marketplace</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2"/>
              </w:rPr>
              <w:t>Resale</w:t>
            </w:r>
          </w:p>
        </w:tc>
        <w:tc>
          <w:tcPr>
            <w:tcW w:w="3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129,914</w:t>
            </w: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147,694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240,430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38,036</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278,466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line="197" w:lineRule="exact"/>
              <w:rPr>
                <w:sz w:val="20"/>
                <w:szCs w:val="20"/>
                <w:color w:val="auto"/>
              </w:rPr>
            </w:pPr>
            <w:r>
              <w:rPr>
                <w:rFonts w:ascii="Arial" w:cs="Arial" w:eastAsia="Arial" w:hAnsi="Arial"/>
                <w:sz w:val="18"/>
                <w:szCs w:val="18"/>
                <w:color w:val="auto"/>
              </w:rPr>
              <w:t>Cost of revenues (exclusive of</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8"/>
                <w:szCs w:val="18"/>
                <w:color w:val="auto"/>
              </w:rPr>
              <w:t>depreciaton and amortzaton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60" w:type="dxa"/>
            <w:vAlign w:val="bottom"/>
          </w:tcPr>
          <w:p>
            <w:pPr>
              <w:ind w:left="20"/>
              <w:spacing w:after="0"/>
              <w:rPr>
                <w:sz w:val="20"/>
                <w:szCs w:val="20"/>
                <w:color w:val="auto"/>
              </w:rPr>
            </w:pPr>
            <w:r>
              <w:rPr>
                <w:rFonts w:ascii="Arial" w:cs="Arial" w:eastAsia="Arial" w:hAnsi="Arial"/>
                <w:sz w:val="18"/>
                <w:szCs w:val="18"/>
                <w:color w:val="auto"/>
              </w:rPr>
              <w:t>shown separately below)</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18,553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32,422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34,962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29,624</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Marketng and selling</w:t>
            </w: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59,412</w:t>
            </w:r>
          </w:p>
        </w:tc>
        <w:tc>
          <w:tcPr>
            <w:tcW w:w="3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59,412</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113,640</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113,640</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Contributon margin</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51,949</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3,911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55,860</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91,828</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8,412</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100,240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administratve</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65,482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Depreciaton and amortzaton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operatons</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17,927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31,647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460" w:type="dxa"/>
            <w:vAlign w:val="bottom"/>
          </w:tcPr>
          <w:p>
            <w:pPr>
              <w:ind w:left="20"/>
              <w:spacing w:after="0"/>
              <w:rPr>
                <w:sz w:val="20"/>
                <w:szCs w:val="20"/>
                <w:color w:val="auto"/>
              </w:rPr>
            </w:pPr>
            <w:r>
              <w:rPr>
                <w:rFonts w:ascii="Arial" w:cs="Arial" w:eastAsia="Arial" w:hAnsi="Arial"/>
                <w:sz w:val="18"/>
                <w:szCs w:val="18"/>
                <w:color w:val="auto"/>
              </w:rPr>
              <w:t>Interest expense – net</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Loss on extnguishment of</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4,285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4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debt</w:t>
            </w:r>
          </w:p>
        </w:tc>
        <w:tc>
          <w:tcPr>
            <w:tcW w:w="14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60" w:type="dxa"/>
            <w:vAlign w:val="bottom"/>
            <w:gridSpan w:val="2"/>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6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460" w:type="dxa"/>
            <w:vAlign w:val="bottom"/>
            <w:tcBorders>
              <w:bottom w:val="single" w:sz="8" w:color="CFF0FC"/>
            </w:tcBorders>
            <w:vMerge w:val="continue"/>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114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100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46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(8,832 )</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(6,553 )</w:t>
            </w:r>
          </w:p>
        </w:tc>
        <w:tc>
          <w:tcPr>
            <w:tcW w:w="0" w:type="dxa"/>
            <w:vAlign w:val="bottom"/>
          </w:tcPr>
          <w:p>
            <w:pPr>
              <w:spacing w:after="0"/>
              <w:rPr>
                <w:sz w:val="1"/>
                <w:szCs w:val="1"/>
                <w:color w:val="auto"/>
              </w:rPr>
            </w:pPr>
          </w:p>
        </w:tc>
      </w:tr>
      <w:tr>
        <w:trPr>
          <w:trHeight w:val="277"/>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99"/>
              </w:rPr>
              <w:t>Income before income taxes</w:t>
            </w:r>
          </w:p>
        </w:tc>
        <w:tc>
          <w:tcPr>
            <w:tcW w:w="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24,060</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27,274</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-4148455</wp:posOffset>
            </wp:positionV>
            <wp:extent cx="7747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-4148455</wp:posOffset>
            </wp:positionV>
            <wp:extent cx="8572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-4148455</wp:posOffset>
            </wp:positionV>
            <wp:extent cx="7747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-4148455</wp:posOffset>
            </wp:positionV>
            <wp:extent cx="7747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-4148455</wp:posOffset>
            </wp:positionV>
            <wp:extent cx="7683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-4148455</wp:posOffset>
            </wp:positionV>
            <wp:extent cx="8572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-3394075</wp:posOffset>
            </wp:positionV>
            <wp:extent cx="7747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-3394075</wp:posOffset>
            </wp:positionV>
            <wp:extent cx="8572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-2759710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-2742565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-2759710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-2742565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-1422400</wp:posOffset>
            </wp:positionV>
            <wp:extent cx="7747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-1422400</wp:posOffset>
            </wp:positionV>
            <wp:extent cx="8572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-1422400</wp:posOffset>
            </wp:positionV>
            <wp:extent cx="7747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-1422400</wp:posOffset>
            </wp:positionV>
            <wp:extent cx="7747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-1422400</wp:posOffset>
            </wp:positionV>
            <wp:extent cx="7683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-1422400</wp:posOffset>
            </wp:positionV>
            <wp:extent cx="8572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Substantally all of our sales occur, and assets reside, in the United States.</w:t>
      </w:r>
    </w:p>
    <w:p>
      <w:pPr>
        <w:spacing w:after="0" w:line="15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ccounts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eceivable</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Accounts receivable – net was $46.3 million and $36.5 million, respectvely.</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$22.2 million and $18.9 million of the Accounts receivable balance at June 30, 2023 and December 31, 2022, respectvely, consisted of uncollateralized payment processor obligatons due under normal trade terms typically requiring payment within three business days. Credit risk with respect to accounts receivable from payment processing enttes is limited due to the consolidaton of those receivables with large fnancial insttutons and the frequency with which the receivables turn over.</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$9.9 million and $1.0 million of the Accounts receivable balance at June 30, 2023 and December 31, 2022, respectvely, consisted of amounts due from marketplace tcket sellers for canceled events and costs of replacement tckets. We recorded an allowance for credit losses of $3.0 million and $0.1 million at June 30, 2023 and December 31, 2022, respectvely, to refect potental challenges in collectng funds from marketplace tcket sellers. The allowance for credit losses increased during the six months ended June 30, 2023 as certain tcket sellers on the marketplace platorm generated balances in excess of their existng payables, creatng a greater risk of credit losses on these receivables.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$11.9 million and $11.7 million of the Accounts receivable balance at June 30, 2023 and December 31, 2022, respectvely, consisted of amounts due from distributon partners for cancellaton charges, primarily related to canceled events. We recorded an allowance for credit losses of $4.4 million and $3.6 million at June 30, 2023 and December 31, 2022, respectvely, to refect potental challenges in collectng funds from distributon partners, partcularly for amounts due upon usage of store credit previously issued to buyers.</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Accounts receivable balances are stated net of allowance for credit losses and bad debt expense is presented as a reducton of Revenues in the Condensed Consolidated Statement of Operatons.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write-ofs for the three and six months ended June 30, 2023 and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40" w:type="dxa"/>
            <w:vAlign w:val="bottom"/>
          </w:tcPr>
          <w:p>
            <w:pPr>
              <w:spacing w:after="0"/>
              <w:rPr>
                <w:sz w:val="20"/>
                <w:szCs w:val="20"/>
                <w:color w:val="auto"/>
              </w:rPr>
            </w:pPr>
            <w:r>
              <w:rPr>
                <w:rFonts w:ascii="Arial" w:cs="Arial" w:eastAsia="Arial" w:hAnsi="Arial"/>
                <w:sz w:val="18"/>
                <w:szCs w:val="18"/>
                <w:b w:val="1"/>
                <w:bCs w:val="1"/>
                <w:color w:val="auto"/>
              </w:rPr>
              <w:t>6. P</w:t>
            </w:r>
            <w:r>
              <w:rPr>
                <w:rFonts w:ascii="Arial" w:cs="Arial" w:eastAsia="Arial" w:hAnsi="Arial"/>
                <w:sz w:val="12"/>
                <w:szCs w:val="12"/>
                <w:b w:val="1"/>
                <w:bCs w:val="1"/>
                <w:color w:val="auto"/>
              </w:rPr>
              <w:t>repaid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49"/>
        </w:trPr>
        <w:tc>
          <w:tcPr>
            <w:tcW w:w="6440" w:type="dxa"/>
            <w:vAlign w:val="bottom"/>
          </w:tcPr>
          <w:p>
            <w:pPr>
              <w:spacing w:after="0"/>
              <w:rPr>
                <w:sz w:val="20"/>
                <w:szCs w:val="20"/>
                <w:color w:val="auto"/>
              </w:rPr>
            </w:pPr>
            <w:r>
              <w:rPr>
                <w:rFonts w:ascii="Arial" w:cs="Arial" w:eastAsia="Arial" w:hAnsi="Arial"/>
                <w:sz w:val="18"/>
                <w:szCs w:val="18"/>
                <w:color w:val="auto"/>
                <w:w w:val="98"/>
              </w:rPr>
              <w:t>Prepaid expenses and other current assets consist of the following (in thousands):</w:t>
            </w: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6"/>
        </w:trPr>
        <w:tc>
          <w:tcPr>
            <w:tcW w:w="6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June 30, 2023</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2022</w:t>
            </w:r>
          </w:p>
        </w:tc>
        <w:tc>
          <w:tcPr>
            <w:tcW w:w="140" w:type="dxa"/>
            <w:vAlign w:val="bottom"/>
          </w:tcPr>
          <w:p>
            <w:pPr>
              <w:spacing w:after="0"/>
              <w:rPr>
                <w:sz w:val="24"/>
                <w:szCs w:val="24"/>
                <w:color w:val="auto"/>
              </w:rPr>
            </w:pPr>
          </w:p>
        </w:tc>
      </w:tr>
      <w:tr>
        <w:trPr>
          <w:trHeight w:val="33"/>
        </w:trPr>
        <w:tc>
          <w:tcPr>
            <w:tcW w:w="64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Recovery of future customer compensaton</w:t>
            </w:r>
          </w:p>
        </w:tc>
        <w:tc>
          <w:tcPr>
            <w:tcW w:w="1600" w:type="dxa"/>
            <w:vAlign w:val="bottom"/>
            <w:shd w:val="clear" w:color="auto" w:fill="CFF0FC"/>
          </w:tcPr>
          <w:p>
            <w:pPr>
              <w:jc w:val="right"/>
              <w:ind w:right="14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40,827</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23,311</w:t>
            </w:r>
          </w:p>
        </w:tc>
        <w:tc>
          <w:tcPr>
            <w:tcW w:w="140" w:type="dxa"/>
            <w:vAlign w:val="bottom"/>
            <w:shd w:val="clear" w:color="auto" w:fill="CFF0FC"/>
          </w:tcPr>
          <w:p>
            <w:pPr>
              <w:spacing w:after="0"/>
              <w:rPr>
                <w:sz w:val="20"/>
                <w:szCs w:val="20"/>
                <w:color w:val="auto"/>
              </w:rPr>
            </w:pPr>
          </w:p>
        </w:tc>
      </w:tr>
      <w:tr>
        <w:trPr>
          <w:trHeight w:val="235"/>
        </w:trPr>
        <w:tc>
          <w:tcPr>
            <w:tcW w:w="64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6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5,121</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6,032</w:t>
            </w:r>
          </w:p>
        </w:tc>
        <w:tc>
          <w:tcPr>
            <w:tcW w:w="140" w:type="dxa"/>
            <w:vAlign w:val="bottom"/>
          </w:tcPr>
          <w:p>
            <w:pPr>
              <w:spacing w:after="0"/>
              <w:rPr>
                <w:sz w:val="20"/>
                <w:szCs w:val="20"/>
                <w:color w:val="auto"/>
              </w:rPr>
            </w:pPr>
          </w:p>
        </w:tc>
      </w:tr>
      <w:tr>
        <w:trPr>
          <w:trHeight w:val="245"/>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4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prepaid expenses and other current assets</w:t>
            </w:r>
          </w:p>
        </w:tc>
        <w:tc>
          <w:tcPr>
            <w:tcW w:w="1600" w:type="dxa"/>
            <w:vAlign w:val="bottom"/>
          </w:tcPr>
          <w:p>
            <w:pPr>
              <w:jc w:val="right"/>
              <w:ind w:right="141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46,608</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29,912</w:t>
            </w:r>
          </w:p>
        </w:tc>
        <w:tc>
          <w:tcPr>
            <w:tcW w:w="140" w:type="dxa"/>
            <w:vAlign w:val="bottom"/>
          </w:tcPr>
          <w:p>
            <w:pPr>
              <w:spacing w:after="0"/>
              <w:rPr>
                <w:sz w:val="21"/>
                <w:szCs w:val="21"/>
                <w:color w:val="auto"/>
              </w:rPr>
            </w:pPr>
          </w:p>
        </w:tc>
      </w:tr>
      <w:tr>
        <w:trPr>
          <w:trHeight w:val="20"/>
        </w:trPr>
        <w:tc>
          <w:tcPr>
            <w:tcW w:w="64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-187960</wp:posOffset>
            </wp:positionV>
            <wp:extent cx="8572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Recovery of future customer compensaton represents expected recoveries of compensaton to be paid to customers for event cancellatons or other service issues related to previously recorded sales transactons. Recovery of future customer compensaton costs increased by $17.5 million at June 30, 2023 compared to December 31, 2022 due to an increase in the reserve for future cancellatons driven by higher volume of sales for future events. The provision related to these expected recoveries is included in Accrued expenses and other current liabilites in the Condensed Consolidated Balance Sheets.</w:t>
      </w:r>
    </w:p>
    <w:p>
      <w:pPr>
        <w:spacing w:after="0" w:line="12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oodwill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Defnite-lived intangible assets includes developed technology and customer relatonships, which had a net carrying amount of $17.4 million and $17.3 million at June 30, 2023 and December 31, 2022, respectvely, and accumulated amortzaton of $14.3 million and $9.6 million at June 30, 2023 and December 31, 2022, respectvely.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goodwill is included in our Marketplace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net changes in the carrying amounts of our intangible assets and goodwill were as follows (in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120"/>
        <w:spacing w:after="0" w:line="286" w:lineRule="auto"/>
        <w:rPr>
          <w:sz w:val="20"/>
          <w:szCs w:val="20"/>
          <w:color w:val="auto"/>
        </w:rPr>
      </w:pPr>
      <w:r>
        <w:rPr>
          <w:rFonts w:ascii="Arial" w:cs="Arial" w:eastAsia="Arial" w:hAnsi="Arial"/>
          <w:sz w:val="18"/>
          <w:szCs w:val="18"/>
          <w:color w:val="auto"/>
        </w:rPr>
        <w:t>Balance at January 1, 2023 Capitalized development costs Disposals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Amortzaton</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June 30, 2023</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ind w:right="3060"/>
        <w:spacing w:after="0"/>
        <w:rPr>
          <w:sz w:val="20"/>
          <w:szCs w:val="20"/>
          <w:color w:val="auto"/>
        </w:rPr>
      </w:pPr>
      <w:r>
        <w:rPr>
          <w:rFonts w:ascii="Arial" w:cs="Arial" w:eastAsia="Arial" w:hAnsi="Arial"/>
          <w:sz w:val="13"/>
          <w:szCs w:val="13"/>
          <w:b w:val="1"/>
          <w:bCs w:val="1"/>
          <w:color w:val="auto"/>
        </w:rPr>
        <w:t>NOTES TO THE CONDENSED CONSOLIDATED FINANCIAL STATEMENTS</w:t>
      </w:r>
    </w:p>
    <w:p>
      <w:pPr>
        <w:spacing w:after="0" w:line="67" w:lineRule="exact"/>
        <w:rPr>
          <w:sz w:val="20"/>
          <w:szCs w:val="20"/>
          <w:color w:val="auto"/>
        </w:rPr>
      </w:pPr>
    </w:p>
    <w:p>
      <w:pPr>
        <w:jc w:val="center"/>
        <w:ind w:right="30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160" w:type="dxa"/>
            <w:vAlign w:val="bottom"/>
            <w:gridSpan w:val="3"/>
          </w:tcPr>
          <w:p>
            <w:pPr>
              <w:ind w:left="20"/>
              <w:spacing w:after="0"/>
              <w:rPr>
                <w:sz w:val="20"/>
                <w:szCs w:val="20"/>
                <w:color w:val="auto"/>
              </w:rPr>
            </w:pPr>
            <w:r>
              <w:rPr>
                <w:rFonts w:ascii="Arial" w:cs="Arial" w:eastAsia="Arial" w:hAnsi="Arial"/>
                <w:sz w:val="18"/>
                <w:szCs w:val="18"/>
                <w:b w:val="1"/>
                <w:bCs w:val="1"/>
                <w:color w:val="auto"/>
              </w:rPr>
              <w:t>Defnite-lived Intangible</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Trademark</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Goodwill</w:t>
            </w:r>
          </w:p>
        </w:tc>
        <w:tc>
          <w:tcPr>
            <w:tcW w:w="0" w:type="dxa"/>
            <w:vAlign w:val="bottom"/>
          </w:tcPr>
          <w:p>
            <w:pPr>
              <w:spacing w:after="0"/>
              <w:rPr>
                <w:sz w:val="1"/>
                <w:szCs w:val="1"/>
                <w:color w:val="auto"/>
              </w:rPr>
            </w:pPr>
          </w:p>
        </w:tc>
      </w:tr>
      <w:tr>
        <w:trPr>
          <w:trHeight w:val="33"/>
        </w:trPr>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17,310</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64,666</w:t>
            </w:r>
          </w:p>
        </w:tc>
        <w:tc>
          <w:tcPr>
            <w:tcW w:w="30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715,258</w:t>
            </w: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(4,602 )</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
        </w:trPr>
        <w:tc>
          <w:tcPr>
            <w:tcW w:w="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17,365</w:t>
            </w:r>
          </w:p>
        </w:tc>
        <w:tc>
          <w:tcPr>
            <w:tcW w:w="3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64,666</w:t>
            </w:r>
          </w:p>
        </w:tc>
        <w:tc>
          <w:tcPr>
            <w:tcW w:w="30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715,258</w:t>
            </w: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-805180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-496570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-179070</wp:posOffset>
            </wp:positionV>
            <wp:extent cx="713232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8160"/>
          </w:cols>
          <w:pgMar w:left="320" w:top="105" w:right="33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b w:val="1"/>
                <w:bCs w:val="1"/>
                <w:color w:val="auto"/>
              </w:rPr>
              <w:t>Defnite-lived Intangible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1"/>
        </w:trPr>
        <w:tc>
          <w:tcPr>
            <w:tcW w:w="5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Trademark</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Goodwill</w:t>
            </w:r>
          </w:p>
        </w:tc>
      </w:tr>
      <w:tr>
        <w:trPr>
          <w:trHeight w:val="33"/>
        </w:trPr>
        <w:tc>
          <w:tcPr>
            <w:tcW w:w="5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2022</w:t>
            </w:r>
          </w:p>
        </w:tc>
        <w:tc>
          <w:tcPr>
            <w:tcW w:w="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13,845</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64,666</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718,204</w:t>
            </w:r>
          </w:p>
        </w:tc>
        <w:tc>
          <w:tcPr>
            <w:tcW w:w="140" w:type="dxa"/>
            <w:vAlign w:val="bottom"/>
            <w:shd w:val="clear" w:color="auto" w:fill="CFF0FC"/>
          </w:tcPr>
          <w:p>
            <w:pPr>
              <w:spacing w:after="0"/>
              <w:rPr>
                <w:sz w:val="20"/>
                <w:szCs w:val="20"/>
                <w:color w:val="auto"/>
              </w:rPr>
            </w:pPr>
          </w:p>
        </w:tc>
      </w:tr>
      <w:tr>
        <w:trPr>
          <w:trHeight w:val="235"/>
        </w:trPr>
        <w:tc>
          <w:tcPr>
            <w:tcW w:w="5900" w:type="dxa"/>
            <w:vAlign w:val="bottom"/>
          </w:tcPr>
          <w:p>
            <w:pPr>
              <w:ind w:left="20"/>
              <w:spacing w:after="0"/>
              <w:rPr>
                <w:sz w:val="20"/>
                <w:szCs w:val="20"/>
                <w:color w:val="auto"/>
              </w:rPr>
            </w:pPr>
            <w:r>
              <w:rPr>
                <w:rFonts w:ascii="Arial" w:cs="Arial" w:eastAsia="Arial" w:hAnsi="Arial"/>
                <w:sz w:val="18"/>
                <w:szCs w:val="18"/>
                <w:color w:val="auto"/>
              </w:rPr>
              <w:t>Betcha acquisiton adjustment</w:t>
            </w:r>
          </w:p>
        </w:tc>
        <w:tc>
          <w:tcPr>
            <w:tcW w:w="40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(890 )</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(2,946 )</w:t>
            </w:r>
          </w:p>
        </w:tc>
      </w:tr>
      <w:tr>
        <w:trPr>
          <w:trHeight w:val="251"/>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development costs</w:t>
            </w:r>
          </w:p>
        </w:tc>
        <w:tc>
          <w:tcPr>
            <w:tcW w:w="4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Amortzaton</w:t>
            </w:r>
          </w:p>
        </w:tc>
        <w:tc>
          <w:tcPr>
            <w:tcW w:w="40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(2,948 )</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8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4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15,401</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64,666</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715,258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had recorded $563.2 million of cumulatve impairment charges related to our intangible assets and goodwill as of June 30, 2023 and December 31, 2022.</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Amortzaton expense on our defnite-lived intangible assets was $2.3 million and $4.6 million for the three and six months ended June 30, 2023, respectvely, and $1.6 million and $2.9 million for the three and six months ended June 30, 2022, respectvely. Amortzaton expense is presented in Depreciaton and amortzaton in the Condensed Consolidated Statements of Operatons.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40" w:type="dxa"/>
            <w:vAlign w:val="bottom"/>
          </w:tcPr>
          <w:p>
            <w:pPr>
              <w:spacing w:after="0"/>
              <w:rPr>
                <w:sz w:val="20"/>
                <w:szCs w:val="20"/>
                <w:color w:val="auto"/>
              </w:rPr>
            </w:pPr>
            <w:r>
              <w:rPr>
                <w:rFonts w:ascii="Arial" w:cs="Arial" w:eastAsia="Arial" w:hAnsi="Arial"/>
                <w:sz w:val="18"/>
                <w:szCs w:val="18"/>
                <w:b w:val="1"/>
                <w:bCs w:val="1"/>
                <w:color w:val="auto"/>
              </w:rPr>
              <w:t>8. A</w:t>
            </w:r>
            <w:r>
              <w:rPr>
                <w:rFonts w:ascii="Arial" w:cs="Arial" w:eastAsia="Arial" w:hAnsi="Arial"/>
                <w:sz w:val="12"/>
                <w:szCs w:val="12"/>
                <w:b w:val="1"/>
                <w:bCs w:val="1"/>
                <w:color w:val="auto"/>
              </w:rPr>
              <w:t>ccrued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iabilities</w:t>
            </w: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49"/>
        </w:trPr>
        <w:tc>
          <w:tcPr>
            <w:tcW w:w="6440" w:type="dxa"/>
            <w:vAlign w:val="bottom"/>
          </w:tcPr>
          <w:p>
            <w:pPr>
              <w:spacing w:after="0"/>
              <w:rPr>
                <w:sz w:val="20"/>
                <w:szCs w:val="20"/>
                <w:color w:val="auto"/>
              </w:rPr>
            </w:pPr>
            <w:r>
              <w:rPr>
                <w:rFonts w:ascii="Arial" w:cs="Arial" w:eastAsia="Arial" w:hAnsi="Arial"/>
                <w:sz w:val="18"/>
                <w:szCs w:val="18"/>
                <w:color w:val="auto"/>
                <w:w w:val="95"/>
              </w:rPr>
              <w:t>Accrued expenses and other current liabilites consist of the following (in thousands):</w:t>
            </w: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7"/>
        </w:trPr>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2023</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2022</w:t>
            </w:r>
          </w:p>
        </w:tc>
        <w:tc>
          <w:tcPr>
            <w:tcW w:w="140" w:type="dxa"/>
            <w:vAlign w:val="bottom"/>
          </w:tcPr>
          <w:p>
            <w:pPr>
              <w:spacing w:after="0"/>
              <w:rPr>
                <w:sz w:val="24"/>
                <w:szCs w:val="24"/>
                <w:color w:val="auto"/>
              </w:rPr>
            </w:pPr>
          </w:p>
        </w:tc>
      </w:tr>
      <w:tr>
        <w:trPr>
          <w:trHeight w:val="33"/>
        </w:trPr>
        <w:tc>
          <w:tcPr>
            <w:tcW w:w="6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marketng expense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31,061</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26,873</w:t>
            </w:r>
          </w:p>
        </w:tc>
        <w:tc>
          <w:tcPr>
            <w:tcW w:w="140" w:type="dxa"/>
            <w:vAlign w:val="bottom"/>
            <w:shd w:val="clear" w:color="auto" w:fill="CFF0FC"/>
          </w:tcPr>
          <w:p>
            <w:pPr>
              <w:spacing w:after="0"/>
              <w:rPr>
                <w:sz w:val="20"/>
                <w:szCs w:val="20"/>
                <w:color w:val="auto"/>
              </w:rPr>
            </w:pPr>
          </w:p>
        </w:tc>
      </w:tr>
      <w:tr>
        <w:trPr>
          <w:trHeight w:val="235"/>
        </w:trPr>
        <w:tc>
          <w:tcPr>
            <w:tcW w:w="644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20"/>
                <w:szCs w:val="20"/>
                <w:color w:val="auto"/>
              </w:rPr>
            </w:pPr>
          </w:p>
        </w:tc>
      </w:tr>
      <w:tr>
        <w:trPr>
          <w:trHeight w:val="251"/>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customer credits</w:t>
            </w:r>
          </w:p>
        </w:tc>
        <w:tc>
          <w:tcPr>
            <w:tcW w:w="34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75,136</w:t>
            </w: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88,167</w:t>
            </w:r>
          </w:p>
        </w:tc>
        <w:tc>
          <w:tcPr>
            <w:tcW w:w="140" w:type="dxa"/>
            <w:vAlign w:val="bottom"/>
            <w:shd w:val="clear" w:color="auto" w:fill="CFF0FC"/>
          </w:tcPr>
          <w:p>
            <w:pPr>
              <w:spacing w:after="0"/>
              <w:rPr>
                <w:sz w:val="21"/>
                <w:szCs w:val="21"/>
                <w:color w:val="auto"/>
              </w:rPr>
            </w:pPr>
          </w:p>
        </w:tc>
      </w:tr>
      <w:tr>
        <w:trPr>
          <w:trHeight w:val="235"/>
        </w:trPr>
        <w:tc>
          <w:tcPr>
            <w:tcW w:w="6440" w:type="dxa"/>
            <w:vAlign w:val="bottom"/>
          </w:tcPr>
          <w:p>
            <w:pPr>
              <w:ind w:left="20"/>
              <w:spacing w:after="0"/>
              <w:rPr>
                <w:sz w:val="20"/>
                <w:szCs w:val="20"/>
                <w:color w:val="auto"/>
              </w:rPr>
            </w:pPr>
            <w:r>
              <w:rPr>
                <w:rFonts w:ascii="Arial" w:cs="Arial" w:eastAsia="Arial" w:hAnsi="Arial"/>
                <w:sz w:val="18"/>
                <w:szCs w:val="18"/>
                <w:color w:val="auto"/>
              </w:rPr>
              <w:t>Accrued future customer compensaton</w:t>
            </w:r>
          </w:p>
        </w:tc>
        <w:tc>
          <w:tcPr>
            <w:tcW w:w="3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47,314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30,181</w:t>
            </w:r>
          </w:p>
        </w:tc>
        <w:tc>
          <w:tcPr>
            <w:tcW w:w="140" w:type="dxa"/>
            <w:vAlign w:val="bottom"/>
          </w:tcPr>
          <w:p>
            <w:pPr>
              <w:spacing w:after="0"/>
              <w:rPr>
                <w:sz w:val="20"/>
                <w:szCs w:val="20"/>
                <w:color w:val="auto"/>
              </w:rPr>
            </w:pPr>
          </w:p>
        </w:tc>
      </w:tr>
      <w:tr>
        <w:trPr>
          <w:trHeight w:val="251"/>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contngencies</w:t>
            </w:r>
          </w:p>
        </w:tc>
        <w:tc>
          <w:tcPr>
            <w:tcW w:w="34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w:t>
            </w: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40" w:type="dxa"/>
            <w:vAlign w:val="bottom"/>
            <w:shd w:val="clear" w:color="auto" w:fill="CFF0FC"/>
          </w:tcPr>
          <w:p>
            <w:pPr>
              <w:spacing w:after="0"/>
              <w:rPr>
                <w:sz w:val="21"/>
                <w:szCs w:val="21"/>
                <w:color w:val="auto"/>
              </w:rPr>
            </w:pPr>
          </w:p>
        </w:tc>
      </w:tr>
      <w:tr>
        <w:trPr>
          <w:trHeight w:val="235"/>
        </w:trPr>
        <w:tc>
          <w:tcPr>
            <w:tcW w:w="644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3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8,341</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10,660</w:t>
            </w:r>
          </w:p>
        </w:tc>
        <w:tc>
          <w:tcPr>
            <w:tcW w:w="140" w:type="dxa"/>
            <w:vAlign w:val="bottom"/>
          </w:tcPr>
          <w:p>
            <w:pPr>
              <w:spacing w:after="0"/>
              <w:rPr>
                <w:sz w:val="20"/>
                <w:szCs w:val="20"/>
                <w:color w:val="auto"/>
              </w:rPr>
            </w:pPr>
          </w:p>
        </w:tc>
      </w:tr>
      <w:tr>
        <w:trPr>
          <w:trHeight w:val="245"/>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liabilites</w:t>
            </w:r>
          </w:p>
        </w:tc>
        <w:tc>
          <w:tcPr>
            <w:tcW w:w="34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26,166</w:t>
            </w:r>
          </w:p>
        </w:tc>
        <w:tc>
          <w:tcPr>
            <w:tcW w:w="4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192,038</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181,970</w:t>
            </w:r>
          </w:p>
        </w:tc>
        <w:tc>
          <w:tcPr>
            <w:tcW w:w="140" w:type="dxa"/>
            <w:vAlign w:val="bottom"/>
          </w:tcPr>
          <w:p>
            <w:pPr>
              <w:spacing w:after="0"/>
              <w:rPr>
                <w:sz w:val="21"/>
                <w:szCs w:val="2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-187960</wp:posOffset>
            </wp:positionV>
            <wp:extent cx="857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Accrued customer credits represent credits issued and outstanding for event cancellatons or other service issues related to recorded sales transactons. The accrued amount is reduced by the amount of credits estmated to go unused, known as breakage, provided that the credits are not subject to escheatment. We estmate breakage based on historical usage trends and available data on comparable programs and recognize breakage in proporton to the patern of redempton for customer credits. Our breakage estmate could be impacted by future actvity difering from our estmates, the efects of which could be material.</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three and six months ended June 30, 2023, $2.6 million and $5.2 million of accrued customer credits were redeemed, respectvely, and we recognized $6.1 million and $10.7 million of revenue from breakage, respectvely. During the three and six months ended June 30, 2022, $7.5 million and $17.3 million of accrued customer credits were redeemed, respectvely, and we recognized $2.6 million and $3.2 million of revenue from breakage, respectvely. Breakage amounts are net of reductons in associated accounts receivable balances.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Accrued future customer compensaton represents an estmate of the amount of customer compensaton due from cancellaton charges in the future. These provisions are based on historic experience, revenue volumes for future events, and management’s estmate of the likelihood of future event cancellatons and are recognized as a component of Revenues in the Condensed Consolidated Statements of Operatons. The expected recoveries of these obligatons are included in Prepaid expenses and other current assets in the Condensed Consolidated Balance Sheets. This estmated accrual could be impacted by future actvity difering from our estmates, the efects of which could be material. During the three and six months ended June 30, 2023, we recognized a net increase in revenue of $1.1 million and a net decrease in revenue of $0.2 million, respectvely, and during the three and six months ended June 30, 2022, we recognized a net increase in revenue of $5.2 million and $3.4 million, respectvely, from the reversals of previously recorded revenue and changes to accrued future customer compensaton related to event cancellatons where the performance obligatons were satsfed in prior periods.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Accrued contngencies primarily decreased as a result of a milestone payment to Betcha Sports, Inc. ("Betcha," which was rebranded as "Vivid Picks") of $2.5 million in cash during the six months ended June 30, 2023.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liabilites primarily increased as a result of accrued interest during the six months ended June 30,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60" w:type="dxa"/>
            <w:vAlign w:val="bottom"/>
          </w:tcPr>
          <w:p>
            <w:pPr>
              <w:spacing w:after="0"/>
              <w:rPr>
                <w:sz w:val="20"/>
                <w:szCs w:val="20"/>
                <w:color w:val="auto"/>
              </w:rPr>
            </w:pPr>
            <w:r>
              <w:rPr>
                <w:rFonts w:ascii="Arial" w:cs="Arial" w:eastAsia="Arial" w:hAnsi="Arial"/>
                <w:sz w:val="18"/>
                <w:szCs w:val="18"/>
                <w:b w:val="1"/>
                <w:bCs w:val="1"/>
                <w:color w:val="auto"/>
              </w:rPr>
              <w:t>9. D</w:t>
            </w:r>
            <w:r>
              <w:rPr>
                <w:rFonts w:ascii="Arial" w:cs="Arial" w:eastAsia="Arial" w:hAnsi="Arial"/>
                <w:sz w:val="12"/>
                <w:szCs w:val="12"/>
                <w:b w:val="1"/>
                <w:bCs w:val="1"/>
                <w:color w:val="auto"/>
              </w:rPr>
              <w:t>ebt</w:t>
            </w:r>
          </w:p>
        </w:tc>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49"/>
        </w:trPr>
        <w:tc>
          <w:tcPr>
            <w:tcW w:w="6060" w:type="dxa"/>
            <w:vAlign w:val="bottom"/>
          </w:tcPr>
          <w:p>
            <w:pPr>
              <w:spacing w:after="0"/>
              <w:rPr>
                <w:sz w:val="20"/>
                <w:szCs w:val="20"/>
                <w:color w:val="auto"/>
              </w:rPr>
            </w:pPr>
            <w:r>
              <w:rPr>
                <w:rFonts w:ascii="Arial" w:cs="Arial" w:eastAsia="Arial" w:hAnsi="Arial"/>
                <w:sz w:val="18"/>
                <w:szCs w:val="18"/>
                <w:color w:val="auto"/>
              </w:rPr>
              <w:t>Our outstanding debt is comprised of the following (in thousands):</w:t>
            </w: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0"/>
        </w:trPr>
        <w:tc>
          <w:tcPr>
            <w:tcW w:w="60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June 30, 2023</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December 31, 2022</w:t>
            </w:r>
          </w:p>
        </w:tc>
      </w:tr>
      <w:tr>
        <w:trPr>
          <w:trHeight w:val="33"/>
        </w:trPr>
        <w:tc>
          <w:tcPr>
            <w:tcW w:w="60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5"/>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February 2022 First Lien Loan</w:t>
            </w:r>
          </w:p>
        </w:tc>
        <w:tc>
          <w:tcPr>
            <w:tcW w:w="1680" w:type="dxa"/>
            <w:vAlign w:val="bottom"/>
            <w:tcBorders>
              <w:bottom w:val="single" w:sz="8" w:color="CFF0FC"/>
            </w:tcBorders>
            <w:shd w:val="clear" w:color="auto" w:fill="CFF0FC"/>
          </w:tcPr>
          <w:p>
            <w:pPr>
              <w:jc w:val="right"/>
              <w:ind w:right="14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271,563</w:t>
            </w:r>
          </w:p>
        </w:tc>
        <w:tc>
          <w:tcPr>
            <w:tcW w:w="4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272,938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60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long-term debt, gross</w:t>
            </w:r>
          </w:p>
        </w:tc>
        <w:tc>
          <w:tcPr>
            <w:tcW w:w="16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271,563</w:t>
            </w:r>
          </w:p>
        </w:tc>
        <w:tc>
          <w:tcPr>
            <w:tcW w:w="4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272,938</w:t>
            </w:r>
          </w:p>
        </w:tc>
        <w:tc>
          <w:tcPr>
            <w:tcW w:w="140" w:type="dxa"/>
            <w:vAlign w:val="bottom"/>
            <w:tcBorders>
              <w:top w:val="single" w:sz="8" w:color="CFF0FC"/>
            </w:tcBorders>
          </w:tcPr>
          <w:p>
            <w:pPr>
              <w:spacing w:after="0"/>
              <w:rPr>
                <w:sz w:val="20"/>
                <w:szCs w:val="20"/>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unamortzed debt issuance costs</w:t>
            </w:r>
          </w:p>
        </w:tc>
        <w:tc>
          <w:tcPr>
            <w:tcW w:w="16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(4,940 )</w:t>
            </w:r>
          </w:p>
        </w:tc>
        <w:tc>
          <w:tcPr>
            <w:tcW w:w="28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(5,290 )</w:t>
            </w:r>
          </w:p>
        </w:tc>
      </w:tr>
      <w:tr>
        <w:trPr>
          <w:trHeight w:val="237"/>
        </w:trPr>
        <w:tc>
          <w:tcPr>
            <w:tcW w:w="60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long-term debt, net of issuance costs</w:t>
            </w:r>
          </w:p>
        </w:tc>
        <w:tc>
          <w:tcPr>
            <w:tcW w:w="16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266,623</w:t>
            </w:r>
          </w:p>
        </w:tc>
        <w:tc>
          <w:tcPr>
            <w:tcW w:w="4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267,648</w:t>
            </w:r>
          </w:p>
        </w:tc>
        <w:tc>
          <w:tcPr>
            <w:tcW w:w="140" w:type="dxa"/>
            <w:vAlign w:val="bottom"/>
            <w:tcBorders>
              <w:top w:val="single" w:sz="8" w:color="CFF0FC"/>
            </w:tcBorders>
          </w:tcPr>
          <w:p>
            <w:pPr>
              <w:spacing w:after="0"/>
              <w:rPr>
                <w:sz w:val="20"/>
                <w:szCs w:val="20"/>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porton</w:t>
            </w:r>
          </w:p>
        </w:tc>
        <w:tc>
          <w:tcPr>
            <w:tcW w:w="16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(2,750 )</w:t>
            </w:r>
          </w:p>
        </w:tc>
        <w:tc>
          <w:tcPr>
            <w:tcW w:w="28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(2,750 )</w:t>
            </w:r>
          </w:p>
        </w:tc>
      </w:tr>
      <w:tr>
        <w:trPr>
          <w:trHeight w:val="243"/>
        </w:trPr>
        <w:tc>
          <w:tcPr>
            <w:tcW w:w="60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long-term debt, net</w:t>
            </w:r>
          </w:p>
        </w:tc>
        <w:tc>
          <w:tcPr>
            <w:tcW w:w="168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263,873</w:t>
            </w:r>
          </w:p>
        </w:tc>
        <w:tc>
          <w:tcPr>
            <w:tcW w:w="40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264,898</w:t>
            </w:r>
          </w:p>
        </w:tc>
        <w:tc>
          <w:tcPr>
            <w:tcW w:w="140" w:type="dxa"/>
            <w:vAlign w:val="bottom"/>
            <w:tcBorders>
              <w:top w:val="single" w:sz="8" w:color="CFF0FC"/>
            </w:tcBorders>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-822325</wp:posOffset>
            </wp:positionV>
            <wp:extent cx="85725"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-822325</wp:posOffset>
            </wp:positionV>
            <wp:extent cx="85725"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-505460</wp:posOffset>
            </wp:positionV>
            <wp:extent cx="85725"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857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Term Loans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30, 2017, we entered into a $575.0 million frst lien debt facility, comprised of a $50.0 million revolving credit facility and a $525.0 million term loan (the “June 2017 First Lien Loan”), and a second lien credit facility, comprised of a $185.0 million second lien term loan (the “June 2017 Second Lien Loan”). The June 2017 First Lien Loan was amended to upsize the commited amount by $115.0 million on July 2, 2018. On October 28, 2019, we paid of the June 2017 Second Lien Loan balance. The revolving credit facility component of the frst lien debt facility was subsequently retred on May 22, 2020. On October 18, 2021, we made an early principal payment related to the June 2017 First Lien Loan of $148.2 million in connecton with, and using the proceeds from, the merger transacton with Horizon Acquisiton Corporaton ("Merger Transacton") and a private investment in public equity. On February 3, 2022, we repaid $190.7 million of the outstanding balance of the June 2017 First Lien Loan and refnanced the remaining balance with a new $275.0 million term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2022 First Lien Loan</w:t>
      </w:r>
    </w:p>
    <w:p>
      <w:pPr>
        <w:spacing w:after="0" w:line="15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On February 3, 2022, we entered into an amendment which refnanced the remaining balance of the June 2017 First Lien Loan with a new $275.0 million term loan (the "February 2022 First Lien Loan"), which has a maturity date of February 3, 2029 and added a new $100.0 million revolving credit facility (the “Revolving Facility”) with a maturity date of February 3, 2027. At June 30, 2023, we had no outstanding borrowings under our Revolving Facility.</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the February 2022 First Lien Loan specify a secured overnight fnancing rate (“SOFR”) based foatng interest rate and contain a springing fnancial covenant that requires compliance with a frst lien net leverage rato when revolver borrowings exceed certain levels. All obligatons under the February 2022 First Lien Loan are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unconditonally guaranteed by Hoya Intermediate and substantally all of Hoya Intermediate’s existng and future direct and indirect wholly owned domestc subsidiaries. The February 2022 First Lien Loan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(subject to a 0.5% foor) plus 3.25%. The efectve interest rate on the February 2022 First Lien Loan was 8.71% and 7.98% per annum at June 30, 2023 and December 31, 2022, respectvely.</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February 2022 First Lien Loan is held by third-party fnancial insttutons and is carried at the outstanding principal balance, less debt issuance costs and any unamortzed discount or premium. The fair value was estmated using quoted prices that are directly observable in the marketplace. Therefore, the fair value is estmated on a Level 2 basis. At June 30, 2023 and December 31, 2022, the fair value of our February 2022 First Lien Loan approximated the carrying value.</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certain reportng and compliance-related covenants to remain in good standing under the February 2022 First Lien Loan. These covenants, among other things, limit our ability to incur additonal indebtedness and, in certain circumstances, restrict our ability to enter into transactons with afliates, create liens, merge or consolidate, and make certain payments. Non-compliance with these covenants and failure to remedy could result in the acceleraton of the loans or foreclosure on the collateral. As of June 30, 2023, we were in compliance with all of our debt covenants related to the February 2022 First Lien Loan.</w:t>
      </w:r>
    </w:p>
    <w:p>
      <w:pPr>
        <w:spacing w:after="0" w:line="8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Due to the refnancing of the June 2017 First Lien Loan with the February 2022 First Lien Loan, we incurred a loss of $4.3 million for the six months ended June 30, 2022, which is presented in Loss on extnguishment of debt in the Condensed Consolidated Statements of Operatons.</w:t>
      </w:r>
    </w:p>
    <w:p>
      <w:pPr>
        <w:spacing w:after="0" w:line="85"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nstruments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issued the following warrants during the year ended December 31, 2021 in connecton with the Merger Transacton: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15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issued warrants to purchase 18,132,776 shares of our Class A common stock at an exercise price of $11.50 per share ("Public Warrants") to former warrant holders of Horizon Acquisiton Corporaton, of which warrants to purchase 5,166,666 shares were issued to Horizon Sponsor, LLC. The Public Warrants are traded on the Nasdaq Stock Market under the symbol “SEATW.” As of June 30, 2023, there were 6,766,853 outstanding Public Warrants.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Warrants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issued warrants to purchase 6,519,791 shares of our Class A common stock at an exercise price of $11.50 per share ("Private Warrants") to Horizon Sponsor, LLC. The Private Warrants have similar terms to the Public Warrants, except that the Private Warrants are not redeemable by us. As of June 30, 2023, there were 6,519,791 outstanding Private Warrants.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Warrants</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issued to Horizon Sponsor, LLC warrants to purchase 17,000,000 shares of our Class A common stock at an exercise price of $10.00 per share (“$10 Exercise Warrants”) and warrants to purchase 17,000,000 shares of our Class A common stock at an exercise of $15.00 per share (“$15 Exercise Warrants”; together with the $10 Exercise Warrants, “Exercise Warrants”). The Exercise Warrants have similar terms to the Public Warrants, except that the Exercise Warrants have diferent exercise prices, an inital term of 10 years, are not redeemable by us, and are fully transferable. As of June 30, 2023, there were 17,000,000 $10 Exercise Warrants outstanding and 17,000,000 $15 Exercise Warrants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Mirror Warrants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Hoya Intermediate issued to us warrants to purchase 17,000,000 of its common units (“Intermediate Units”) at an exercise price of $10.00 per unit (“$10 Mirror Warrants”), warrants to purchase 17,000,000 Intermediate Units at an exercise of $15.00 per unit (“$15 Mirror Warrants”), and warrants to purchase 24,652,557 Intermediate Units at an exercise price of $11.50 per unit (“$11.50 Mirror Warrants”; together with the $10 Mirror Warrants and $15 Mirror Warrants, “Mirror Warrants”). The number and terms of the Mirror Warrants are identcal to the Public, Private and Exercise Warrants, respectvely. Upon the valid exercise of a Public, Private or Exercise Warrant, Hoya Intermediate will issue to us an equivalent number of Intermediate Units. Similarly, if a Public, Private or Exercise Warrant is tendered, an equivalent number of Mirror Warrants will be tendered. As of June 30, 2023, there were 17,000,000 $10 Mirror Warrants outstanding, 17,000,000 $15 Mirror Warrants outstanding and 13,286,644 $11.50 Mirror Warrants outstanding.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Hoya Intermediate Warrants</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Hoya Intermediate issued to Hoya Topco, LLC (“Hoya Topco”) warrants to purchase 3,000,000 Intermediate Units at an exercise price of $10.00 per unit and warrants to purchase 3,000,000 Intermediate Units at an exercise of $15.00 per unit (collectvely, the "Hoya Intermediate Warrants").</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porton of the Hoya Intermediate Warrants, consistng of warrants to purchase 1,000,000 Intermediate Units at exercise prices of $10.00 and $15.00 per unit, respectvely (“Opton Contngent Warrants”), were issued in tandem with stock optons we issued to members of our management team (“Management Optons”). The Opton Contngent Warrants only become exercisable by Hoya Topco if a Management Opton is forfeited or expires unexercised. As of June 30, 2023, 0.1 million Management Optons were forfeited or expired.</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Hoya Intermediate Warrants allow for cash redempton at the opton of the warrant holder. Hence, the Hoya Intermediate Warrants are classifed as a liability in Other liabilites in the Condensed Consolidated Balance Sheets. Upon consummaton of the Merger Transacton, we recorded a warrant liability of $20.4 million, refectng the fair value of the Hoya Intermediate Warrants determined using the Black-Scholes model. Upon consummaton of the Merger Transacton, the fair value of the Hoya Intermediate Warrants included Opton Contngent Warrants of $1.6 million. The estmated fair value of the Opton Contngent Warrants is adjusted to refect the probability of forfeiture of the corresponding Management Optons based on historical forfeiture rates for Hoya Topco profts interests.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assumptons were used to calculate the fair value of the Hoya Intermediate Warrants and the Opton Contngent Warrants: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tcPr>
          <w:p>
            <w:pPr>
              <w:spacing w:after="0"/>
              <w:rPr>
                <w:sz w:val="20"/>
                <w:szCs w:val="20"/>
                <w:color w:val="auto"/>
              </w:rPr>
            </w:pPr>
          </w:p>
        </w:tc>
        <w:tc>
          <w:tcPr>
            <w:tcW w:w="1900" w:type="dxa"/>
            <w:vAlign w:val="bottom"/>
          </w:tcPr>
          <w:p>
            <w:pPr>
              <w:ind w:left="700"/>
              <w:spacing w:after="0"/>
              <w:rPr>
                <w:sz w:val="20"/>
                <w:szCs w:val="20"/>
                <w:color w:val="auto"/>
              </w:rPr>
            </w:pPr>
            <w:r>
              <w:rPr>
                <w:rFonts w:ascii="Arial" w:cs="Arial" w:eastAsia="Arial" w:hAnsi="Arial"/>
                <w:sz w:val="18"/>
                <w:szCs w:val="18"/>
                <w:b w:val="1"/>
                <w:bCs w:val="1"/>
                <w:color w:val="auto"/>
              </w:rPr>
              <w:t>June 30, 2023</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gridSpan w:val="3"/>
          </w:tcPr>
          <w:p>
            <w:pPr>
              <w:ind w:left="46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Estmated volatlity</w:t>
            </w:r>
          </w:p>
        </w:tc>
        <w:tc>
          <w:tcPr>
            <w:tcW w:w="19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34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4"/>
              </w:rPr>
              <w:t>%</w:t>
            </w: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8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rate</w:t>
            </w:r>
          </w:p>
        </w:tc>
        <w:tc>
          <w:tcPr>
            <w:tcW w:w="8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3.9 %</w:t>
            </w:r>
          </w:p>
        </w:tc>
        <w:tc>
          <w:tcPr>
            <w:tcW w:w="2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147"/>
              <w:spacing w:after="0"/>
              <w:rPr>
                <w:sz w:val="20"/>
                <w:szCs w:val="20"/>
                <w:color w:val="auto"/>
              </w:rPr>
            </w:pPr>
            <w:r>
              <w:rPr>
                <w:rFonts w:ascii="Arial" w:cs="Arial" w:eastAsia="Arial" w:hAnsi="Arial"/>
                <w:sz w:val="18"/>
                <w:szCs w:val="18"/>
                <w:color w:val="auto"/>
              </w:rPr>
              <w:t>0.0 %</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and six months ended June 30, 2023, the fair value of the Hoya Intermediate Warrants and the Opton Contngent Warrants increased by $1.0 million and $0.7 million, respectvely, and for the three and six months ended June 30, 2022 decreased by $8.8 million and $6.6 million, respectvely, which is presented in Other (income) expense on the Condensed Consolidated Statements of Operatons.</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Upon the valid exercise of a Hoya Intermediate Warrant for Intermediate Units, we will issue an equivalent amount of shares of our Class B common stock to Hoya Topco.</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Other fnancial instruments, including accounts receivable and accounts payable, are carried at cost, which approximates their fair value because of the short-term nature of these instruments.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25, 2022, our board of directors (“Board”) authorized a share repurchase program of our Class A common stock of up to $40.0 million ("Repurchase Program"). The Repurchase Program was announced on May 26, 2022 and its authorizaton was fully utlized during 2022 and during the three months ended March 31, 2023. Cumulatvely under the Repurchase Program, we repurchased 5.3 million shares of our Class A common stock for $40.0 million and paid $0.1 million in commissions. The share repurchases are accounted for as Treasury stock in the Condensed Consolidated Balance Sheets. We made no share repurchases during the three months ended June 30, 2023.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Ofering</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June 30, 2023, we completed a public ofering of 18,400,000 shares of our Class A common stock, comprised of 16,000,000 shares sold on May 22, 2023 and 2,400,000 shares sold on June 15, 2023 pursuant to the full exercise by the underwriters of their opton to purchase additonal shares (the "Secondary Ofering"). The shares were sold at a public ofering price of $8.00 per share and were purchased by the underwriters from Hoya Topco (the "Selling Stockholder") at a price of $7.68 per share. The Selling Stockholder exchanged 18,400,000 shares of our Class B common stock and 18,400,000 Intermediate Units for the shares of our Class A common stock that it sold in the Secondary Ofering. We did not receive any of the proceeds from the sale of the shares by the Selling Stockholder in the Secondary Ofering. In connecton with the Secondary Ofering, we incurred $1.5 million of expenses, which are included within General and administratve expenses in the Condensed Consolidated Statements of Operatons.</w:t>
      </w:r>
    </w:p>
    <w:p>
      <w:pPr>
        <w:spacing w:after="0" w:line="129"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Litgaton</w:t>
      </w:r>
    </w:p>
    <w:p>
      <w:pPr>
        <w:spacing w:after="0" w:line="16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From tme to tme, we are involved in various claims and legal actons arising in the ordinary course of business, none of which, in the opinion of management, could have a material efect on our business, fnancial positon or results of operatons other than those maters discussed herein.</w:t>
      </w:r>
    </w:p>
    <w:p>
      <w:pPr>
        <w:spacing w:after="0" w:line="8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are a co-defendant in a class acton lawsuit in Canada alleging a failure to disclose service fees prior to checkout, which we have setled. On January 5, 2022, we issued coupons to certain members of the class. Other members were notfed in 2022 that they are eligible to submit a claim for a coupon, which they received in 2023. As of June 30, 2023 and December 31, 2022, a liability of $0.9 million was recorded in Accrued expenses and other current liabilites in the Condensed Consolidated Balance Sheets related to expected claim submissions and credit redemptons as of the measurement date.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received multple class acton lawsuits related to customer compensaton for cancellatons, primarily as a result of COVID-19 restrictons. A fnal order approving setlement of one of the lawsuits was entered by the court on November 1, 2021. As such, afer insurance, $4.5 million was funded to a claims setlement pool in 2021 and fully disbursed in 2022. A setlement was reached in another of the lawsuits in July 2022 which established a separate claims setlement pool of up to $2.5 million. That setlement received fnal approval from the court on January 31, 2023 and the setlement pool will be funded in 2023. As of June 30, 2023 and December 31, 2022, we had accrued a liability of $0.1 million and $1.6 million, respectvely, within Accrued expenses and other current liabilites in the Condensed Consolidated Balance Sheets related to these maters.</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are a defendant in a lawsuit related to an alleged violaton of the Illinois Biometric Informaton Privacy Act. We deny these allegatons and intend to vigorously defend against this lawsuit. Based on the informaton currently available, we are unable to reasonably estmate a possible loss or range of possible losses. As a result, no litgaton reserve has been recorded in the Condensed Consolidated Balance Sheets related to this mater.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2018, the U.S. Supreme Court issued its decision in South Dakota v. Wayfair Inc., which overturned previous case law that had precluded states from imposing sales tax collecton requirements on retailers without a physical presence in the state. In response, most states have already adopted laws that atempt to impose tax collecton obligatons on out-of-state companies, and we have registered and are collectng tax, where required by statute. However, states or local governments may contnue to adopt laws requiring that we calculate, collect, and remit taxes on sales in their jurisdictons. A successful asserton by one or more jurisdictons could result in tax liabilites, including taxes on past sales, as well as penaltes and interest. Based on our analysis of certain state regulatons, specifcally related to marketplace facilitators and tcket sales, we do not believe risk of loss is probable on historical revenue actvites where tax has not already been remited. We contnuously monitor state regulatons and will implement required collecton and remitance procedures if and when we are subject to such regulatons.</w:t>
      </w:r>
    </w:p>
    <w:p>
      <w:pPr>
        <w:spacing w:after="0" w:line="102"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Vivid Cheers Inc.</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2020, Vivid Cheers Inc. (“Vivid Cheers”) was incorporated as a non-proft organizaton within the meaning of Secton 501(c)(3) of the Internal Revenue Code of 1986, as amended (the "IRC"). Vivid Cheers’ mission is to support causes and organizatons dedicated to healthcare, educaton, and support of workers in the live events industry during tmes of need. We have the right to elect the board of directors of Vivid Cheers, which currently comprises our executves. We do not have a controlling fnancial interest in Vivid Cheers and, accordingly, do not consolidate its statement of actvites with our fnancial results. We made no charitable contributons to Vivid Cheers during the three and six months ended June 30, 2023. We made charitable contributons to Vivid Cheers of less than $0.1 million and $0.6 million during the three and six months ended June 30, 2022. We had no accrued charitable contributons payable as of June 30, 2023 and December 31, 2022.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Viral Naton Inc.</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Viral Naton Inc. ("Viral Naton") is a marketng agency that creates viral and social media infuencer campaigns and provides advertsing, marketng, and technology services. Todd Boehly, a member of our Board, is the co-founder, Chairman and CEO of Eldridge Industries, which owns in excess of 25% of Viral Naton. We incurred an expense of less than $0.1 million for the three and six months ended June 30, 2023 and $0.5 million and $0.6 million for the three and six months ended June 30, 2022, respectvely, which is presented in Marketng and selling expenses on the Condensed Consolidated Statements of Operatons.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Rolling Stone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Rolling Stone is a high-profle magazine and media platorm that focuses on music, flm, TV, and news coverages. Todd Boehly, a member of our Board, is the co-founder, Chairman and CEO of Eldridge Industries, which owns in excess of 20% of Rolling Stone. We incurred an expense of $0.3 million and $0.6 million as part of our multfaceted partnership with Rolling Stone for the three and six months ended June 30, 2023, respectvely, which is presented in Marketng and selling expenses on the Condensed Consolidated Statements of Operatons. We incurred no expense and an expense of $0.1 million for the three and six months ended June 30, 2022, respectvely.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Khoros, LLC</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Khoros, LLC ("Khoros") is a social media engagement and management platorm. Martn Taylor, a member of our Board, is a principal at Vista Equity Partners, which is one of our investors and a majority owner of Khoros. We incurred an expense of less than $0.1 million and $0.1 million for the three and six months ended June 30, 2023, respectvely, and less than $0.1 million for the three and six months ended June 30, 2022, which is presented in General and administratve expenses on the Condensed Consolidated Statements of Operatons.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connecton with the Merger Transacton, we entered into a Tax Receivable Agreement with the existng Hoya Intermediate shareholders that provides for our payment to such shareholders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Tax Receivable Agreement.</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conjuncton with the Secondary Ofering, Hoya Topco exchanged Intermediate Units, and as a result, we recorded a liability of $99.0 million and a deferred tax asset of $52.8 million related to the Secondary Ofering as well as the projected payments under the Tax Receivable Agreement, with a corresponding reducton to additonal paid-in capital of $46.1 million. Tax Receivable Agreement-related liabilites are classifed as current or long-term based on the expected date of payment. As of June 30, 2023, there are no amounts due within 12 months and, therefore, the entre liability is included in Tax Receivable Agreement liability within long-term liabilites in the Condensed Consolidated Balance Sheets.</w:t>
      </w:r>
    </w:p>
    <w:p>
      <w:pPr>
        <w:spacing w:after="0" w:line="111"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p>
    <w:p>
      <w:pPr>
        <w:spacing w:after="0" w:line="16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For the three and six months ended June 30, 2023, we recorded a $24.5 million and $24.2 million income tax beneft in contnuing operatons, respectvely. Our efectve income tax rate difers from the 21% U.S. federal statutory rate largely due to the release of our valuaton allowance on our U.S. net operatng losses, interest limitatons, and tax credit carryforwards of which $25.3 million was recorded as a discrete tax beneft during the quarter.</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For the three and six months ended June 30, 2022, we recorded a less than $0.1 million income tax expense in contnuing operatons. The June 30, 2022 income tax provision was primarily a result of state taxes.</w:t>
      </w:r>
    </w:p>
    <w:p>
      <w:pPr>
        <w:spacing w:after="0" w:line="11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June 30, 2023, our deferred tax assets were primarily the result of our investments in partnership, net operatng losses, interest limitatons, and tax credit carryforwards. In prior periods, a full valuaton allowance was maintained against our U.S. deferred tax assets on the basis of management’s reassessment of the amount of the deferred tax assets that are more likely than not to be realized. As of each reportng date, management considers new evidence, both positve and negatve, that could afect its view of the future realizaton of deferred tax assets. As of June 30, 2023, in part because in the current year we achieved three years of cumulatve pretax income in the U.S. federal tax jurisdicton, management determined that there is sufcient positve evidence to conclude that it is more likely than not that additonal deferred tax assets of $31.3 million associated with our investments in partnership, U.S. net operatng losses, interest limitatons, and tax credit carryforwards are realizable. We therefore reduced the valuaton allowance accordingly in the second quarter of 2023. We maintain a partal valuaton allowance on our investments in partnership related to the porton of the basis diference that will only reverse upon the sale of our interests, which would result in a capital loss that we do not expect to be able to utlize. Certain tax atributes remain subject to an annual limitaton under Secton 382 of the IRC as a result of the historical acquisitons.</w:t>
      </w:r>
    </w:p>
    <w:p>
      <w:pPr>
        <w:spacing w:after="0" w:line="108"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During the three months ended June 30, 2023, we received a refund associated with our 2021 tax fling in the amount of $7.8 million, including interest. A long-term unrecognized tax beneft liability was established in connecton with this amount during the quarter as the refund beneft remains uncertain.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conjuncton with the Secondary Ofering, Hoya Topco exchanged Intermediate Units, and as a result, we recorded a liability of $99.0 million and a deferred tax asset of $52.8 million related to the Secondary Ofering as well as the projected payments under the Tax Receivable Agreement, with a corresponding reducton to additonal paid-in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capital of $46.1 million. Payments pursuant to the Tax Receivable Agreement relatng to the Secondary Ofering are expected to begin during the year ending December 31, 2025.</w:t>
      </w:r>
    </w:p>
    <w:p>
      <w:pPr>
        <w:spacing w:after="0" w:line="9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Amounts payable under the Tax Receivable Agreement are contngent upon the generaton of future taxable income over the term of the Tax Receivable Agreement and future changes in tax laws. If we do not generate sufcient taxable income in the aggregate over the term of the Tax Receivable Agreement to utlize the tax benefts, then we would not be required to make the related payments. As of June 30, 2023, we estmate that the tax savings associated with all tax atributes described above would aggregate to approximately $116.4 million. Under this scenario we would be required to pay approximately 85% of such amount, or $99.0 million, primarily over the next 15 years. As of June 30, 2023, there are no amounts due within 12 months.</w:t>
      </w:r>
    </w:p>
    <w:p>
      <w:pPr>
        <w:spacing w:after="0" w:line="96"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2021 Incentve Award Plan ("2021 Plan") was approved and adopted in order to facilitate the grant of equity incentve awards to our employees, directors and consultants. The 2021 Plan became efectve on October 18, 2021 upon closing of the Merger Transacton.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March 2023, we granted 2.5 million RSUs to certain of our employees at a weighted average grant date fair value of $7.17 per share. In May 2023, we granted less than 0.1 million RSUs to certain of our employees at a weighted average grant date fair value of $7.67 per share. RSUs granted to employees vest over three years, with one-third vestng on the one-year anniversary of the grant date and the remaining porton vestng on a quarterly basis thereafer, subject to the employee’s contnued employment through the applicable vestng date.</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2023, we granted 0.1 million RSUs to our directors at a weighted average grant date fair value of $7.68 per share. RSUs granted to directors fully vest on the earlier of (i) one day prior to the date of our frst annual meetng of stockholders following the grant date and (ii) the one-year anniversary of the grant date, subject to the director's contnued service on our Board.</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June 2023, we granted less than 0.1 million RSUs to certain of our consultants at a weighted average grant date fair value of $7.98 per share. RSUs granted to consultants vest in equal annual installments over three years, subject to the consultant's contnued service.</w:t>
      </w:r>
    </w:p>
    <w:p>
      <w:pPr>
        <w:spacing w:after="0" w:line="110"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We account for forfeitures of outstanding, but unvested grants, in the period they occur. During the three and six months ended June 30, 2023, 0.1 million RSUs were forfeited. During the three and six months ended June 30, 2022, less than 0.1 million and 0.1 million RSUs were forfeited, respectvely.</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and six months ended June 30, 2023, 0.2 million and 0.7 million RSUs vested, respectvely. During the three and six months ended June 30, 2022, less than 0.1 million and 0.1 million RSUs vested, respectvely. At June 30, 2023, and December 31, 2022, there were 4.3 million and 2.6 million RSUs outstanding, respectvely.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optons</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March 2023, we granted 3.6 million stock optons to certain of our employees at an exercise price of $7.17. The grant date fair value of the stock optons is $3.30 per opton. Stock optons provide for the purchase of shares of our Class A common stock in the future at an exercise price set on the grant date. These stock optons vest over three years, with one-third vestng on the one-year anniversary of the grant date and the remaining porton vestng on a quarterly basis thereafer. The stock optons have a contractual term of ten years from the grant date, subject to the employee’s contnued employment through the applicable vestng date. The fair value of stock optons granted is estmated on the grant date using the Black-Scholes model.</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2023, we granted 0.9 million stock optons divided into three tranches, 0.2 million, 0.3 million and 0.4 million, respectvely, to certain of our consultants at exercise prices of $7.98, $17.00 and $23.00, respectvely. The grant date fair value of the stock optons is $3.22, $1.87 and $1.44 per opton, respectvely. Stock optons provide for the purchase of shares of our Class A common stock in the future at an exercise price set on the grant date. These stock optons vest in equal annual installments over three years. The stock optons have a contractual term of seven years from the grant date, subject to the consultants' contnued service through the applicable vestng date. The fair value of stock optons granted is estmated on the grant date using the Hull White model.</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20" w:type="dxa"/>
            <w:vAlign w:val="bottom"/>
            <w:gridSpan w:val="2"/>
          </w:tcPr>
          <w:p>
            <w:pPr>
              <w:spacing w:after="0"/>
              <w:rPr>
                <w:sz w:val="20"/>
                <w:szCs w:val="20"/>
                <w:color w:val="auto"/>
              </w:rPr>
            </w:pPr>
            <w:r>
              <w:rPr>
                <w:rFonts w:ascii="Arial" w:cs="Arial" w:eastAsia="Arial" w:hAnsi="Arial"/>
                <w:sz w:val="18"/>
                <w:szCs w:val="18"/>
                <w:color w:val="auto"/>
              </w:rPr>
              <w:t>The following assumptons were used to calculate the fair value of our stock optons: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6380" w:type="dxa"/>
            <w:vAlign w:val="bottom"/>
          </w:tcPr>
          <w:p>
            <w:pPr>
              <w:spacing w:after="0"/>
              <w:rPr>
                <w:sz w:val="24"/>
                <w:szCs w:val="24"/>
                <w:color w:val="auto"/>
              </w:rPr>
            </w:pPr>
          </w:p>
        </w:tc>
        <w:tc>
          <w:tcPr>
            <w:tcW w:w="1740" w:type="dxa"/>
            <w:vAlign w:val="bottom"/>
          </w:tcPr>
          <w:p>
            <w:pPr>
              <w:ind w:left="600"/>
              <w:spacing w:after="0"/>
              <w:rPr>
                <w:sz w:val="20"/>
                <w:szCs w:val="20"/>
                <w:color w:val="auto"/>
              </w:rPr>
            </w:pPr>
            <w:r>
              <w:rPr>
                <w:rFonts w:ascii="Arial" w:cs="Arial" w:eastAsia="Arial" w:hAnsi="Arial"/>
                <w:sz w:val="18"/>
                <w:szCs w:val="18"/>
                <w:b w:val="1"/>
                <w:bCs w:val="1"/>
                <w:color w:val="auto"/>
                <w:w w:val="95"/>
              </w:rPr>
              <w:t>June 14, 2023</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3"/>
          </w:tcPr>
          <w:p>
            <w:pPr>
              <w:ind w:left="520"/>
              <w:spacing w:after="0"/>
              <w:rPr>
                <w:sz w:val="20"/>
                <w:szCs w:val="20"/>
                <w:color w:val="auto"/>
              </w:rPr>
            </w:pPr>
            <w:r>
              <w:rPr>
                <w:rFonts w:ascii="Arial" w:cs="Arial" w:eastAsia="Arial" w:hAnsi="Arial"/>
                <w:sz w:val="18"/>
                <w:szCs w:val="18"/>
                <w:b w:val="1"/>
                <w:bCs w:val="1"/>
                <w:color w:val="auto"/>
              </w:rPr>
              <w:t>March 10, 2023</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Volatlity</w:t>
            </w:r>
          </w:p>
        </w:tc>
        <w:tc>
          <w:tcPr>
            <w:tcW w:w="17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4"/>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rate</w:t>
            </w:r>
          </w:p>
        </w:tc>
        <w:tc>
          <w:tcPr>
            <w:tcW w:w="7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4.0 %</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0.0 %</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At June 30, 2023 and December 31, 2022, there were 10.6 million and 6.1 million stock optons outstanding, respectvely. No stock optons were exercised during the three and six months ended June 30, 2023 and 2022. During the three and six months ended June 30, 2023, less than 0.1 million stock optons were forfeited or expired. During the three and six months ended June 30, 2022, no stock optons were forfeited or expired.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Compensaton expense</w:t>
      </w:r>
    </w:p>
    <w:p>
      <w:pPr>
        <w:spacing w:after="0" w:line="15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For the three and six months ended June 30, 2023, equity-based compensaton expense related to RSUs was $3.9 million and $6.6 million, respectvely, compared to $2.4 million and $3.7 million for the three and six months ended June 30, 2022, respectvely. Unrecognized compensaton expense relatng to unvested RSUs as of June 30, 2023 was $39.3 million, which is expected to be recognized over a weighted average period of approximately two years.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and six months ended June 30, 2023, equity-based compensaton expense related to stock optons was $2.7 million and $4.5 million, respectvely, compared to $1.8 million and $2.9 million for the three and six months ended June 30, 2022, respectvely. Unrecognized compensaton expense relatng to unvested stock optons as of June 30, 2023 was $28.2 million, which is expected to be recognized over a weighted average period of approximately two years.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and six months ended June 30, 2023, equity-based compensaton expense related to proft interests was $1.0 million and $2.0 million, respectvely. For the three and six months ended June 30, 2022, equity-based compensaton expense related to proft interests was $1.2 million and $2.3 million, respectvely. Unrecognized compensaton expense relatng to these proft interests as of June 30, 2023 was $2.5 million, which is expected to be recognized over a weighted average period of approximately two years.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arnings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p>
    <w:p>
      <w:pPr>
        <w:spacing w:after="0" w:line="14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 xml:space="preserve">We calculate basic and diluted net income per share of Class A common stock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Our Class B common stock does not have economic rights in our Company and, as a result, is not considered a partcipatng security for basic and diluted income per share. As such, basic and diluted income per share of our Class B common stock has not been presented. However, holders of our Class B common stock are allocated income in Hoya Intermediate (our operatng entty) according to their weighted average percentage ownership of Intermediate Units during each quarter.</w:t>
      </w:r>
    </w:p>
    <w:p>
      <w:pPr>
        <w:spacing w:after="0" w:line="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atributable to redeemable noncontrolling interests is calculated by multplying Hoya Intermediate's net income for each quarterly period by Hoya Topco's weighted average percentage ownership of Intermediate Units during the period. Hoya Topco has the right to exchange its Intermediate Units for shares of our Class A common stock on a one-to-one basis or for cash proceeds of equal value at the tme of redempton. The opton to redeem Intermediate Units for cash proceeds must be approved by our Board, which as of June 30, 2023, is controlled by investors in Hoya Topco. The ability to put Intermediate Units is solely within the control of the holder of the redeemable noncontrolling interests. If Hoya Topco elects for a redempton to be setled in cash, the cash used to setle the redempton must be funded through a private or public ofering of our Class A common stock and is subject to our Board's approval.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net income atributable to Hoya Topco's redeemable noncontrolling interests (in thousands):</w:t>
      </w:r>
    </w:p>
    <w:p>
      <w:pPr>
        <w:sectPr>
          <w:pgSz w:w="11900" w:h="16838" w:orient="portrait"/>
          <w:cols w:equalWidth="0" w:num="1">
            <w:col w:w="11240"/>
          </w:cols>
          <w:pgMar w:left="320" w:top="1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income—Hoya Intermediate</w:t>
      </w:r>
    </w:p>
    <w:p>
      <w:pPr>
        <w:spacing w:after="0" w:line="50" w:lineRule="exact"/>
        <w:rPr>
          <w:sz w:val="20"/>
          <w:szCs w:val="20"/>
          <w:color w:val="auto"/>
        </w:rPr>
      </w:pPr>
    </w:p>
    <w:p>
      <w:pPr>
        <w:ind w:left="20" w:right="140"/>
        <w:spacing w:after="0" w:line="266" w:lineRule="auto"/>
        <w:rPr>
          <w:sz w:val="20"/>
          <w:szCs w:val="20"/>
          <w:color w:val="auto"/>
        </w:rPr>
      </w:pPr>
      <w:r>
        <w:rPr>
          <w:rFonts w:ascii="Arial" w:cs="Arial" w:eastAsia="Arial" w:hAnsi="Arial"/>
          <w:sz w:val="18"/>
          <w:szCs w:val="18"/>
          <w:color w:val="auto"/>
        </w:rPr>
        <w:t>Hoya Topco’s weighted average % allocaton of Hoya Intermediate's net income</w:t>
      </w:r>
    </w:p>
    <w:p>
      <w:pPr>
        <w:ind w:left="120"/>
        <w:spacing w:after="0" w:line="273" w:lineRule="auto"/>
        <w:rPr>
          <w:sz w:val="20"/>
          <w:szCs w:val="20"/>
          <w:color w:val="auto"/>
        </w:rPr>
      </w:pPr>
      <w:r>
        <w:rPr>
          <w:rFonts w:ascii="Arial" w:cs="Arial" w:eastAsia="Arial" w:hAnsi="Arial"/>
          <w:sz w:val="18"/>
          <w:szCs w:val="18"/>
          <w:color w:val="auto"/>
        </w:rPr>
        <w:t>Net income atributable to Hoya Topco's redeemable noncontrolling interests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280" w:type="dxa"/>
            <w:vAlign w:val="bottom"/>
          </w:tcPr>
          <w:p>
            <w:pPr>
              <w:spacing w:after="0"/>
              <w:rPr>
                <w:sz w:val="20"/>
                <w:szCs w:val="20"/>
                <w:color w:val="auto"/>
              </w:rPr>
            </w:pPr>
          </w:p>
        </w:tc>
        <w:tc>
          <w:tcPr>
            <w:tcW w:w="32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w w:val="92"/>
              </w:rPr>
              <w:t>Three Months Ended June 30,</w:t>
            </w:r>
          </w:p>
        </w:tc>
        <w:tc>
          <w:tcPr>
            <w:tcW w:w="300" w:type="dxa"/>
            <w:vAlign w:val="bottom"/>
          </w:tcPr>
          <w:p>
            <w:pPr>
              <w:spacing w:after="0"/>
              <w:rPr>
                <w:sz w:val="20"/>
                <w:szCs w:val="20"/>
                <w:color w:val="auto"/>
              </w:rPr>
            </w:pPr>
          </w:p>
        </w:tc>
        <w:tc>
          <w:tcPr>
            <w:tcW w:w="29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33"/>
        </w:trPr>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24"/>
        </w:trPr>
        <w:tc>
          <w:tcPr>
            <w:tcW w:w="28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6"/>
        </w:trPr>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2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13,646</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24,060</w:t>
            </w:r>
          </w:p>
        </w:tc>
        <w:tc>
          <w:tcPr>
            <w:tcW w:w="4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44,002</w:t>
            </w:r>
          </w:p>
        </w:tc>
        <w:tc>
          <w:tcPr>
            <w:tcW w:w="3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27,198</w:t>
            </w:r>
          </w:p>
        </w:tc>
        <w:tc>
          <w:tcPr>
            <w:tcW w:w="140" w:type="dxa"/>
            <w:vAlign w:val="bottom"/>
          </w:tcPr>
          <w:p>
            <w:pPr>
              <w:spacing w:after="0"/>
              <w:rPr>
                <w:sz w:val="19"/>
                <w:szCs w:val="19"/>
                <w:color w:val="auto"/>
              </w:rPr>
            </w:pPr>
          </w:p>
        </w:tc>
      </w:tr>
      <w:tr>
        <w:trPr>
          <w:trHeight w:val="346"/>
        </w:trPr>
        <w:tc>
          <w:tcPr>
            <w:tcW w:w="28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55.8 %</w:t>
            </w:r>
          </w:p>
        </w:tc>
        <w:tc>
          <w:tcPr>
            <w:tcW w:w="320" w:type="dxa"/>
            <w:vAlign w:val="bottom"/>
          </w:tcPr>
          <w:p>
            <w:pPr>
              <w:spacing w:after="0"/>
              <w:rPr>
                <w:sz w:val="24"/>
                <w:szCs w:val="2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59.9 %</w:t>
            </w:r>
          </w:p>
        </w:tc>
        <w:tc>
          <w:tcPr>
            <w:tcW w:w="30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58.4 %</w:t>
            </w:r>
          </w:p>
        </w:tc>
        <w:tc>
          <w:tcPr>
            <w:tcW w:w="3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59.9 %</w:t>
            </w:r>
          </w:p>
        </w:tc>
      </w:tr>
      <w:tr>
        <w:trPr>
          <w:trHeight w:val="143"/>
        </w:trPr>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8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7,614</w:t>
            </w:r>
          </w:p>
        </w:tc>
        <w:tc>
          <w:tcPr>
            <w:tcW w:w="28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14,405</w:t>
            </w:r>
          </w:p>
        </w:tc>
        <w:tc>
          <w:tcPr>
            <w:tcW w:w="4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25,704</w:t>
            </w:r>
          </w:p>
        </w:tc>
        <w:tc>
          <w:tcPr>
            <w:tcW w:w="3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16,284</w:t>
            </w:r>
          </w:p>
        </w:tc>
        <w:tc>
          <w:tcPr>
            <w:tcW w:w="140" w:type="dxa"/>
            <w:vAlign w:val="bottom"/>
          </w:tcPr>
          <w:p>
            <w:pPr>
              <w:spacing w:after="0"/>
              <w:rPr>
                <w:sz w:val="24"/>
                <w:szCs w:val="24"/>
                <w:color w:val="auto"/>
              </w:rPr>
            </w:pPr>
          </w:p>
        </w:tc>
      </w:tr>
      <w:tr>
        <w:trPr>
          <w:trHeight w:val="129"/>
        </w:trPr>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-753745</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-290830</wp:posOffset>
            </wp:positionV>
            <wp:extent cx="7132320"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3960" w:space="480"/>
            <w:col w:w="6800"/>
          </w:cols>
          <w:pgMar w:left="320" w:top="105" w:right="339" w:bottom="1440" w:gutter="0" w:footer="0" w:header="0"/>
          <w:type w:val="continuous"/>
        </w:sectPr>
      </w:pPr>
    </w:p>
    <w:p>
      <w:pPr>
        <w:jc w:val="both"/>
        <w:spacing w:after="0" w:line="262" w:lineRule="auto"/>
        <w:rPr>
          <w:sz w:val="20"/>
          <w:szCs w:val="20"/>
          <w:color w:val="auto"/>
        </w:rPr>
      </w:pPr>
      <w:r>
        <w:rPr>
          <w:rFonts w:ascii="Arial" w:cs="Arial" w:eastAsia="Arial" w:hAnsi="Arial"/>
          <w:sz w:val="18"/>
          <w:szCs w:val="18"/>
          <w:color w:val="auto"/>
        </w:rPr>
        <w:t>Net income atributable to Class A common stockholders–basic is calculated by subtractng the porton of Hoya Intermediate's net income atributable to redeemable noncontrolling interests from our total net income, which includes our net income for actvites outside of our investment in Hoya Intermediate as well as the full results of Hoya Intermediate on a consolidated basis.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income per Class A common stock–diluted is based on the average number of shares of our Class A common stock used for the basic earnings per share calculaton, adjusted for the weighted-average number of Class A common share equivalents outstanding for the period determined using the treasury stock method and if-converted method, as applicable. Net income atributable to Class A common stockholders–diluted is adjusted for (i) our share of Hoya Intermediate’s consolidated net income afer giving efect to Intermediate Units that convert into potental shares of our Class A common stock, to the extent it is dilutve, and (ii) the impact of changes in the fair value of Hoya Intermediate Warrants, to the extent they are dilutve.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computaton of basic and diluted net income per share of Class A common stock for the periods in which shares of our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Class A and Class B common stock were outstanding (in thousands, except share and per share data):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2"/>
              </w:rPr>
              <w:t>Three Months Ended June 30,</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6"/>
              </w:rPr>
              <w:t>Six Months Ended June 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Numerator—basic:</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38,326</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24,060</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68,598</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27,198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00" w:type="dxa"/>
            <w:vAlign w:val="bottom"/>
            <w:shd w:val="clear" w:color="auto" w:fill="CFF0FC"/>
          </w:tcPr>
          <w:p>
            <w:pPr>
              <w:ind w:left="120"/>
              <w:spacing w:after="0" w:line="205" w:lineRule="exact"/>
              <w:rPr>
                <w:sz w:val="20"/>
                <w:szCs w:val="20"/>
                <w:color w:val="auto"/>
              </w:rPr>
            </w:pPr>
            <w:r>
              <w:rPr>
                <w:rFonts w:ascii="Arial" w:cs="Arial" w:eastAsia="Arial" w:hAnsi="Arial"/>
                <w:sz w:val="18"/>
                <w:szCs w:val="18"/>
                <w:color w:val="auto"/>
              </w:rPr>
              <w:t>Less: Income atributable to redeemable</w:t>
            </w:r>
          </w:p>
        </w:tc>
        <w:tc>
          <w:tcPr>
            <w:tcW w:w="30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7,614</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14,405</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25,704</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16,284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vMerge w:val="continue"/>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400" w:type="dxa"/>
            <w:vAlign w:val="bottom"/>
            <w:tcBorders>
              <w:top w:val="single" w:sz="8" w:color="CFF0FC"/>
            </w:tcBorders>
          </w:tcPr>
          <w:p>
            <w:pPr>
              <w:ind w:left="120"/>
              <w:spacing w:after="0" w:line="190" w:lineRule="exact"/>
              <w:rPr>
                <w:sz w:val="20"/>
                <w:szCs w:val="20"/>
                <w:color w:val="auto"/>
              </w:rPr>
            </w:pPr>
            <w:r>
              <w:rPr>
                <w:rFonts w:ascii="Arial" w:cs="Arial" w:eastAsia="Arial" w:hAnsi="Arial"/>
                <w:sz w:val="18"/>
                <w:szCs w:val="18"/>
                <w:color w:val="auto"/>
              </w:rPr>
              <w:t>Net income atributable to Class A Common</w:t>
            </w: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30,712</w:t>
            </w:r>
          </w:p>
        </w:tc>
        <w:tc>
          <w:tcPr>
            <w:tcW w:w="30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9,655</w:t>
            </w:r>
          </w:p>
        </w:tc>
        <w:tc>
          <w:tcPr>
            <w:tcW w:w="44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42,894</w:t>
            </w:r>
          </w:p>
        </w:tc>
        <w:tc>
          <w:tcPr>
            <w:tcW w:w="28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10,914</w:t>
            </w: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120"/>
              <w:spacing w:after="0"/>
              <w:rPr>
                <w:sz w:val="20"/>
                <w:szCs w:val="20"/>
                <w:color w:val="auto"/>
              </w:rPr>
            </w:pPr>
            <w:r>
              <w:rPr>
                <w:rFonts w:ascii="Arial" w:cs="Arial" w:eastAsia="Arial" w:hAnsi="Arial"/>
                <w:sz w:val="18"/>
                <w:szCs w:val="18"/>
                <w:color w:val="auto"/>
              </w:rPr>
              <w:t>Stockholders—basic</w:t>
            </w: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Denominator—basic:</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120"/>
              <w:spacing w:after="0" w:line="197" w:lineRule="exact"/>
              <w:rPr>
                <w:sz w:val="20"/>
                <w:szCs w:val="20"/>
                <w:color w:val="auto"/>
              </w:rPr>
            </w:pPr>
            <w:r>
              <w:rPr>
                <w:rFonts w:ascii="Arial" w:cs="Arial" w:eastAsia="Arial" w:hAnsi="Arial"/>
                <w:sz w:val="18"/>
                <w:szCs w:val="18"/>
                <w:color w:val="auto"/>
                <w:w w:val="98"/>
              </w:rPr>
              <w:t>Weighted average Class A common stock outstanding</w:t>
            </w:r>
          </w:p>
        </w:tc>
        <w:tc>
          <w:tcPr>
            <w:tcW w:w="3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85,269,196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79,256,354</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81,319,369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79,204,430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per Class A common stock—basic</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0.36</w:t>
            </w:r>
          </w:p>
        </w:tc>
        <w:tc>
          <w:tcPr>
            <w:tcW w:w="3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0.12</w:t>
            </w:r>
          </w:p>
        </w:tc>
        <w:tc>
          <w:tcPr>
            <w:tcW w:w="4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0.53</w:t>
            </w:r>
          </w:p>
        </w:tc>
        <w:tc>
          <w:tcPr>
            <w:tcW w:w="2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0.14</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Numerator—diluted:</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120"/>
              <w:spacing w:after="0" w:line="197" w:lineRule="exact"/>
              <w:rPr>
                <w:sz w:val="20"/>
                <w:szCs w:val="20"/>
                <w:color w:val="auto"/>
              </w:rPr>
            </w:pPr>
            <w:r>
              <w:rPr>
                <w:rFonts w:ascii="Arial" w:cs="Arial" w:eastAsia="Arial" w:hAnsi="Arial"/>
                <w:sz w:val="18"/>
                <w:szCs w:val="18"/>
                <w:color w:val="auto"/>
              </w:rPr>
              <w:t>Net income atributable to Class A Common</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120"/>
              <w:spacing w:after="0"/>
              <w:rPr>
                <w:sz w:val="20"/>
                <w:szCs w:val="20"/>
                <w:color w:val="auto"/>
              </w:rPr>
            </w:pPr>
            <w:r>
              <w:rPr>
                <w:rFonts w:ascii="Arial" w:cs="Arial" w:eastAsia="Arial" w:hAnsi="Arial"/>
                <w:sz w:val="18"/>
                <w:szCs w:val="18"/>
                <w:color w:val="auto"/>
              </w:rPr>
              <w:t>Stockholders—basic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30,712</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9,655</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42,894</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4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efect of dilutve securites: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120"/>
              <w:spacing w:after="0"/>
              <w:rPr>
                <w:sz w:val="20"/>
                <w:szCs w:val="20"/>
                <w:color w:val="auto"/>
              </w:rPr>
            </w:pPr>
            <w:r>
              <w:rPr>
                <w:rFonts w:ascii="Arial" w:cs="Arial" w:eastAsia="Arial" w:hAnsi="Arial"/>
                <w:sz w:val="18"/>
                <w:szCs w:val="18"/>
                <w:color w:val="auto"/>
              </w:rPr>
              <w:t>Efect of Exercise Warrants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Efect of RSUs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120"/>
              <w:spacing w:after="0"/>
              <w:rPr>
                <w:sz w:val="20"/>
                <w:szCs w:val="20"/>
                <w:color w:val="auto"/>
              </w:rPr>
            </w:pPr>
            <w:r>
              <w:rPr>
                <w:rFonts w:ascii="Arial" w:cs="Arial" w:eastAsia="Arial" w:hAnsi="Arial"/>
                <w:sz w:val="18"/>
                <w:szCs w:val="18"/>
                <w:color w:val="auto"/>
              </w:rPr>
              <w:t>Efect of noncontrolling interests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400" w:type="dxa"/>
            <w:vAlign w:val="bottom"/>
            <w:shd w:val="clear" w:color="auto" w:fill="CFF0FC"/>
          </w:tcPr>
          <w:p>
            <w:pPr>
              <w:ind w:left="120"/>
              <w:spacing w:after="0" w:line="197" w:lineRule="exact"/>
              <w:rPr>
                <w:sz w:val="20"/>
                <w:szCs w:val="20"/>
                <w:color w:val="auto"/>
              </w:rPr>
            </w:pPr>
            <w:r>
              <w:rPr>
                <w:rFonts w:ascii="Arial" w:cs="Arial" w:eastAsia="Arial" w:hAnsi="Arial"/>
                <w:sz w:val="18"/>
                <w:szCs w:val="18"/>
                <w:color w:val="auto"/>
              </w:rPr>
              <w:t>Net income atributable to Class A Common</w:t>
            </w:r>
          </w:p>
        </w:tc>
        <w:tc>
          <w:tcPr>
            <w:tcW w:w="30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39,495</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9,655</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68,546</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10,958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Stockholders—diluted</w:t>
            </w: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vMerge w:val="continue"/>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Denominator—diluted:</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120"/>
              <w:spacing w:after="0" w:line="203" w:lineRule="exact"/>
              <w:rPr>
                <w:sz w:val="20"/>
                <w:szCs w:val="20"/>
                <w:color w:val="auto"/>
              </w:rPr>
            </w:pPr>
            <w:r>
              <w:rPr>
                <w:rFonts w:ascii="Arial" w:cs="Arial" w:eastAsia="Arial" w:hAnsi="Arial"/>
                <w:sz w:val="18"/>
                <w:szCs w:val="18"/>
                <w:color w:val="auto"/>
                <w:w w:val="98"/>
              </w:rPr>
              <w:t>Weighted average Class A common stock outstanding</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85,269,196</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79,256,354</w:t>
            </w:r>
          </w:p>
        </w:tc>
        <w:tc>
          <w:tcPr>
            <w:tcW w:w="4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81,319,369</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79,204,430</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120"/>
              <w:spacing w:after="0"/>
              <w:rPr>
                <w:sz w:val="20"/>
                <w:szCs w:val="20"/>
                <w:color w:val="auto"/>
              </w:rPr>
            </w:pPr>
            <w:r>
              <w:rPr>
                <w:rFonts w:ascii="Arial" w:cs="Arial" w:eastAsia="Arial" w:hAnsi="Arial"/>
                <w:sz w:val="18"/>
                <w:szCs w:val="18"/>
                <w:color w:val="auto"/>
              </w:rPr>
              <w:t>Weighted average efect of dilutve securites: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Efect of Noncontrolling Interests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110,662,222</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114,451,934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120"/>
              <w:spacing w:after="0"/>
              <w:rPr>
                <w:sz w:val="20"/>
                <w:szCs w:val="20"/>
                <w:color w:val="auto"/>
              </w:rPr>
            </w:pPr>
            <w:r>
              <w:rPr>
                <w:rFonts w:ascii="Arial" w:cs="Arial" w:eastAsia="Arial" w:hAnsi="Arial"/>
                <w:sz w:val="18"/>
                <w:szCs w:val="18"/>
                <w:color w:val="auto"/>
              </w:rPr>
              <w:t>Efect of Exercise Warrants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517,812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Efect of RSUs</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446,052</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4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356,956</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15,340</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120"/>
              <w:spacing w:after="0" w:line="197" w:lineRule="exact"/>
              <w:rPr>
                <w:sz w:val="20"/>
                <w:szCs w:val="20"/>
                <w:color w:val="auto"/>
              </w:rPr>
            </w:pPr>
            <w:r>
              <w:rPr>
                <w:rFonts w:ascii="Arial" w:cs="Arial" w:eastAsia="Arial" w:hAnsi="Arial"/>
                <w:sz w:val="18"/>
                <w:szCs w:val="18"/>
                <w:color w:val="auto"/>
                <w:w w:val="98"/>
              </w:rPr>
              <w:t>Weighted average Class A common stock outstanding</w:t>
            </w:r>
          </w:p>
        </w:tc>
        <w:tc>
          <w:tcPr>
            <w:tcW w:w="3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196,377,470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79,259,017</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196,128,259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79,737,582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Net income per Class A common stock—diluted</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0.20</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0.12</w:t>
            </w:r>
          </w:p>
        </w:tc>
        <w:tc>
          <w:tcPr>
            <w:tcW w:w="4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0.35</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0.14</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-4337050</wp:posOffset>
            </wp:positionV>
            <wp:extent cx="85725" cy="3003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-4337050</wp:posOffset>
            </wp:positionV>
            <wp:extent cx="85725" cy="300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-4337050</wp:posOffset>
            </wp:positionV>
            <wp:extent cx="85725" cy="3003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-4337050</wp:posOffset>
            </wp:positionV>
            <wp:extent cx="85725" cy="300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-3437255</wp:posOffset>
            </wp:positionV>
            <wp:extent cx="3437890"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37890" cy="18034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-1902460</wp:posOffset>
            </wp:positionV>
            <wp:extent cx="8572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-1902460</wp:posOffset>
            </wp:positionV>
            <wp:extent cx="8572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-1902460</wp:posOffset>
            </wp:positionV>
            <wp:extent cx="85725"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-1902460</wp:posOffset>
            </wp:positionV>
            <wp:extent cx="8572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-831215</wp:posOffset>
            </wp:positionV>
            <wp:extent cx="85725" cy="300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-831215</wp:posOffset>
            </wp:positionV>
            <wp:extent cx="85725" cy="3003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-831215</wp:posOffset>
            </wp:positionV>
            <wp:extent cx="85725" cy="3003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-831215</wp:posOffset>
            </wp:positionV>
            <wp:extent cx="85725" cy="3003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-376555</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-359410</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-376555</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-359410</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-376555</wp:posOffset>
            </wp:positionV>
            <wp:extent cx="85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-359410</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-376555</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-359410</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Potental shares of Class A common stock are excluded from the computaton of diluted net income per share of Class A common stock if their efect would have been ant-dilutve for the period presented or if the issuance of shares is contngent upon events that did not occur by the end of the period. The diluton refected in diluted net income per share of Class A common stock during the three and six months ended June 30, 2023 relates primarily to an assumed conversion of our noncontrolling interests to Class A common stock, which would not have a commensurate efect on net income, primarily due to the release of the valuaton allowance which beneft is atributable to VSI only.</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 presents potentally dilutve securites excluded from the computaton of diluted net income per share of Class A common stock for the periods presented that could potentally dilute earnings per share in the future: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20" w:type="dxa"/>
            <w:vAlign w:val="bottom"/>
          </w:tcPr>
          <w:p>
            <w:pPr>
              <w:spacing w:after="0"/>
              <w:rPr>
                <w:sz w:val="20"/>
                <w:szCs w:val="20"/>
                <w:color w:val="auto"/>
              </w:rPr>
            </w:pPr>
          </w:p>
        </w:tc>
        <w:tc>
          <w:tcPr>
            <w:tcW w:w="32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2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20"/>
                <w:szCs w:val="20"/>
                <w:color w:val="auto"/>
              </w:rPr>
            </w:pPr>
          </w:p>
        </w:tc>
      </w:tr>
      <w:tr>
        <w:trPr>
          <w:trHeight w:val="33"/>
        </w:trPr>
        <w:tc>
          <w:tcPr>
            <w:tcW w:w="43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24"/>
        </w:trPr>
        <w:tc>
          <w:tcPr>
            <w:tcW w:w="4320" w:type="dxa"/>
            <w:vAlign w:val="bottom"/>
          </w:tcPr>
          <w:p>
            <w:pPr>
              <w:spacing w:after="0"/>
              <w:rPr>
                <w:sz w:val="19"/>
                <w:szCs w:val="19"/>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7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7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6"/>
        </w:trPr>
        <w:tc>
          <w:tcPr>
            <w:tcW w:w="43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1,726,048</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2,838,717</w:t>
            </w:r>
          </w:p>
        </w:tc>
        <w:tc>
          <w:tcPr>
            <w:tcW w:w="3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1,065,396</w:t>
            </w: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1,418,091</w:t>
            </w:r>
          </w:p>
        </w:tc>
        <w:tc>
          <w:tcPr>
            <w:tcW w:w="140" w:type="dxa"/>
            <w:vAlign w:val="bottom"/>
            <w:shd w:val="clear" w:color="auto" w:fill="CFF0FC"/>
          </w:tcPr>
          <w:p>
            <w:pPr>
              <w:spacing w:after="0"/>
              <w:rPr>
                <w:sz w:val="20"/>
                <w:szCs w:val="20"/>
                <w:color w:val="auto"/>
              </w:rPr>
            </w:pPr>
          </w:p>
        </w:tc>
      </w:tr>
      <w:tr>
        <w:trPr>
          <w:trHeight w:val="235"/>
        </w:trPr>
        <w:tc>
          <w:tcPr>
            <w:tcW w:w="4320" w:type="dxa"/>
            <w:vAlign w:val="bottom"/>
          </w:tcPr>
          <w:p>
            <w:pPr>
              <w:ind w:left="20"/>
              <w:spacing w:after="0"/>
              <w:rPr>
                <w:sz w:val="20"/>
                <w:szCs w:val="20"/>
                <w:color w:val="auto"/>
              </w:rPr>
            </w:pPr>
            <w:r>
              <w:rPr>
                <w:rFonts w:ascii="Arial" w:cs="Arial" w:eastAsia="Arial" w:hAnsi="Arial"/>
                <w:sz w:val="18"/>
                <w:szCs w:val="18"/>
                <w:color w:val="auto"/>
              </w:rPr>
              <w:t>Stock optons</w:t>
            </w:r>
          </w:p>
        </w:tc>
        <w:tc>
          <w:tcPr>
            <w:tcW w:w="1440" w:type="dxa"/>
            <w:vAlign w:val="bottom"/>
          </w:tcPr>
          <w:p>
            <w:pPr>
              <w:jc w:val="right"/>
              <w:spacing w:after="0"/>
              <w:rPr>
                <w:sz w:val="20"/>
                <w:szCs w:val="20"/>
                <w:color w:val="auto"/>
              </w:rPr>
            </w:pPr>
            <w:r>
              <w:rPr>
                <w:rFonts w:ascii="Arial" w:cs="Arial" w:eastAsia="Arial" w:hAnsi="Arial"/>
                <w:sz w:val="18"/>
                <w:szCs w:val="18"/>
                <w:color w:val="auto"/>
              </w:rPr>
              <w:t>10,597,528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6,660,995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10,597,528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6,660,995</w:t>
            </w:r>
          </w:p>
        </w:tc>
        <w:tc>
          <w:tcPr>
            <w:tcW w:w="140" w:type="dxa"/>
            <w:vAlign w:val="bottom"/>
          </w:tcPr>
          <w:p>
            <w:pPr>
              <w:spacing w:after="0"/>
              <w:rPr>
                <w:sz w:val="20"/>
                <w:szCs w:val="20"/>
                <w:color w:val="auto"/>
              </w:rPr>
            </w:pPr>
          </w:p>
        </w:tc>
      </w:tr>
      <w:tr>
        <w:trPr>
          <w:trHeight w:val="251"/>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Public Warrants and Private Warrants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13,286,644</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13,286,644</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13,286,644</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13,286,644</w:t>
            </w:r>
          </w:p>
        </w:tc>
        <w:tc>
          <w:tcPr>
            <w:tcW w:w="140" w:type="dxa"/>
            <w:vAlign w:val="bottom"/>
            <w:shd w:val="clear" w:color="auto" w:fill="CFF0FC"/>
          </w:tcPr>
          <w:p>
            <w:pPr>
              <w:spacing w:after="0"/>
              <w:rPr>
                <w:sz w:val="21"/>
                <w:szCs w:val="21"/>
                <w:color w:val="auto"/>
              </w:rPr>
            </w:pPr>
          </w:p>
        </w:tc>
      </w:tr>
      <w:tr>
        <w:trPr>
          <w:trHeight w:val="235"/>
        </w:trPr>
        <w:tc>
          <w:tcPr>
            <w:tcW w:w="4320" w:type="dxa"/>
            <w:vAlign w:val="bottom"/>
          </w:tcPr>
          <w:p>
            <w:pPr>
              <w:ind w:left="20"/>
              <w:spacing w:after="0"/>
              <w:rPr>
                <w:sz w:val="20"/>
                <w:szCs w:val="20"/>
                <w:color w:val="auto"/>
              </w:rPr>
            </w:pPr>
            <w:r>
              <w:rPr>
                <w:rFonts w:ascii="Arial" w:cs="Arial" w:eastAsia="Arial" w:hAnsi="Arial"/>
                <w:sz w:val="18"/>
                <w:szCs w:val="18"/>
                <w:color w:val="auto"/>
              </w:rPr>
              <w:t>Exercise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34,000,000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34,000,000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34,000,000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17,000,000</w:t>
            </w:r>
          </w:p>
        </w:tc>
        <w:tc>
          <w:tcPr>
            <w:tcW w:w="140" w:type="dxa"/>
            <w:vAlign w:val="bottom"/>
          </w:tcPr>
          <w:p>
            <w:pPr>
              <w:spacing w:after="0"/>
              <w:rPr>
                <w:sz w:val="20"/>
                <w:szCs w:val="20"/>
                <w:color w:val="auto"/>
              </w:rPr>
            </w:pPr>
          </w:p>
        </w:tc>
      </w:tr>
      <w:tr>
        <w:trPr>
          <w:trHeight w:val="251"/>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Hoya Intermediate Warrants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6,000,000</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6,000,000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6,000,000</w:t>
            </w:r>
          </w:p>
        </w:tc>
        <w:tc>
          <w:tcPr>
            <w:tcW w:w="140" w:type="dxa"/>
            <w:vAlign w:val="bottom"/>
            <w:shd w:val="clear" w:color="auto" w:fill="CFF0FC"/>
          </w:tcPr>
          <w:p>
            <w:pPr>
              <w:spacing w:after="0"/>
              <w:rPr>
                <w:sz w:val="21"/>
                <w:szCs w:val="21"/>
                <w:color w:val="auto"/>
              </w:rPr>
            </w:pPr>
          </w:p>
        </w:tc>
      </w:tr>
      <w:tr>
        <w:trPr>
          <w:trHeight w:val="227"/>
        </w:trPr>
        <w:tc>
          <w:tcPr>
            <w:tcW w:w="43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118,200,000</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118,200,000</w:t>
            </w:r>
          </w:p>
        </w:tc>
        <w:tc>
          <w:tcPr>
            <w:tcW w:w="140" w:type="dxa"/>
            <w:vAlign w:val="bottom"/>
          </w:tcPr>
          <w:p>
            <w:pPr>
              <w:spacing w:after="0"/>
              <w:rPr>
                <w:sz w:val="19"/>
                <w:szCs w:val="19"/>
                <w:color w:val="auto"/>
              </w:rPr>
            </w:pPr>
          </w:p>
        </w:tc>
      </w:tr>
    </w:tbl>
    <w:p>
      <w:pPr>
        <w:spacing w:after="0" w:line="346"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ubsequent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July 2023, we made a $6.0 million investment in a privately held company pursuant to a convertble promissory note (the “Note”). Interest on the Note accrues at 8% per annum and outstanding principal and accrued interest is due and payable on July 3, 2030. We also received a warrant to purchase up to 1,874,933 shares of the privately held company's stock, which is exercisable untl the date three years afer the Note is repaid, subject to certain acceleratng events.</w:t>
      </w:r>
    </w:p>
    <w:p>
      <w:pPr>
        <w:spacing w:after="0" w:line="10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August 4, 2023, we entered into a defnitve agreement to acquire 100% ownership of WD Holdings Co., Ltd., an online tcket marketplace headquartered in Tokyo, Japan. The agreed upon purchase price was JPY 10,935.6 million, or approximately $77.2 million based on the exchange rate in efect on that date. We plan to fnance the transacton at closing with cash on hand, as well as cash balances acquired in the transacton. The transacton is expected to close in the third quarter of 2023, subject to regulatory requirements and other customary closing conditons.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discussion and analysis is intended to help readers understand our results of operatons and fnancial conditon and is provided as an additon to, and should be read together with, our condensed consolidated fnancial statements and accompanying notes included elsewhere in this Report, as well as our consolidated fnancial statements and accompanying notes contained in our 2022 Form 10-K. This discussion contains forward-looking statements, which are subject to a number of risks and uncertaintes. Important factors that could cause actual results or outcomes to difer materially from those antcipated in the forward-looking statements include, but are not limited to, those set forth in the “Risk Factors” sectons of this Report, our 2022 Form 10-K and our other flings with the SEC.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an online tcket marketplace that utlizes our technology platorm to connect fans of live events seamlessly with tcket sellers. Our mission is to empower and enable fans to Experience It Live. We believe in the power of shared experiences to connect people with live events delivering some of life’s most excitng moments. We operate a technology platorm and marketplace that enables tcket buyers to easily discover and purchase tckets from tcket sellers while enabling tcket sellers to seamlessly manage their operatons. We diferentate from compettors by ofering an extensive breadth and depth of tcket listngs at a compettve value. During the three and six months ended June 30, 2023, our revenues were $165.4 million and $326.4 million, respectvely, and our Marketplace Gross Order Value ("Marketplace GOV") was $953.7 million and $1,809.3 million, respectvely. During the three and six months ended June 30, 2022, our revenues were $147.7 million and $278.5 million, respectvely, and our Marketplace GOV was $814.8 million and $1,557.0 million, respectvely. Our net income was $38.3 million and $68.6 million for the three and six months ended June 30, 2023, respectvely, and $24.1 million and $27.2 million for the three and six months ended June 30, 2022, respectvely.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5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our Marketplace segment, we act as an intermediary between tcket buyers and sellers. We earn revenue processing tcket sales from our Owned Propertes, consistng of the Vivid Seats website and mobile applicatons, and from our Private Label Ofering, which is comprised of numerous distributon partners. Our Marketplace segment also includes our daily fantasy sports ofering, where users partake in contests by making picks from a variety of sport and player matchups. Using our online platorm, we facilitate customer payments, deposits and withdrawals, coordinate tcket deliveries, and provide customer service to our tcket buyers and sellers and daily fantasy sports users. We do not hold tcket inventory in our Marketplace segment.</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primarily earn revenue from service and delivery fees charged to tcket buyers. We also earn referral fee revenue by ofering event tcket insurance to tcket buyers, using a third-party insurance provider. The revenue we earn from our daily fantasy sports ofering is the diference between cash entry fees collected and cash amounts paid out to users for winning picks, less customer promotons and incentves in a period.</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incur costs for developing and maintaining our platorm, providing back-ofce and customer support to tcket buyers, sellers and daily fantasy sports users, facilitatng payments and deposits, and shipping non-electronic tckets. We also incur substantal marketng costs, primarily related to online advertsing.</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key component of our platorm is Skybox, a proprietary enterprise resource planning ("ERP") tool used by the majority of our tcket sellers. Skybox is a free-to-use system that helps tcket sellers manage tcket inventories, adjust pricing, and fulfll orders across multple tcket resale marketplaces. Professional tcket sellers use an ERP to manage their operatons, and Skybox is their most widely adopted ERP.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28" w:name="page29"/>
    <w:bookmarkEnd w:id="28"/>
    <w:p>
      <w:pPr>
        <w:jc w:val="both"/>
        <w:spacing w:after="0" w:line="273" w:lineRule="auto"/>
        <w:rPr>
          <w:sz w:val="20"/>
          <w:szCs w:val="20"/>
          <w:color w:val="auto"/>
        </w:rPr>
      </w:pPr>
      <w:r>
        <w:rPr>
          <w:rFonts w:ascii="Arial" w:cs="Arial" w:eastAsia="Arial" w:hAnsi="Arial"/>
          <w:sz w:val="18"/>
          <w:szCs w:val="18"/>
          <w:color w:val="auto"/>
        </w:rPr>
        <w:t>In our Resale segment, we acquire tckets to resell on secondary tcketng marketplaces, including our own. Our Resale segment also provides internal research and development support for Skybox and our ongoing eforts to deliver industry-leading seller sofware and tools.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and Non-GAAP Financial Measure</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the following metrics to evaluate our performance, identfy trends, formulate fnancial projectons, and make strategic decisions. We believe these metrics provide useful informaton to investors and others in understanding and evaluatng our results of operatons in the same manner as our management team.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business metrics and non-GAAP fnancial measure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94"/>
              </w:rPr>
              <w:t>Three Months Ended June 30,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Marketplace GOV</w:t>
            </w:r>
            <w:r>
              <w:rPr>
                <w:rFonts w:ascii="Arial" w:cs="Arial" w:eastAsia="Arial" w:hAnsi="Arial"/>
                <w:sz w:val="24"/>
                <w:szCs w:val="24"/>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0"/>
        </w:trPr>
        <w:tc>
          <w:tcPr>
            <w:tcW w:w="4280" w:type="dxa"/>
            <w:vAlign w:val="bottom"/>
            <w:vMerge w:val="continue"/>
          </w:tcPr>
          <w:p>
            <w:pPr>
              <w:spacing w:after="0"/>
              <w:rPr>
                <w:sz w:val="16"/>
                <w:szCs w:val="16"/>
                <w:color w:val="auto"/>
              </w:rPr>
            </w:pPr>
          </w:p>
        </w:tc>
        <w:tc>
          <w:tcPr>
            <w:tcW w:w="320" w:type="dxa"/>
            <w:vAlign w:val="bottom"/>
          </w:tcPr>
          <w:p>
            <w:pPr>
              <w:jc w:val="right"/>
              <w:ind w:right="110"/>
              <w:spacing w:after="0" w:line="190"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line="190" w:lineRule="exact"/>
              <w:rPr>
                <w:sz w:val="20"/>
                <w:szCs w:val="20"/>
                <w:color w:val="auto"/>
              </w:rPr>
            </w:pPr>
            <w:r>
              <w:rPr>
                <w:rFonts w:ascii="Arial" w:cs="Arial" w:eastAsia="Arial" w:hAnsi="Arial"/>
                <w:sz w:val="18"/>
                <w:szCs w:val="18"/>
                <w:color w:val="auto"/>
              </w:rPr>
              <w:t>953,739</w:t>
            </w:r>
          </w:p>
        </w:tc>
        <w:tc>
          <w:tcPr>
            <w:tcW w:w="200" w:type="dxa"/>
            <w:vAlign w:val="bottom"/>
          </w:tcPr>
          <w:p>
            <w:pPr>
              <w:spacing w:after="0"/>
              <w:rPr>
                <w:sz w:val="16"/>
                <w:szCs w:val="16"/>
                <w:color w:val="auto"/>
              </w:rPr>
            </w:pPr>
          </w:p>
        </w:tc>
        <w:tc>
          <w:tcPr>
            <w:tcW w:w="320" w:type="dxa"/>
            <w:vAlign w:val="bottom"/>
          </w:tcPr>
          <w:p>
            <w:pPr>
              <w:jc w:val="right"/>
              <w:ind w:right="130"/>
              <w:spacing w:after="0" w:line="190"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line="190" w:lineRule="exact"/>
              <w:rPr>
                <w:sz w:val="20"/>
                <w:szCs w:val="20"/>
                <w:color w:val="auto"/>
              </w:rPr>
            </w:pPr>
            <w:r>
              <w:rPr>
                <w:rFonts w:ascii="Arial" w:cs="Arial" w:eastAsia="Arial" w:hAnsi="Arial"/>
                <w:sz w:val="18"/>
                <w:szCs w:val="18"/>
                <w:color w:val="auto"/>
              </w:rPr>
              <w:t>814,817</w:t>
            </w:r>
          </w:p>
        </w:tc>
        <w:tc>
          <w:tcPr>
            <w:tcW w:w="200" w:type="dxa"/>
            <w:vAlign w:val="bottom"/>
          </w:tcPr>
          <w:p>
            <w:pPr>
              <w:spacing w:after="0"/>
              <w:rPr>
                <w:sz w:val="16"/>
                <w:szCs w:val="16"/>
                <w:color w:val="auto"/>
              </w:rPr>
            </w:pPr>
          </w:p>
        </w:tc>
        <w:tc>
          <w:tcPr>
            <w:tcW w:w="320" w:type="dxa"/>
            <w:vAlign w:val="bottom"/>
          </w:tcPr>
          <w:p>
            <w:pPr>
              <w:jc w:val="right"/>
              <w:ind w:right="130"/>
              <w:spacing w:after="0" w:line="190"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line="190" w:lineRule="exact"/>
              <w:rPr>
                <w:sz w:val="20"/>
                <w:szCs w:val="20"/>
                <w:color w:val="auto"/>
              </w:rPr>
            </w:pPr>
            <w:r>
              <w:rPr>
                <w:rFonts w:ascii="Arial" w:cs="Arial" w:eastAsia="Arial" w:hAnsi="Arial"/>
                <w:sz w:val="18"/>
                <w:szCs w:val="18"/>
                <w:color w:val="auto"/>
              </w:rPr>
              <w:t>1,809,267</w:t>
            </w:r>
          </w:p>
        </w:tc>
        <w:tc>
          <w:tcPr>
            <w:tcW w:w="200" w:type="dxa"/>
            <w:vAlign w:val="bottom"/>
          </w:tcPr>
          <w:p>
            <w:pPr>
              <w:spacing w:after="0"/>
              <w:rPr>
                <w:sz w:val="16"/>
                <w:szCs w:val="16"/>
                <w:color w:val="auto"/>
              </w:rPr>
            </w:pPr>
          </w:p>
        </w:tc>
        <w:tc>
          <w:tcPr>
            <w:tcW w:w="340" w:type="dxa"/>
            <w:vAlign w:val="bottom"/>
          </w:tcPr>
          <w:p>
            <w:pPr>
              <w:jc w:val="right"/>
              <w:ind w:right="130"/>
              <w:spacing w:after="0" w:line="190"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line="190" w:lineRule="exact"/>
              <w:rPr>
                <w:sz w:val="20"/>
                <w:szCs w:val="20"/>
                <w:color w:val="auto"/>
              </w:rPr>
            </w:pPr>
            <w:r>
              <w:rPr>
                <w:rFonts w:ascii="Arial" w:cs="Arial" w:eastAsia="Arial" w:hAnsi="Arial"/>
                <w:sz w:val="18"/>
                <w:szCs w:val="18"/>
                <w:color w:val="auto"/>
              </w:rPr>
              <w:t>1,556,955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line="243" w:lineRule="exact"/>
              <w:rPr>
                <w:sz w:val="20"/>
                <w:szCs w:val="20"/>
                <w:color w:val="auto"/>
              </w:rPr>
            </w:pPr>
            <w:r>
              <w:rPr>
                <w:rFonts w:ascii="Arial" w:cs="Arial" w:eastAsia="Arial" w:hAnsi="Arial"/>
                <w:sz w:val="18"/>
                <w:szCs w:val="18"/>
                <w:color w:val="auto"/>
              </w:rPr>
              <w:t>Total Marketplace orders</w:t>
            </w:r>
            <w:r>
              <w:rPr>
                <w:rFonts w:ascii="Arial" w:cs="Arial" w:eastAsia="Arial" w:hAnsi="Arial"/>
                <w:sz w:val="24"/>
                <w:szCs w:val="24"/>
                <w:color w:val="auto"/>
                <w:vertAlign w:val="superscript"/>
              </w:rPr>
              <w:t>(2)</w:t>
            </w:r>
          </w:p>
        </w:tc>
        <w:tc>
          <w:tcPr>
            <w:tcW w:w="3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2,627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2,410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4,902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line="243" w:lineRule="exact"/>
              <w:rPr>
                <w:sz w:val="20"/>
                <w:szCs w:val="20"/>
                <w:color w:val="auto"/>
              </w:rPr>
            </w:pPr>
            <w:r>
              <w:rPr>
                <w:rFonts w:ascii="Arial" w:cs="Arial" w:eastAsia="Arial" w:hAnsi="Arial"/>
                <w:sz w:val="18"/>
                <w:szCs w:val="18"/>
                <w:color w:val="auto"/>
              </w:rPr>
              <w:t>Total Resale orders</w:t>
            </w:r>
            <w:r>
              <w:rPr>
                <w:rFonts w:ascii="Arial" w:cs="Arial" w:eastAsia="Arial" w:hAnsi="Arial"/>
                <w:sz w:val="24"/>
                <w:szCs w:val="24"/>
                <w:color w:val="auto"/>
                <w:vertAlign w:val="superscript"/>
              </w:rPr>
              <w:t>(3)</w:t>
            </w:r>
          </w:p>
        </w:tc>
        <w:tc>
          <w:tcPr>
            <w:tcW w:w="3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86"/>
        </w:trPr>
        <w:tc>
          <w:tcPr>
            <w:tcW w:w="42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31,077</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30,329</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73,512</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51,341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2" w:lineRule="exact"/>
        <w:rPr>
          <w:sz w:val="20"/>
          <w:szCs w:val="20"/>
          <w:color w:val="auto"/>
        </w:rPr>
      </w:pPr>
    </w:p>
    <w:p>
      <w:pPr>
        <w:jc w:val="both"/>
        <w:ind w:left="1020" w:hanging="503"/>
        <w:spacing w:after="0" w:line="27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Marketplace GOV represents the total transactonal amount of Marketplace segment orders placed on our platorm in a period, inclusive of fees, exclusive of taxes, and net of event cancellatons that occurred during that period. Marketplace GOV was negatvely impacted by event cancellatons in the amount of $11.7 million and $23.8 million during the three and six months ended June 30 2023, respectvely, and $14.7 million and $49.5 million during the three and six months ended June 30, 2022, respectvely.</w:t>
      </w:r>
    </w:p>
    <w:p>
      <w:pPr>
        <w:spacing w:after="0" w:line="106" w:lineRule="exact"/>
        <w:rPr>
          <w:rFonts w:ascii="Arial" w:cs="Arial" w:eastAsia="Arial" w:hAnsi="Arial"/>
          <w:sz w:val="17"/>
          <w:szCs w:val="17"/>
          <w:color w:val="auto"/>
        </w:rPr>
      </w:pPr>
    </w:p>
    <w:p>
      <w:pPr>
        <w:jc w:val="both"/>
        <w:ind w:left="1020" w:hanging="503"/>
        <w:spacing w:after="0" w:line="25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Marketplace orders represent the volume of Marketplace segment orders placed on our platorm in a period, net of event cancellatons that occurred during that period. During the three and six months ended June 30, 2023, our Marketplace segment experienced 29,351 and 49,831 event cancellatons, respectvely, compared to 35,916 and 127,316 event cancellatons during the three and six months ended June 30, 2022, respectvely.</w:t>
      </w:r>
    </w:p>
    <w:p>
      <w:pPr>
        <w:spacing w:after="0" w:line="122" w:lineRule="exact"/>
        <w:rPr>
          <w:rFonts w:ascii="Arial" w:cs="Arial" w:eastAsia="Arial" w:hAnsi="Arial"/>
          <w:sz w:val="18"/>
          <w:szCs w:val="18"/>
          <w:color w:val="auto"/>
        </w:rPr>
      </w:pPr>
    </w:p>
    <w:p>
      <w:pPr>
        <w:jc w:val="both"/>
        <w:ind w:left="1020" w:hanging="503"/>
        <w:spacing w:after="0" w:line="284"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Total Resale orders represent the volume of Resale segment orders in a period, net of event cancellatons that occurred during that period. During the three and six months ended June 30, 2023, our Resale segment experienced 827 and 1,512 event cancellatons, respectvely, compared to 711 and 3,270 event cancellatons during the three and six months ended June 30, 2022, respectvely.</w:t>
      </w:r>
    </w:p>
    <w:p>
      <w:pPr>
        <w:spacing w:after="0" w:line="89" w:lineRule="exact"/>
        <w:rPr>
          <w:rFonts w:ascii="Arial" w:cs="Arial" w:eastAsia="Arial" w:hAnsi="Arial"/>
          <w:sz w:val="17"/>
          <w:szCs w:val="17"/>
          <w:color w:val="auto"/>
        </w:rPr>
      </w:pPr>
    </w:p>
    <w:p>
      <w:pPr>
        <w:jc w:val="both"/>
        <w:ind w:left="1020" w:hanging="503"/>
        <w:spacing w:after="0" w:line="25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is a non-GAAP fnancial measure. We believe Adjusted EBITDA provides useful informaton to investors and others in understanding and evaluatng our results of operatons, as well as provides a useful measure for making period-to-period comparisons of our business performance. Refer to the “Adjusted EBITDA” secton below for more informaton and a reconciliaton of Adjusted EBITDA to its most directly comparable GAAP measure.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GOV</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Marketplace GOV is a key driver of our Marketplace segment revenue. Marketplace GOV represents the total transactonal amount of Marketplace orders in a period, inclusive of fees, exclusive of taxes, and net of event cancellatons that occurred during that period. Marketplace GOV refects our ability to atract and retain customers, as well as the overall health of the industry.</w:t>
      </w:r>
    </w:p>
    <w:p>
      <w:pPr>
        <w:spacing w:after="0" w:line="10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Marketplace GOV is impacted by seasonality, and typically sees increased actvity in the fourth quarter when all major sports leagues are in season and we experience increases in order volume for theater events during the holiday season and concert on-sales for the subsequent year. Quarterly fuctuatons in our Marketplace GOV result from the number of cancellatons, the popularity and demand of performers, tours, teams, and events, and the length and team compositon of sports playof series and championship games. Due to the Taylor Swif record-setng “Eras” tour, we expect relatvely higher Marketplace GOV in the frst half of 2023 compared to our normal seasonal paterns.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Total Marketplace Orders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Marketplace orders represent the volume of Marketplace segment orders placed on our platorm in a period, net of event cancellatons that occurred during that period. An order can include one or more tckets and/or parking passes. Total Marketplace orders allow us to monitor order volume and beter identfy trends within our Marketplace segment.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Resale Orders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Resale orders represent the volume of Resale segment orders in a period, net of event cancellatons that occurred during that period. An order can include one or more tckets and/or parking passes. Total Resale orders allow us to monitor order volume and beter identfy trends within our Resale segment.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present Adjusted EBITDA, which is a non-GAAP fnancial measure, because it is a measure frequently used by analysts, investors, and other interested partes to evaluate companies in our industry. Further, we believe this measure is helpful in highlightng trends in our operatng results because it excludes the impact of items that are outside the control of management or not refectve of ongoing performance related directly to the operaton of our business.</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Adjusted EBITDA is a key measure used by our management internally to make operatng decisions, including those related to analyzing operatng expenses, evaluatng performance, and performing strategic planning and annual budgetng. Moreover, we believe Adjusted EBITDA provides useful informaton to investors and others in understanding and evaluatng our results of operatons, as well as provides a useful measure for making period-to-period comparisons of our business performance and highlightng trends in our operatng results.</w:t>
      </w:r>
    </w:p>
    <w:p>
      <w:pPr>
        <w:spacing w:after="0" w:line="10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Adjusted EBITDA is not based on any comprehensive set of accountng rules or principles and should not be considered a substtute for, or superior to, fnancial measures calculated in accordance with GAAP. Adjusted EBITDA does not refect all amounts associated with our operatng results as determined in accordance with GAAP and may exclude recurring costs, such as interest expense, equity-based compensaton, litgaton, setlements and related costs and change in value of warrants. In additon, other companies may calculate Adjusted EBITDA diferently than us, thereby limitng its usefulness as a comparatve tool. We compensate for these limitatons by providing specifc informaton regarding the GAAP amounts excluded from Adjusted EBITDA.</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reconciliaton of Adjusted EBITDA to its most directly comparable GAAP measure, net income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9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38,326</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24,060</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68,598</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20" w:type="dxa"/>
            <w:vAlign w:val="bottom"/>
          </w:tcPr>
          <w:p>
            <w:pPr>
              <w:ind w:left="20"/>
              <w:spacing w:after="0"/>
              <w:rPr>
                <w:sz w:val="20"/>
                <w:szCs w:val="20"/>
                <w:color w:val="auto"/>
              </w:rPr>
            </w:pPr>
            <w:r>
              <w:rPr>
                <w:rFonts w:ascii="Arial" w:cs="Arial" w:eastAsia="Arial" w:hAnsi="Arial"/>
                <w:sz w:val="18"/>
                <w:szCs w:val="18"/>
                <w:color w:val="auto"/>
              </w:rPr>
              <w:t>Income tax expense (beneft)</w:t>
            </w:r>
          </w:p>
        </w:tc>
        <w:tc>
          <w:tcPr>
            <w:tcW w:w="26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(24,485 )</w:t>
            </w:r>
          </w:p>
        </w:tc>
        <w:tc>
          <w:tcPr>
            <w:tcW w:w="300" w:type="dxa"/>
            <w:vAlign w:val="bottom"/>
          </w:tcPr>
          <w:p>
            <w:pPr>
              <w:spacing w:after="0"/>
              <w:rPr>
                <w:sz w:val="20"/>
                <w:szCs w:val="20"/>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(24,200 )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 net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6,052</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20" w:type="dxa"/>
            <w:vAlign w:val="bottom"/>
          </w:tcPr>
          <w:p>
            <w:pPr>
              <w:ind w:left="20"/>
              <w:spacing w:after="0"/>
              <w:rPr>
                <w:sz w:val="20"/>
                <w:szCs w:val="20"/>
                <w:color w:val="auto"/>
              </w:rPr>
            </w:pPr>
            <w:r>
              <w:rPr>
                <w:rFonts w:ascii="Arial" w:cs="Arial" w:eastAsia="Arial" w:hAnsi="Arial"/>
                <w:sz w:val="18"/>
                <w:szCs w:val="18"/>
                <w:color w:val="auto"/>
              </w:rPr>
              <w:t>Depreciaton and amortzaton</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520" w:type="dxa"/>
            <w:vAlign w:val="bottom"/>
            <w:shd w:val="clear" w:color="auto" w:fill="CFF0FC"/>
          </w:tcPr>
          <w:p>
            <w:pPr>
              <w:ind w:left="20"/>
              <w:spacing w:after="0" w:line="251" w:lineRule="exact"/>
              <w:rPr>
                <w:sz w:val="20"/>
                <w:szCs w:val="20"/>
                <w:color w:val="auto"/>
              </w:rPr>
            </w:pPr>
            <w:r>
              <w:rPr>
                <w:rFonts w:ascii="Arial" w:cs="Arial" w:eastAsia="Arial" w:hAnsi="Arial"/>
                <w:sz w:val="18"/>
                <w:szCs w:val="18"/>
                <w:color w:val="auto"/>
              </w:rPr>
              <w:t>Sales tax liability</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line="243" w:lineRule="exact"/>
              <w:rPr>
                <w:sz w:val="20"/>
                <w:szCs w:val="20"/>
                <w:color w:val="auto"/>
              </w:rPr>
            </w:pPr>
            <w:r>
              <w:rPr>
                <w:rFonts w:ascii="Arial" w:cs="Arial" w:eastAsia="Arial" w:hAnsi="Arial"/>
                <w:sz w:val="18"/>
                <w:szCs w:val="18"/>
                <w:color w:val="auto"/>
              </w:rPr>
              <w:t>Transacton costs</w:t>
            </w:r>
            <w:r>
              <w:rPr>
                <w:rFonts w:ascii="Arial" w:cs="Arial" w:eastAsia="Arial" w:hAnsi="Arial"/>
                <w:sz w:val="24"/>
                <w:szCs w:val="24"/>
                <w:color w:val="auto"/>
                <w:vertAlign w:val="superscript"/>
              </w:rPr>
              <w:t>(2)</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4,944</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Equity-based compensaton</w:t>
            </w:r>
            <w:r>
              <w:rPr>
                <w:rFonts w:ascii="Arial" w:cs="Arial" w:eastAsia="Arial" w:hAnsi="Arial"/>
                <w:sz w:val="24"/>
                <w:szCs w:val="24"/>
                <w:color w:val="auto"/>
                <w:vertAlign w:val="superscript"/>
              </w:rPr>
              <w:t>(3)</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7,380</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5,312</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12,910</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line="243" w:lineRule="exact"/>
              <w:rPr>
                <w:sz w:val="20"/>
                <w:szCs w:val="20"/>
                <w:color w:val="auto"/>
              </w:rPr>
            </w:pPr>
            <w:r>
              <w:rPr>
                <w:rFonts w:ascii="Arial" w:cs="Arial" w:eastAsia="Arial" w:hAnsi="Arial"/>
                <w:sz w:val="18"/>
                <w:szCs w:val="18"/>
                <w:color w:val="auto"/>
              </w:rPr>
              <w:t>Loss on extnguishment of debt</w:t>
            </w:r>
            <w:r>
              <w:rPr>
                <w:rFonts w:ascii="Arial" w:cs="Arial" w:eastAsia="Arial" w:hAnsi="Arial"/>
                <w:sz w:val="24"/>
                <w:szCs w:val="24"/>
                <w:color w:val="auto"/>
                <w:vertAlign w:val="superscript"/>
              </w:rPr>
              <w:t>(4)</w:t>
            </w:r>
          </w:p>
        </w:tc>
        <w:tc>
          <w:tcPr>
            <w:tcW w:w="26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Litgaton, setlements and related costs</w:t>
            </w:r>
            <w:r>
              <w:rPr>
                <w:rFonts w:ascii="Arial" w:cs="Arial" w:eastAsia="Arial" w:hAnsi="Arial"/>
                <w:sz w:val="24"/>
                <w:szCs w:val="24"/>
                <w:color w:val="auto"/>
                <w:vertAlign w:val="superscript"/>
              </w:rPr>
              <w:t>(5)</w:t>
            </w: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(66 )</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520" w:type="dxa"/>
            <w:vAlign w:val="bottom"/>
          </w:tcPr>
          <w:p>
            <w:pPr>
              <w:ind w:left="20"/>
              <w:spacing w:after="0" w:line="203" w:lineRule="exact"/>
              <w:rPr>
                <w:sz w:val="20"/>
                <w:szCs w:val="20"/>
                <w:color w:val="auto"/>
              </w:rPr>
            </w:pPr>
            <w:r>
              <w:rPr>
                <w:rFonts w:ascii="Arial" w:cs="Arial" w:eastAsia="Arial" w:hAnsi="Arial"/>
                <w:sz w:val="17"/>
                <w:szCs w:val="17"/>
                <w:color w:val="auto"/>
              </w:rPr>
              <w:t>Change in fair value of warrants</w:t>
            </w:r>
            <w:r>
              <w:rPr>
                <w:rFonts w:ascii="Arial" w:cs="Arial" w:eastAsia="Arial" w:hAnsi="Arial"/>
                <w:sz w:val="23"/>
                <w:szCs w:val="23"/>
                <w:color w:val="auto"/>
                <w:vertAlign w:val="superscript"/>
              </w:rPr>
              <w:t>(6)</w:t>
            </w:r>
          </w:p>
        </w:tc>
        <w:tc>
          <w:tcPr>
            <w:tcW w:w="2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1,000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60"/>
              <w:spacing w:after="0" w:line="204" w:lineRule="exact"/>
              <w:rPr>
                <w:sz w:val="20"/>
                <w:szCs w:val="20"/>
                <w:color w:val="auto"/>
              </w:rPr>
            </w:pPr>
            <w:r>
              <w:rPr>
                <w:rFonts w:ascii="Arial" w:cs="Arial" w:eastAsia="Arial" w:hAnsi="Arial"/>
                <w:sz w:val="18"/>
                <w:szCs w:val="18"/>
                <w:color w:val="auto"/>
              </w:rPr>
              <w:t>(8,832 )</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673</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60"/>
              <w:spacing w:after="0" w:line="204" w:lineRule="exact"/>
              <w:rPr>
                <w:sz w:val="20"/>
                <w:szCs w:val="20"/>
                <w:color w:val="auto"/>
              </w:rPr>
            </w:pPr>
            <w:r>
              <w:rPr>
                <w:rFonts w:ascii="Arial" w:cs="Arial" w:eastAsia="Arial" w:hAnsi="Arial"/>
                <w:sz w:val="18"/>
                <w:szCs w:val="18"/>
                <w:color w:val="auto"/>
              </w:rPr>
              <w:t>(6,553 )</w:t>
            </w: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3" w:lineRule="exact"/>
              <w:rPr>
                <w:sz w:val="20"/>
                <w:szCs w:val="20"/>
                <w:color w:val="auto"/>
              </w:rPr>
            </w:pPr>
            <w:r>
              <w:rPr>
                <w:rFonts w:ascii="Arial" w:cs="Arial" w:eastAsia="Arial" w:hAnsi="Arial"/>
                <w:sz w:val="17"/>
                <w:szCs w:val="17"/>
                <w:color w:val="auto"/>
              </w:rPr>
              <w:t>Change in fair value of contngent consideraton</w:t>
            </w:r>
            <w:r>
              <w:rPr>
                <w:rFonts w:ascii="Arial" w:cs="Arial" w:eastAsia="Arial" w:hAnsi="Arial"/>
                <w:sz w:val="23"/>
                <w:szCs w:val="23"/>
                <w:color w:val="auto"/>
                <w:vertAlign w:val="superscript"/>
              </w:rPr>
              <w:t>(7)</w:t>
            </w:r>
          </w:p>
        </w:tc>
        <w:tc>
          <w:tcPr>
            <w:tcW w:w="260" w:type="dxa"/>
            <w:vAlign w:val="bottom"/>
          </w:tcPr>
          <w:p>
            <w:pPr>
              <w:spacing w:after="0"/>
              <w:rPr>
                <w:sz w:val="17"/>
                <w:szCs w:val="17"/>
                <w:color w:val="auto"/>
              </w:rPr>
            </w:pPr>
          </w:p>
        </w:tc>
        <w:tc>
          <w:tcPr>
            <w:tcW w:w="14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(1,052 )</w:t>
            </w:r>
          </w:p>
        </w:tc>
        <w:tc>
          <w:tcPr>
            <w:tcW w:w="300" w:type="dxa"/>
            <w:vAlign w:val="bottom"/>
          </w:tcPr>
          <w:p>
            <w:pPr>
              <w:spacing w:after="0"/>
              <w:rPr>
                <w:sz w:val="17"/>
                <w:szCs w:val="17"/>
                <w:color w:val="auto"/>
              </w:rPr>
            </w:pPr>
          </w:p>
        </w:tc>
        <w:tc>
          <w:tcPr>
            <w:tcW w:w="1500" w:type="dxa"/>
            <w:vAlign w:val="bottom"/>
            <w:gridSpan w:val="3"/>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(1,018 )</w:t>
            </w:r>
          </w:p>
        </w:tc>
        <w:tc>
          <w:tcPr>
            <w:tcW w:w="320" w:type="dxa"/>
            <w:vAlign w:val="bottom"/>
          </w:tcPr>
          <w:p>
            <w:pPr>
              <w:spacing w:after="0"/>
              <w:rPr>
                <w:sz w:val="17"/>
                <w:szCs w:val="17"/>
                <w:color w:val="auto"/>
              </w:rPr>
            </w:pPr>
          </w:p>
        </w:tc>
        <w:tc>
          <w:tcPr>
            <w:tcW w:w="12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20" w:type="dxa"/>
            <w:vAlign w:val="bottom"/>
          </w:tcPr>
          <w:p>
            <w:pPr>
              <w:ind w:left="20"/>
              <w:spacing w:after="0"/>
              <w:rPr>
                <w:sz w:val="20"/>
                <w:szCs w:val="20"/>
                <w:color w:val="auto"/>
              </w:rPr>
            </w:pPr>
            <w:r>
              <w:rPr>
                <w:rFonts w:ascii="Arial" w:cs="Arial" w:eastAsia="Arial" w:hAnsi="Arial"/>
                <w:sz w:val="18"/>
                <w:szCs w:val="18"/>
                <w:color w:val="auto"/>
              </w:rPr>
              <w:t>Loss on asset disposals</w:t>
            </w:r>
            <w:r>
              <w:rPr>
                <w:rFonts w:ascii="Arial" w:cs="Arial" w:eastAsia="Arial" w:hAnsi="Arial"/>
                <w:sz w:val="28"/>
                <w:szCs w:val="28"/>
                <w:color w:val="auto"/>
                <w:vertAlign w:val="superscript"/>
              </w:rPr>
              <w:t>(8)</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31,077</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30,329</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73,512</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51,341</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5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-385445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-368300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-385445</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-368300</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-385445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-368300</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-385445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-368300</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0" w:name="page31"/>
    <w:bookmarkEnd w:id="30"/>
    <w:p>
      <w:pPr>
        <w:jc w:val="both"/>
        <w:ind w:left="1020" w:hanging="503"/>
        <w:spacing w:after="0" w:line="25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historically incurred sales tax expense in jurisdictons where we expected to remit sales tax payments but were not yet collectng from customers. During the second half of 2021, we began collectng sales tax from customers in the required jurisdictons. The sales tax liability presented herein represents the tax liability for sales tax prior to the date we began collectng sales tax from customers reduced by abatements received, inclusive of any penaltes and interest assessed by the jurisdictons. The remaining historic sales tax liability payments were made during the year ended December 31, 2022.</w:t>
      </w:r>
    </w:p>
    <w:p>
      <w:pPr>
        <w:spacing w:after="0" w:line="111" w:lineRule="exact"/>
        <w:rPr>
          <w:rFonts w:ascii="Arial" w:cs="Arial" w:eastAsia="Arial" w:hAnsi="Arial"/>
          <w:sz w:val="18"/>
          <w:szCs w:val="18"/>
          <w:color w:val="auto"/>
        </w:rPr>
      </w:pPr>
    </w:p>
    <w:p>
      <w:pPr>
        <w:jc w:val="both"/>
        <w:ind w:left="1020" w:hanging="503"/>
        <w:spacing w:after="0" w:line="274"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Transacton costs consist of legal, accountng, tax and other professional fees; personnel-related costs, which consist of retenton bonuses; and integraton costs. Transacton costs recognized in 2023 were primarily related to expenses incurred in connecton with the Secondary Ofering, expenses incurred for strategic investments and legal expenses and retenton bonuses related to our acquisiton of Betcha (which was rebranded as "Vivid Picks"). Transacton costs recognized in 2022 were primarily related to the Merger Transacton, our acquisiton of Betcha and the refnancing of the June 2017 First Lien Loan with the February 2022 First Lien Loan.</w:t>
      </w:r>
    </w:p>
    <w:p>
      <w:pPr>
        <w:spacing w:after="0" w:line="112" w:lineRule="exact"/>
        <w:rPr>
          <w:rFonts w:ascii="Arial" w:cs="Arial" w:eastAsia="Arial" w:hAnsi="Arial"/>
          <w:sz w:val="17"/>
          <w:szCs w:val="17"/>
          <w:color w:val="auto"/>
        </w:rPr>
      </w:pPr>
    </w:p>
    <w:p>
      <w:pPr>
        <w:jc w:val="both"/>
        <w:ind w:left="1020" w:hanging="503"/>
        <w:spacing w:after="0" w:line="25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incur equity-based compensaton expenses for profts interests issued prior to the Merger Transacton and equity granted pursuant to the 2021 Plan, which we do not consider to be indicatve of our core operatng performance. The 2021 Plan was approved and adopted in order to facilitate the grant of equity incentve awards to our employees, directors and consultants. The 2021 Plan became efectve on October 18, 2021.</w:t>
      </w:r>
    </w:p>
    <w:p>
      <w:pPr>
        <w:spacing w:after="0" w:line="12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incurred resulted from the extnguishment of the June 2017 First Lien Loan in February 2022.</w:t>
      </w:r>
    </w:p>
    <w:p>
      <w:pPr>
        <w:spacing w:after="0" w:line="144" w:lineRule="exact"/>
        <w:rPr>
          <w:rFonts w:ascii="Arial" w:cs="Arial" w:eastAsia="Arial" w:hAnsi="Arial"/>
          <w:sz w:val="18"/>
          <w:szCs w:val="18"/>
          <w:color w:val="auto"/>
        </w:rPr>
      </w:pPr>
    </w:p>
    <w:p>
      <w:pPr>
        <w:ind w:left="1020" w:hanging="503"/>
        <w:spacing w:after="0" w:line="27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amounts relate to external legal costs, setlement costs and insurance recoveries, which were unrelated to our core business operatons.</w:t>
      </w:r>
    </w:p>
    <w:p>
      <w:pPr>
        <w:spacing w:after="0" w:line="10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relates to the revaluaton of warrants to purchase Intermediate Units held by Hoya Topco following the Merger Transacton.</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relates to the revaluaton of Vivid Picks cash earnouts.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relates to asset disposals, which are not considered indicatve of our core operatng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Afectng our Performance</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been no material changes from the “Key Factors Afectng Our Performance” described in the “Management’s Discussion and Analysis of Financial Conditon and Results of Operatons” secton of our 2022 Form 10-K. Our fnancial positon and results of operatons depend to a signifcant extent on those factors.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2023 and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operatons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19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Three Months Ended June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Six Months Ended June 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w w:val="85"/>
              </w:rPr>
              <w:t>Change</w:t>
            </w:r>
          </w:p>
        </w:tc>
        <w:tc>
          <w:tcPr>
            <w:tcW w:w="1120" w:type="dxa"/>
            <w:vAlign w:val="bottom"/>
            <w:gridSpan w:val="2"/>
            <w:vMerge w:val="restart"/>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5"/>
              </w:rPr>
              <w:t>Change</w:t>
            </w: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165,380</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147,694</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17,686</w:t>
            </w:r>
          </w:p>
        </w:tc>
        <w:tc>
          <w:tcPr>
            <w:tcW w:w="2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2"/>
                <w:szCs w:val="12"/>
                <w:color w:val="auto"/>
                <w:w w:val="74"/>
              </w:rPr>
              <w:t>%</w:t>
            </w: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326,443</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278,466</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47,977</w:t>
            </w:r>
          </w:p>
        </w:tc>
        <w:tc>
          <w:tcPr>
            <w:tcW w:w="26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revenues (exclusive of depreciaton and</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amortzaton shown separately below)</w:t>
            </w:r>
          </w:p>
        </w:tc>
        <w:tc>
          <w:tcPr>
            <w:tcW w:w="1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42,616</w:t>
            </w: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32,422</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10,194</w:t>
            </w:r>
          </w:p>
        </w:tc>
        <w:tc>
          <w:tcPr>
            <w:tcW w:w="26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gridSpan w:val="2"/>
            <w:shd w:val="clear" w:color="auto" w:fill="CFF0FC"/>
          </w:tcPr>
          <w:p>
            <w:pPr>
              <w:jc w:val="right"/>
              <w:ind w:right="95"/>
              <w:spacing w:after="0"/>
              <w:rPr>
                <w:sz w:val="20"/>
                <w:szCs w:val="20"/>
                <w:color w:val="auto"/>
              </w:rPr>
            </w:pPr>
            <w:r>
              <w:rPr>
                <w:rFonts w:ascii="Arial" w:cs="Arial" w:eastAsia="Arial" w:hAnsi="Arial"/>
                <w:sz w:val="14"/>
                <w:szCs w:val="14"/>
                <w:color w:val="auto"/>
              </w:rPr>
              <w:t>31 %</w:t>
            </w:r>
          </w:p>
        </w:tc>
        <w:tc>
          <w:tcPr>
            <w:tcW w:w="1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80,376</w:t>
            </w: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64,586</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15,790</w:t>
            </w:r>
          </w:p>
        </w:tc>
        <w:tc>
          <w:tcPr>
            <w:tcW w:w="26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Marketng and selling</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65,192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59,412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5,780</w:t>
            </w:r>
          </w:p>
        </w:tc>
        <w:tc>
          <w:tcPr>
            <w:tcW w:w="260" w:type="dxa"/>
            <w:vAlign w:val="bottom"/>
          </w:tcPr>
          <w:p>
            <w:pPr>
              <w:spacing w:after="0"/>
              <w:rPr>
                <w:sz w:val="15"/>
                <w:szCs w:val="15"/>
                <w:color w:val="auto"/>
              </w:rPr>
            </w:pPr>
          </w:p>
        </w:tc>
        <w:tc>
          <w:tcPr>
            <w:tcW w:w="1120" w:type="dxa"/>
            <w:vAlign w:val="bottom"/>
            <w:gridSpan w:val="2"/>
          </w:tcPr>
          <w:p>
            <w:pPr>
              <w:jc w:val="right"/>
              <w:ind w:right="95"/>
              <w:spacing w:after="0"/>
              <w:rPr>
                <w:sz w:val="20"/>
                <w:szCs w:val="20"/>
                <w:color w:val="auto"/>
              </w:rPr>
            </w:pPr>
            <w:r>
              <w:rPr>
                <w:rFonts w:ascii="Arial" w:cs="Arial" w:eastAsia="Arial" w:hAnsi="Arial"/>
                <w:sz w:val="14"/>
                <w:szCs w:val="14"/>
                <w:color w:val="auto"/>
              </w:rPr>
              <w:t>10 %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119,964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113,640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6,324</w:t>
            </w:r>
          </w:p>
        </w:tc>
        <w:tc>
          <w:tcPr>
            <w:tcW w:w="2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administratve</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38,307</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36,207</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2,100</w:t>
            </w:r>
          </w:p>
        </w:tc>
        <w:tc>
          <w:tcPr>
            <w:tcW w:w="26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right"/>
              <w:ind w:right="95"/>
              <w:spacing w:after="0"/>
              <w:rPr>
                <w:sz w:val="20"/>
                <w:szCs w:val="20"/>
                <w:color w:val="auto"/>
              </w:rPr>
            </w:pPr>
            <w:r>
              <w:rPr>
                <w:rFonts w:ascii="Arial" w:cs="Arial" w:eastAsia="Arial" w:hAnsi="Arial"/>
                <w:sz w:val="14"/>
                <w:szCs w:val="14"/>
                <w:color w:val="auto"/>
              </w:rPr>
              <w:t>6 %</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70,696</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65,482</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5,214</w:t>
            </w:r>
          </w:p>
        </w:tc>
        <w:tc>
          <w:tcPr>
            <w:tcW w:w="2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Depreciaton and amortzaton</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1,726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978</w:t>
            </w:r>
          </w:p>
        </w:tc>
        <w:tc>
          <w:tcPr>
            <w:tcW w:w="260" w:type="dxa"/>
            <w:vAlign w:val="bottom"/>
          </w:tcPr>
          <w:p>
            <w:pPr>
              <w:spacing w:after="0"/>
              <w:rPr>
                <w:sz w:val="15"/>
                <w:szCs w:val="15"/>
                <w:color w:val="auto"/>
              </w:rPr>
            </w:pPr>
          </w:p>
        </w:tc>
        <w:tc>
          <w:tcPr>
            <w:tcW w:w="1120" w:type="dxa"/>
            <w:vAlign w:val="bottom"/>
            <w:gridSpan w:val="2"/>
          </w:tcPr>
          <w:p>
            <w:pPr>
              <w:jc w:val="right"/>
              <w:ind w:right="95"/>
              <w:spacing w:after="0"/>
              <w:rPr>
                <w:sz w:val="20"/>
                <w:szCs w:val="20"/>
                <w:color w:val="auto"/>
              </w:rPr>
            </w:pPr>
            <w:r>
              <w:rPr>
                <w:rFonts w:ascii="Arial" w:cs="Arial" w:eastAsia="Arial" w:hAnsi="Arial"/>
                <w:sz w:val="14"/>
                <w:szCs w:val="14"/>
                <w:color w:val="auto"/>
              </w:rPr>
              <w:t>57 %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5,302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3,111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2,191</w:t>
            </w:r>
          </w:p>
        </w:tc>
        <w:tc>
          <w:tcPr>
            <w:tcW w:w="2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fair value of contngent consideraton</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(1,052 )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(1,052 )</w:t>
            </w:r>
          </w:p>
        </w:tc>
        <w:tc>
          <w:tcPr>
            <w:tcW w:w="1120" w:type="dxa"/>
            <w:vAlign w:val="bottom"/>
            <w:gridSpan w:val="2"/>
            <w:shd w:val="clear" w:color="auto" w:fill="CFF0FC"/>
          </w:tcPr>
          <w:p>
            <w:pPr>
              <w:jc w:val="right"/>
              <w:ind w:right="95"/>
              <w:spacing w:after="0"/>
              <w:rPr>
                <w:sz w:val="20"/>
                <w:szCs w:val="20"/>
                <w:color w:val="auto"/>
              </w:rPr>
            </w:pPr>
            <w:r>
              <w:rPr>
                <w:rFonts w:ascii="Arial" w:cs="Arial" w:eastAsia="Arial" w:hAnsi="Arial"/>
                <w:sz w:val="14"/>
                <w:szCs w:val="14"/>
                <w:color w:val="auto"/>
              </w:rPr>
              <w:t>100 %</w:t>
            </w: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(1,018 )</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(1,018 )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Income from operatons</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17,613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17,927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(314 )</w:t>
            </w:r>
          </w:p>
        </w:tc>
        <w:tc>
          <w:tcPr>
            <w:tcW w:w="11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b w:val="1"/>
                <w:bCs w:val="1"/>
                <w:color w:val="auto"/>
                <w:highlight w:val="white"/>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51,123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31,647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19,476</w:t>
            </w:r>
          </w:p>
        </w:tc>
        <w:tc>
          <w:tcPr>
            <w:tcW w:w="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62 %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Interest expense – net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2,772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2,699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w:t>
            </w:r>
          </w:p>
        </w:tc>
        <w:tc>
          <w:tcPr>
            <w:tcW w:w="260" w:type="dxa"/>
            <w:vAlign w:val="bottom"/>
          </w:tcPr>
          <w:p>
            <w:pPr>
              <w:spacing w:after="0"/>
              <w:rPr>
                <w:sz w:val="15"/>
                <w:szCs w:val="15"/>
                <w:color w:val="auto"/>
              </w:rPr>
            </w:pPr>
          </w:p>
        </w:tc>
        <w:tc>
          <w:tcPr>
            <w:tcW w:w="1120" w:type="dxa"/>
            <w:vAlign w:val="bottom"/>
            <w:gridSpan w:val="2"/>
          </w:tcPr>
          <w:p>
            <w:pPr>
              <w:jc w:val="right"/>
              <w:ind w:right="95"/>
              <w:spacing w:after="0"/>
              <w:rPr>
                <w:sz w:val="20"/>
                <w:szCs w:val="20"/>
                <w:color w:val="auto"/>
              </w:rPr>
            </w:pPr>
            <w:r>
              <w:rPr>
                <w:rFonts w:ascii="Arial" w:cs="Arial" w:eastAsia="Arial" w:hAnsi="Arial"/>
                <w:sz w:val="14"/>
                <w:szCs w:val="14"/>
                <w:color w:val="auto"/>
              </w:rPr>
              <w:t>3 %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6,052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6,641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(589 )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Loss on extnguishment of debt</w:t>
            </w:r>
          </w:p>
        </w:tc>
        <w:tc>
          <w:tcPr>
            <w:tcW w:w="1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FF0FC"/>
            </w:tcBorders>
            <w:gridSpan w:val="2"/>
            <w:shd w:val="clear" w:color="auto" w:fill="CFF0FC"/>
          </w:tcPr>
          <w:p>
            <w:pPr>
              <w:jc w:val="right"/>
              <w:ind w:right="95"/>
              <w:spacing w:after="0"/>
              <w:rPr>
                <w:sz w:val="20"/>
                <w:szCs w:val="20"/>
                <w:color w:val="auto"/>
              </w:rPr>
            </w:pPr>
            <w:r>
              <w:rPr>
                <w:rFonts w:ascii="Arial" w:cs="Arial" w:eastAsia="Arial" w:hAnsi="Arial"/>
                <w:sz w:val="14"/>
                <w:szCs w:val="14"/>
                <w:color w:val="auto"/>
              </w:rPr>
              <w:t>— %</w:t>
            </w: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4,285</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(4,285 )</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(100 )%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(8,832 )</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9,832</w:t>
            </w:r>
          </w:p>
        </w:tc>
        <w:tc>
          <w:tcPr>
            <w:tcW w:w="260" w:type="dxa"/>
            <w:vAlign w:val="bottom"/>
          </w:tcPr>
          <w:p>
            <w:pPr>
              <w:spacing w:after="0"/>
              <w:rPr>
                <w:sz w:val="17"/>
                <w:szCs w:val="17"/>
                <w:color w:val="auto"/>
              </w:rPr>
            </w:pPr>
          </w:p>
        </w:tc>
        <w:tc>
          <w:tcPr>
            <w:tcW w:w="1120" w:type="dxa"/>
            <w:vAlign w:val="bottom"/>
            <w:gridSpan w:val="2"/>
          </w:tcPr>
          <w:p>
            <w:pPr>
              <w:jc w:val="right"/>
              <w:ind w:right="95"/>
              <w:spacing w:after="0"/>
              <w:rPr>
                <w:sz w:val="20"/>
                <w:szCs w:val="20"/>
                <w:color w:val="auto"/>
              </w:rPr>
            </w:pPr>
            <w:r>
              <w:rPr>
                <w:rFonts w:ascii="Arial" w:cs="Arial" w:eastAsia="Arial" w:hAnsi="Arial"/>
                <w:sz w:val="14"/>
                <w:szCs w:val="14"/>
                <w:color w:val="auto"/>
              </w:rPr>
              <w:t>111 %</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(6,553 )</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7,226</w:t>
            </w:r>
          </w:p>
        </w:tc>
        <w:tc>
          <w:tcPr>
            <w:tcW w:w="2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13,841</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24,060</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(10,219</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8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(42</w:t>
            </w:r>
          </w:p>
        </w:tc>
        <w:tc>
          <w:tcPr>
            <w:tcW w:w="260" w:type="dxa"/>
            <w:vAlign w:val="bottom"/>
            <w:shd w:val="clear" w:color="auto" w:fill="CFF0FC"/>
          </w:tcPr>
          <w:p>
            <w:pPr>
              <w:jc w:val="right"/>
              <w:ind w:right="35"/>
              <w:spacing w:after="0"/>
              <w:rPr>
                <w:sz w:val="20"/>
                <w:szCs w:val="20"/>
                <w:color w:val="auto"/>
              </w:rPr>
            </w:pPr>
            <w:r>
              <w:rPr>
                <w:rFonts w:ascii="Arial" w:cs="Arial" w:eastAsia="Arial" w:hAnsi="Arial"/>
                <w:sz w:val="14"/>
                <w:szCs w:val="14"/>
                <w:b w:val="1"/>
                <w:bCs w:val="1"/>
                <w:color w:val="auto"/>
                <w:w w:val="81"/>
              </w:rPr>
              <w:t>)%</w:t>
            </w: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44,398</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27,274</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17,124</w:t>
            </w:r>
          </w:p>
        </w:tc>
        <w:tc>
          <w:tcPr>
            <w:tcW w:w="26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63</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Income tax expense (beneft)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(24,485 )</w:t>
            </w:r>
          </w:p>
        </w:tc>
        <w:tc>
          <w:tcPr>
            <w:tcW w:w="16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4"/>
                <w:szCs w:val="14"/>
                <w:color w:val="auto"/>
              </w:rPr>
              <w:t>(24,485 )</w:t>
            </w:r>
          </w:p>
        </w:tc>
        <w:tc>
          <w:tcPr>
            <w:tcW w:w="1120" w:type="dxa"/>
            <w:vAlign w:val="bottom"/>
            <w:gridSpan w:val="2"/>
          </w:tcPr>
          <w:p>
            <w:pPr>
              <w:jc w:val="right"/>
              <w:ind w:right="95"/>
              <w:spacing w:after="0"/>
              <w:rPr>
                <w:sz w:val="20"/>
                <w:szCs w:val="20"/>
                <w:color w:val="auto"/>
              </w:rPr>
            </w:pPr>
            <w:r>
              <w:rPr>
                <w:rFonts w:ascii="Arial" w:cs="Arial" w:eastAsia="Arial" w:hAnsi="Arial"/>
                <w:sz w:val="14"/>
                <w:szCs w:val="14"/>
                <w:color w:val="auto"/>
              </w:rPr>
              <w:t>100 %</w:t>
            </w:r>
          </w:p>
        </w:tc>
        <w:tc>
          <w:tcPr>
            <w:tcW w:w="1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(24,200 )</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(24,276 )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(31,942 )%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income</w:t>
            </w: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38,326</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24,060</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14,266</w:t>
            </w:r>
          </w:p>
        </w:tc>
        <w:tc>
          <w:tcPr>
            <w:tcW w:w="2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59</w:t>
            </w:r>
          </w:p>
        </w:tc>
        <w:tc>
          <w:tcPr>
            <w:tcW w:w="260" w:type="dxa"/>
            <w:vAlign w:val="bottom"/>
            <w:shd w:val="clear" w:color="auto" w:fill="CFF0FC"/>
          </w:tcPr>
          <w:p>
            <w:pPr>
              <w:jc w:val="right"/>
              <w:ind w:right="95"/>
              <w:spacing w:after="0"/>
              <w:rPr>
                <w:sz w:val="20"/>
                <w:szCs w:val="20"/>
                <w:color w:val="auto"/>
              </w:rPr>
            </w:pPr>
            <w:r>
              <w:rPr>
                <w:rFonts w:ascii="Arial" w:cs="Arial" w:eastAsia="Arial" w:hAnsi="Arial"/>
                <w:sz w:val="12"/>
                <w:szCs w:val="12"/>
                <w:b w:val="1"/>
                <w:bCs w:val="1"/>
                <w:color w:val="auto"/>
                <w:w w:val="74"/>
              </w:rPr>
              <w:t>%</w:t>
            </w: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68,598</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27,198</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41,400</w:t>
            </w:r>
          </w:p>
        </w:tc>
        <w:tc>
          <w:tcPr>
            <w:tcW w:w="26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152</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500" w:type="dxa"/>
            <w:vAlign w:val="bottom"/>
          </w:tcPr>
          <w:p>
            <w:pPr>
              <w:ind w:left="20"/>
              <w:spacing w:after="0"/>
              <w:rPr>
                <w:sz w:val="20"/>
                <w:szCs w:val="20"/>
                <w:color w:val="auto"/>
              </w:rPr>
            </w:pPr>
            <w:r>
              <w:rPr>
                <w:rFonts w:ascii="Arial" w:cs="Arial" w:eastAsia="Arial" w:hAnsi="Arial"/>
                <w:sz w:val="14"/>
                <w:szCs w:val="14"/>
                <w:color w:val="auto"/>
              </w:rPr>
              <w:t>Net income atributable to redeemable noncontrolling</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7,614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14,405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(6,791 )</w:t>
            </w:r>
          </w:p>
        </w:tc>
        <w:tc>
          <w:tcPr>
            <w:tcW w:w="112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(47 )%</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25,704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16,284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9,420</w:t>
            </w:r>
          </w:p>
        </w:tc>
        <w:tc>
          <w:tcPr>
            <w:tcW w:w="26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58 %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income atributable to Class A Common</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30,712</w:t>
            </w:r>
          </w:p>
        </w:tc>
        <w:tc>
          <w:tcPr>
            <w:tcW w:w="24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9,655</w:t>
            </w:r>
          </w:p>
        </w:tc>
        <w:tc>
          <w:tcPr>
            <w:tcW w:w="24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21,057</w:t>
            </w:r>
          </w:p>
        </w:tc>
        <w:tc>
          <w:tcPr>
            <w:tcW w:w="26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95"/>
              <w:spacing w:after="0"/>
              <w:rPr>
                <w:sz w:val="20"/>
                <w:szCs w:val="20"/>
                <w:color w:val="auto"/>
              </w:rPr>
            </w:pPr>
            <w:r>
              <w:rPr>
                <w:rFonts w:ascii="Arial" w:cs="Arial" w:eastAsia="Arial" w:hAnsi="Arial"/>
                <w:sz w:val="14"/>
                <w:szCs w:val="14"/>
                <w:b w:val="1"/>
                <w:bCs w:val="1"/>
                <w:color w:val="auto"/>
              </w:rPr>
              <w:t>218 %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42,894</w:t>
            </w:r>
          </w:p>
        </w:tc>
        <w:tc>
          <w:tcPr>
            <w:tcW w:w="26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10,914</w:t>
            </w:r>
          </w:p>
        </w:tc>
        <w:tc>
          <w:tcPr>
            <w:tcW w:w="24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31,980</w:t>
            </w:r>
          </w:p>
        </w:tc>
        <w:tc>
          <w:tcPr>
            <w:tcW w:w="26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293 %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Stockholders</w:t>
            </w:r>
          </w:p>
        </w:tc>
        <w:tc>
          <w:tcPr>
            <w:tcW w:w="14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-1534160</wp:posOffset>
            </wp:positionV>
            <wp:extent cx="8572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-1534160</wp:posOffset>
            </wp:positionV>
            <wp:extent cx="8572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-1534160</wp:posOffset>
            </wp:positionV>
            <wp:extent cx="8572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-1534160</wp:posOffset>
            </wp:positionV>
            <wp:extent cx="7747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-1534160</wp:posOffset>
            </wp:positionV>
            <wp:extent cx="76835"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-1534160</wp:posOffset>
            </wp:positionV>
            <wp:extent cx="85725"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-1534160</wp:posOffset>
            </wp:positionV>
            <wp:extent cx="8572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-25400</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857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857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segment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w w:val="90"/>
              </w:rPr>
              <w:t>Three Months Ended June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w w:val="91"/>
              </w:rPr>
              <w:t>Six Months Ended June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7"/>
              </w:rPr>
              <w:t>Change</w:t>
            </w:r>
          </w:p>
        </w:tc>
        <w:tc>
          <w:tcPr>
            <w:tcW w:w="260" w:type="dxa"/>
            <w:vAlign w:val="bottom"/>
          </w:tcPr>
          <w:p>
            <w:pPr>
              <w:spacing w:after="0"/>
              <w:rPr>
                <w:sz w:val="8"/>
                <w:szCs w:val="8"/>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7"/>
              </w:rPr>
              <w:t>Change</w:t>
            </w:r>
          </w:p>
        </w:tc>
        <w:tc>
          <w:tcPr>
            <w:tcW w:w="260" w:type="dxa"/>
            <w:vAlign w:val="bottom"/>
          </w:tcPr>
          <w:p>
            <w:pPr>
              <w:spacing w:after="0"/>
              <w:rPr>
                <w:sz w:val="8"/>
                <w:szCs w:val="8"/>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20"/>
              <w:spacing w:after="0"/>
              <w:rPr>
                <w:sz w:val="20"/>
                <w:szCs w:val="20"/>
                <w:color w:val="auto"/>
              </w:rPr>
            </w:pPr>
            <w:r>
              <w:rPr>
                <w:rFonts w:ascii="Arial" w:cs="Arial" w:eastAsia="Arial" w:hAnsi="Arial"/>
                <w:sz w:val="14"/>
                <w:szCs w:val="14"/>
                <w:color w:val="auto"/>
              </w:rPr>
              <w:t>Marketplace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139,150</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129,914</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9,236</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7 %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275,731</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240,430</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35,301</w:t>
            </w:r>
          </w:p>
        </w:tc>
        <w:tc>
          <w:tcPr>
            <w:tcW w:w="1440" w:type="dxa"/>
            <w:vAlign w:val="bottom"/>
            <w:gridSpan w:val="3"/>
          </w:tcPr>
          <w:p>
            <w:pPr>
              <w:jc w:val="right"/>
              <w:ind w:right="20"/>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Resale</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26,230</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17,780</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8,450</w:t>
            </w:r>
          </w:p>
        </w:tc>
        <w:tc>
          <w:tcPr>
            <w:tcW w:w="2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48 %</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50,712</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38,036</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12,676</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23"/>
        </w:trPr>
        <w:tc>
          <w:tcPr>
            <w:tcW w:w="2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165,380</w:t>
            </w:r>
          </w:p>
        </w:tc>
        <w:tc>
          <w:tcPr>
            <w:tcW w:w="26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147,694</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17,686</w:t>
            </w:r>
          </w:p>
        </w:tc>
        <w:tc>
          <w:tcPr>
            <w:tcW w:w="2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12 %</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326,443</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278,466</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47,977</w:t>
            </w:r>
          </w:p>
        </w:tc>
        <w:tc>
          <w:tcPr>
            <w:tcW w:w="14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17 %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-162560</wp:posOffset>
            </wp:positionV>
            <wp:extent cx="76835"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-162560</wp:posOffset>
            </wp:positionV>
            <wp:extent cx="85725"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-162560</wp:posOffset>
            </wp:positionV>
            <wp:extent cx="85725"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-162560</wp:posOffset>
            </wp:positionV>
            <wp:extent cx="85725"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-162560</wp:posOffset>
            </wp:positionV>
            <wp:extent cx="85725"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-162560</wp:posOffset>
            </wp:positionV>
            <wp:extent cx="76835"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-162560</wp:posOffset>
            </wp:positionV>
            <wp:extent cx="85725"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-162560</wp:posOffset>
            </wp:positionV>
            <wp:extent cx="8572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96"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Total revenues increased $17.7 million, or 12%, during the three months ended June 30, 2023 compared to the three months ended June 30, 2022 and increased $48.0 million, or 17%, during the six months ended June 30, 2023 compared to the six months ended June 30, 2022. The increase, which occurred in both our Marketplace and Resale segments, resulted primarily from an increase in new orders processed and an increase in average order size, which is calculated by dividing Marketplace GOV by Total Marketplace Orders. A porton of the increase was also atributable to negatve impacts in early 2022 from the Omicron variant of COVID-19 and other abnormally high cancellatons.</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0"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Marketplace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Marketplace revenues by event category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w w:val="90"/>
              </w:rPr>
              <w:t>Three Months Ended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w w:val="91"/>
              </w:rPr>
              <w:t>Six Months Ended June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 Change</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12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color w:val="auto"/>
              </w:rPr>
              <w:t>Concerts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77,741</w:t>
            </w:r>
          </w:p>
        </w:tc>
        <w:tc>
          <w:tcPr>
            <w:tcW w:w="4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65,816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11,925</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18 %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152,620</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124,489</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28,131</w:t>
            </w:r>
          </w:p>
        </w:tc>
        <w:tc>
          <w:tcPr>
            <w:tcW w:w="26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23 %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Sports</w:t>
            </w:r>
          </w:p>
        </w:tc>
        <w:tc>
          <w:tcPr>
            <w:tcW w:w="1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45,349</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51,285</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(5,936 )</w:t>
            </w:r>
          </w:p>
        </w:tc>
        <w:tc>
          <w:tcPr>
            <w:tcW w:w="9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(12 )%</w:t>
            </w:r>
          </w:p>
        </w:tc>
        <w:tc>
          <w:tcPr>
            <w:tcW w:w="18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90,949</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90,200</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749</w:t>
            </w:r>
          </w:p>
        </w:tc>
        <w:tc>
          <w:tcPr>
            <w:tcW w:w="26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color w:val="auto"/>
              </w:rPr>
              <w:t>Theater</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15,527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11,856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3,671</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31 %</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30,917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24,471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6,446</w:t>
            </w:r>
          </w:p>
        </w:tc>
        <w:tc>
          <w:tcPr>
            <w:tcW w:w="26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(424 )</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(44 )%</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1,245</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1,270</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(25 )</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Total Marketplace revenues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139,150</w:t>
            </w:r>
          </w:p>
        </w:tc>
        <w:tc>
          <w:tcPr>
            <w:tcW w:w="26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129,914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9,236</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7 %</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275,731</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240,430</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35,301</w:t>
            </w:r>
          </w:p>
        </w:tc>
        <w:tc>
          <w:tcPr>
            <w:tcW w:w="26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-161925</wp:posOffset>
            </wp:positionV>
            <wp:extent cx="85725"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-161925</wp:posOffset>
            </wp:positionV>
            <wp:extent cx="85725"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-161925</wp:posOffset>
            </wp:positionV>
            <wp:extent cx="85725"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-161925</wp:posOffset>
            </wp:positionV>
            <wp:extent cx="85725"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-161925</wp:posOffset>
            </wp:positionV>
            <wp:extent cx="85725"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-161925</wp:posOffset>
            </wp:positionV>
            <wp:extent cx="85725"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-161925</wp:posOffset>
            </wp:positionV>
            <wp:extent cx="76835"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-161925</wp:posOffset>
            </wp:positionV>
            <wp:extent cx="85725"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9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Marketplace revenues increased $9.2 million, or 7%, during the three months ended June 30, 2023 compared to the three months ended June 30, 2022 and increased $35.3 million, or 15%, during the six months ended June 30, 2023 compared to the six months ended June 30, 2022. The increase resulted from an increase in new orders processed and an increase in average order size, driven by increased revenues in our concert and theater categories. Record demand for the Taylor Swif “Eras” tour also contributed to the increase for both periods. A porton of the increase during the six months ended June 30, 2023 compared to the six months ended June 30, 2022 was also atributable to negatve impacts in early 2022 from the Omicron variant of COVID-19 and other abnormally high cancellatons.</w:t>
      </w:r>
    </w:p>
    <w:p>
      <w:pPr>
        <w:spacing w:after="0" w:line="125" w:lineRule="exact"/>
        <w:rPr>
          <w:sz w:val="20"/>
          <w:szCs w:val="20"/>
          <w:color w:val="auto"/>
        </w:rPr>
      </w:pPr>
    </w:p>
    <w:p>
      <w:pPr>
        <w:jc w:val="both"/>
        <w:ind w:right="20"/>
        <w:spacing w:after="0" w:line="303" w:lineRule="auto"/>
        <w:rPr>
          <w:sz w:val="20"/>
          <w:szCs w:val="20"/>
          <w:color w:val="auto"/>
        </w:rPr>
      </w:pPr>
      <w:r>
        <w:rPr>
          <w:rFonts w:ascii="Arial" w:cs="Arial" w:eastAsia="Arial" w:hAnsi="Arial"/>
          <w:sz w:val="17"/>
          <w:szCs w:val="17"/>
          <w:color w:val="auto"/>
        </w:rPr>
        <w:t>Total Marketplace orders increased 216,954, or 9%, during the three months ended June 30, 2023 compared to the three months ended June 30, 2022 and increased 473,004, or 11%, during the six months ended June 30, 2023 compared to the six months ended June 30, 2022.</w:t>
      </w:r>
    </w:p>
    <w:p>
      <w:pPr>
        <w:spacing w:after="0" w:line="73"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Cancellaton charges, which are recognized as a reducton of revenues, were $5.0 million for the three months ended June 30, 2023 compared to $5.0 million for the three months ended June 30, 2022, and $8.6 million for the six months ended June 30, 2023 compared to $21.0 million for the six months ended June 30, 2022. Cancellaton charges for the six months ended June 30, 2023 were lower than the six months ended June 30, 2022 due to negatve impacts in early 2022 from the Omicron variant of COVID-19 and other abnormally high cancellatons.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Marketplace revenues by business model consisted of the following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w w:val="91"/>
              </w:rPr>
              <w:t>Three Months Ended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w w:val="92"/>
              </w:rPr>
              <w:t>Six Months Ended June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Pr>
          <w:p>
            <w:pPr>
              <w:spacing w:after="0"/>
              <w:rPr>
                <w:sz w:val="7"/>
                <w:szCs w:val="7"/>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7"/>
              </w:rPr>
              <w:t>Change</w:t>
            </w:r>
          </w:p>
        </w:tc>
        <w:tc>
          <w:tcPr>
            <w:tcW w:w="260" w:type="dxa"/>
            <w:vAlign w:val="bottom"/>
          </w:tcPr>
          <w:p>
            <w:pPr>
              <w:spacing w:after="0"/>
              <w:rPr>
                <w:sz w:val="7"/>
                <w:szCs w:val="7"/>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
              <w:spacing w:after="0"/>
              <w:rPr>
                <w:sz w:val="20"/>
                <w:szCs w:val="20"/>
                <w:color w:val="auto"/>
              </w:rPr>
            </w:pPr>
            <w:r>
              <w:rPr>
                <w:rFonts w:ascii="Arial" w:cs="Arial" w:eastAsia="Arial" w:hAnsi="Arial"/>
                <w:sz w:val="14"/>
                <w:szCs w:val="14"/>
                <w:color w:val="auto"/>
              </w:rPr>
              <w:t>Owned Propertes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103,413</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98,564</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4,849</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5 %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206,228</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182,230</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23,998</w:t>
            </w:r>
          </w:p>
        </w:tc>
        <w:tc>
          <w:tcPr>
            <w:tcW w:w="1480" w:type="dxa"/>
            <w:vAlign w:val="bottom"/>
            <w:gridSpan w:val="3"/>
          </w:tcPr>
          <w:p>
            <w:pPr>
              <w:jc w:val="right"/>
              <w:ind w:right="20"/>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Private Label</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35,737</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31,350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4,387</w:t>
            </w:r>
          </w:p>
        </w:tc>
        <w:tc>
          <w:tcPr>
            <w:tcW w:w="2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14 %</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69,503</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58,200</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11,303</w:t>
            </w: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3"/>
        </w:trPr>
        <w:tc>
          <w:tcPr>
            <w:tcW w:w="2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Total Marketplace revenues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139,150</w:t>
            </w:r>
          </w:p>
        </w:tc>
        <w:tc>
          <w:tcPr>
            <w:tcW w:w="26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129,914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9,236</w:t>
            </w:r>
          </w:p>
        </w:tc>
        <w:tc>
          <w:tcPr>
            <w:tcW w:w="2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7 %</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275,731</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240,430</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35,301</w:t>
            </w:r>
          </w:p>
        </w:tc>
        <w:tc>
          <w:tcPr>
            <w:tcW w:w="14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15 %</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-162560</wp:posOffset>
            </wp:positionV>
            <wp:extent cx="76835"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-162560</wp:posOffset>
            </wp:positionV>
            <wp:extent cx="76835"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-162560</wp:posOffset>
            </wp:positionV>
            <wp:extent cx="85725"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-162560</wp:posOffset>
            </wp:positionV>
            <wp:extent cx="85725"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-162560</wp:posOffset>
            </wp:positionV>
            <wp:extent cx="85725"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-162560</wp:posOffset>
            </wp:positionV>
            <wp:extent cx="85725"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-162560</wp:posOffset>
            </wp:positionV>
            <wp:extent cx="85725"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-162560</wp:posOffset>
            </wp:positionV>
            <wp:extent cx="85725"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96" w:lineRule="exact"/>
        <w:rPr>
          <w:sz w:val="20"/>
          <w:szCs w:val="20"/>
          <w:color w:val="auto"/>
        </w:rPr>
      </w:pPr>
    </w:p>
    <w:p>
      <w:pPr>
        <w:jc w:val="both"/>
        <w:ind w:right="20"/>
        <w:spacing w:after="0" w:line="309" w:lineRule="auto"/>
        <w:rPr>
          <w:sz w:val="20"/>
          <w:szCs w:val="20"/>
          <w:color w:val="auto"/>
        </w:rPr>
      </w:pPr>
      <w:r>
        <w:rPr>
          <w:rFonts w:ascii="Arial" w:cs="Arial" w:eastAsia="Arial" w:hAnsi="Arial"/>
          <w:sz w:val="16"/>
          <w:szCs w:val="16"/>
          <w:color w:val="auto"/>
        </w:rPr>
        <w:t>The increase in revenue from Owned Propertes during the three and six months ended June 30, 2023 resulted from an increase in new orders processed and an increase in average order size. A porton of the increase during the six months ended June 30, 2023 compared to the six months ended June 30, 2022 was also atributable to negatve impacts in early 2022 from the Omicron variant of COVID-19 and other abnormally high cancellatons.</w:t>
      </w:r>
    </w:p>
    <w:p>
      <w:pPr>
        <w:spacing w:after="0" w:line="7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Within our Marketplace segment, we also earn referral fee revenue by ofering event tcket insurance to tcket buyers, using a third-party insurance provider. Our referral fee revenue was $7.4 million and $14.6 million during the three and six months ended June 30, 2023, respectvely, and $8.8 million and $18.3 million during the three and six months ended June 30, 2022, respectvely. The decrease for both periods was due to declining insurance atachment rates to orders following abnormally high rates during the height of the COVID-19 pandemic and following the resumpton of live events in 2021 and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2" w:right="319" w:bottom="1440" w:gutter="0" w:footer="0" w:header="0"/>
        </w:sectPr>
      </w:pPr>
    </w:p>
    <w:bookmarkStart w:id="33" w:name="page34"/>
    <w:bookmarkEnd w:id="33"/>
    <w:p>
      <w:pPr>
        <w:jc w:val="both"/>
        <w:spacing w:after="0" w:line="262" w:lineRule="auto"/>
        <w:rPr>
          <w:sz w:val="20"/>
          <w:szCs w:val="20"/>
          <w:color w:val="auto"/>
        </w:rPr>
      </w:pPr>
      <w:r>
        <w:rPr>
          <w:rFonts w:ascii="Arial" w:cs="Arial" w:eastAsia="Arial" w:hAnsi="Arial"/>
          <w:sz w:val="18"/>
          <w:szCs w:val="18"/>
          <w:color w:val="auto"/>
        </w:rPr>
        <w:t>Resale revenues increased $8.5 million, or 48%, during the three months ended June 30, 2023 compared to the three months ended June 30, 2022 and increased $12.7 million, or 33%, during the six months ended June 30, 2023 compared to the six months ended June 30 2022. The increase resulted primarily from higher order volume.</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Resale orders increased 9,540, or 13%, during the three months ended June 30, 2023 compared to the three months ended June 30, 2022 and increased 28,245, or 21%, during the six months ended June 30, 2023 compared to the six months ended June 30, 2022. Cancellaton charges, which are classifed as a reducton of revenues, negatvely impacted Resale revenue by $0.2 million and $0.7 million for the three and six months ended June 30, 2023, respectvely, compared to $0.4 million and $0.6 million for the three and six months ended June 30, 2022, respectvely, due to an increase in the reserve for future cancellatons.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 (exclusive of Depreciaton and Amortzaton)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cost of revenues by segment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w w:val="89"/>
              </w:rPr>
              <w:t>Three Months Ended June 30,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w w:val="92"/>
              </w:rPr>
              <w:t>Six Months Ended June 30,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2"/>
                <w:szCs w:val="2"/>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2"/>
                <w:szCs w:val="2"/>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Cost of revenues:</w:t>
            </w: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4"/>
                <w:szCs w:val="14"/>
                <w:color w:val="auto"/>
              </w:rPr>
              <w:t>Marketplace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22,766</w:t>
            </w:r>
          </w:p>
        </w:tc>
        <w:tc>
          <w:tcPr>
            <w:tcW w:w="5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18,553</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4,213</w:t>
            </w:r>
          </w:p>
        </w:tc>
        <w:tc>
          <w:tcPr>
            <w:tcW w:w="1540" w:type="dxa"/>
            <w:vAlign w:val="bottom"/>
            <w:gridSpan w:val="3"/>
          </w:tcPr>
          <w:p>
            <w:pPr>
              <w:jc w:val="right"/>
              <w:ind w:right="180"/>
              <w:spacing w:after="0"/>
              <w:rPr>
                <w:sz w:val="20"/>
                <w:szCs w:val="20"/>
                <w:color w:val="auto"/>
              </w:rPr>
            </w:pPr>
            <w:r>
              <w:rPr>
                <w:rFonts w:ascii="Arial" w:cs="Arial" w:eastAsia="Arial" w:hAnsi="Arial"/>
                <w:sz w:val="14"/>
                <w:szCs w:val="14"/>
                <w:color w:val="auto"/>
              </w:rPr>
              <w:t>23 %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42,826</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34,962</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7,864</w:t>
            </w:r>
          </w:p>
        </w:tc>
        <w:tc>
          <w:tcPr>
            <w:tcW w:w="1380" w:type="dxa"/>
            <w:vAlign w:val="bottom"/>
            <w:gridSpan w:val="3"/>
          </w:tcPr>
          <w:p>
            <w:pPr>
              <w:jc w:val="right"/>
              <w:ind w:right="20"/>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Resale</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19,850</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13,869</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5,981</w:t>
            </w:r>
          </w:p>
        </w:tc>
        <w:tc>
          <w:tcPr>
            <w:tcW w:w="2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43 %</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37,550</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29,624</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7,926</w:t>
            </w:r>
          </w:p>
        </w:tc>
        <w:tc>
          <w:tcPr>
            <w:tcW w:w="13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23"/>
        </w:trPr>
        <w:tc>
          <w:tcPr>
            <w:tcW w:w="1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00" w:type="dxa"/>
            <w:vAlign w:val="bottom"/>
          </w:tcPr>
          <w:p>
            <w:pPr>
              <w:ind w:left="20"/>
              <w:spacing w:after="0"/>
              <w:rPr>
                <w:sz w:val="20"/>
                <w:szCs w:val="20"/>
                <w:color w:val="auto"/>
              </w:rPr>
            </w:pPr>
            <w:r>
              <w:rPr>
                <w:rFonts w:ascii="Arial" w:cs="Arial" w:eastAsia="Arial" w:hAnsi="Arial"/>
                <w:sz w:val="14"/>
                <w:szCs w:val="14"/>
                <w:b w:val="1"/>
                <w:bCs w:val="1"/>
                <w:color w:val="auto"/>
              </w:rPr>
              <w:t>Total cost of revenues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42,616</w:t>
            </w:r>
          </w:p>
        </w:tc>
        <w:tc>
          <w:tcPr>
            <w:tcW w:w="3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32,422</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10,194</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31 %</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80,376</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64,586</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15,790</w:t>
            </w: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24 %</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-161925</wp:posOffset>
            </wp:positionV>
            <wp:extent cx="76835"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-161925</wp:posOffset>
            </wp:positionV>
            <wp:extent cx="85725"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-161925</wp:posOffset>
            </wp:positionV>
            <wp:extent cx="85725"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-161925</wp:posOffset>
            </wp:positionV>
            <wp:extent cx="85725"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-161925</wp:posOffset>
            </wp:positionV>
            <wp:extent cx="7747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-161925</wp:posOffset>
            </wp:positionV>
            <wp:extent cx="85725"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-161925</wp:posOffset>
            </wp:positionV>
            <wp:extent cx="7747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-161925</wp:posOffset>
            </wp:positionV>
            <wp:extent cx="85725"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cost of revenues increased $10.2 million, or 31%, for the three months ended June 30, 2023 compared to the three months ended June 30, 2022, and increased $15.8 million, or 24%, for the six months ended June 30, 2023 compared to the six months ended June 30, 2022. The increase was primarily driven by higher Marketplace GOV in our Marketplace segment and higher revenue in our Resale segment.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Marketplace cost of revenues increased $4.2 million, or 23%, for the three months ended June 30, 2023 compared to the three months ended June 30, 2022, and increased $7.9 million, or 22%, for the six months ended June 30, 2023 compared to the six months ended June 30, 2022. The increase was relatvely consistent with the increase in Marketplace GOV, which increased by 17% and 16% during the same respectve periods.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Resale cost of revenues increased $6.0 million, or 43%, for the three months ended June 30, 2023 compared to the three months ended June 30, 2022, and increased $7.9 million, or 27%, for the six months ended June 30, 2023 compared to the six months ended June 30, 2022. The increase was relatvely consistent with the increase in Resale revenues, which increased by 48% and 33% during the same respectve periods.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Marketng and Selling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marketng and selling expenses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5"/>
                <w:szCs w:val="15"/>
                <w:color w:val="auto"/>
              </w:rPr>
            </w:pPr>
          </w:p>
        </w:tc>
        <w:tc>
          <w:tcPr>
            <w:tcW w:w="194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w w:val="92"/>
              </w:rPr>
              <w:t>Three Months Ended June 30,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88"/>
              </w:rPr>
              <w:t>Six Months Ended June 30,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2"/>
                <w:szCs w:val="2"/>
                <w:color w:val="auto"/>
              </w:rPr>
            </w:pPr>
          </w:p>
        </w:tc>
        <w:tc>
          <w:tcPr>
            <w:tcW w:w="13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2"/>
                <w:szCs w:val="2"/>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Marketng and selling:</w:t>
            </w:r>
          </w:p>
        </w:tc>
        <w:tc>
          <w:tcPr>
            <w:tcW w:w="2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20"/>
              <w:spacing w:after="0"/>
              <w:rPr>
                <w:sz w:val="20"/>
                <w:szCs w:val="20"/>
                <w:color w:val="auto"/>
              </w:rPr>
            </w:pPr>
            <w:r>
              <w:rPr>
                <w:rFonts w:ascii="Arial" w:cs="Arial" w:eastAsia="Arial" w:hAnsi="Arial"/>
                <w:sz w:val="14"/>
                <w:szCs w:val="14"/>
                <w:color w:val="auto"/>
              </w:rPr>
              <w:t>Online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58,890</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54,820</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4,070</w:t>
            </w:r>
          </w:p>
        </w:tc>
        <w:tc>
          <w:tcPr>
            <w:tcW w:w="1620" w:type="dxa"/>
            <w:vAlign w:val="bottom"/>
            <w:gridSpan w:val="3"/>
          </w:tcPr>
          <w:p>
            <w:pPr>
              <w:jc w:val="right"/>
              <w:ind w:right="140"/>
              <w:spacing w:after="0"/>
              <w:rPr>
                <w:sz w:val="20"/>
                <w:szCs w:val="20"/>
                <w:color w:val="auto"/>
              </w:rPr>
            </w:pPr>
            <w:r>
              <w:rPr>
                <w:rFonts w:ascii="Arial" w:cs="Arial" w:eastAsia="Arial" w:hAnsi="Arial"/>
                <w:sz w:val="14"/>
                <w:szCs w:val="14"/>
                <w:color w:val="auto"/>
              </w:rPr>
              <w:t>7 %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107,998</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104,670</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3,328</w:t>
            </w:r>
          </w:p>
        </w:tc>
        <w:tc>
          <w:tcPr>
            <w:tcW w:w="1520" w:type="dxa"/>
            <w:vAlign w:val="bottom"/>
            <w:gridSpan w:val="3"/>
          </w:tcPr>
          <w:p>
            <w:pPr>
              <w:jc w:val="right"/>
              <w:ind w:right="20"/>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Ofine</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6,302</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4,592</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1,710</w:t>
            </w:r>
          </w:p>
        </w:tc>
        <w:tc>
          <w:tcPr>
            <w:tcW w:w="2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37 %</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11,966</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8,970</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2,996</w:t>
            </w:r>
          </w:p>
        </w:tc>
        <w:tc>
          <w:tcPr>
            <w:tcW w:w="15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23"/>
        </w:trPr>
        <w:tc>
          <w:tcPr>
            <w:tcW w:w="2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Total marketng and selling</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65,192</w:t>
            </w:r>
          </w:p>
        </w:tc>
        <w:tc>
          <w:tcPr>
            <w:tcW w:w="26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59,412</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5,780</w:t>
            </w:r>
          </w:p>
        </w:tc>
        <w:tc>
          <w:tcPr>
            <w:tcW w:w="26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119,964</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113,640</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6,324</w:t>
            </w:r>
          </w:p>
        </w:tc>
        <w:tc>
          <w:tcPr>
            <w:tcW w:w="1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-162560</wp:posOffset>
            </wp:positionV>
            <wp:extent cx="85725"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-162560</wp:posOffset>
            </wp:positionV>
            <wp:extent cx="85725"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-162560</wp:posOffset>
            </wp:positionV>
            <wp:extent cx="85725"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-162560</wp:posOffset>
            </wp:positionV>
            <wp:extent cx="85725"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-162560</wp:posOffset>
            </wp:positionV>
            <wp:extent cx="85725"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-162560</wp:posOffset>
            </wp:positionV>
            <wp:extent cx="85725"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85725" cy="163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-162560</wp:posOffset>
            </wp:positionV>
            <wp:extent cx="85725" cy="163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4" w:name="page35"/>
    <w:bookmarkEnd w:id="34"/>
    <w:p>
      <w:pPr>
        <w:jc w:val="both"/>
        <w:ind w:right="20"/>
        <w:spacing w:after="0" w:line="255" w:lineRule="auto"/>
        <w:rPr>
          <w:sz w:val="20"/>
          <w:szCs w:val="20"/>
          <w:color w:val="auto"/>
        </w:rPr>
      </w:pPr>
      <w:r>
        <w:rPr>
          <w:rFonts w:ascii="Arial" w:cs="Arial" w:eastAsia="Arial" w:hAnsi="Arial"/>
          <w:sz w:val="18"/>
          <w:szCs w:val="18"/>
          <w:color w:val="auto"/>
        </w:rPr>
        <w:t>Marketng and selling expenses, which are entrely atributable to our Marketplace segment, increased $5.8 million, or 10%, during the three months ended June 30, 2023 compared to the three months ended June 30, 2022, and increased $6.3 million, or 6%, during the six months ended June 30, 2023 compared to the six months ended June 30, 2022. The increase primarily resulted from greater spending on online advertsing, atributable to higher Marketplace GOV. Our spending on ofine advertsing increased by $1.7 million, or 37%, during the three months ended June 30, 2023 compared to the three months ended June 30, 2022, and increased $3.0 million, or 33%, during the six months ended June 30, 2023 compared to the six months ended June 30, 2022 due to increased brand awareness marketng eforts.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general and administratve expenses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5"/>
                <w:szCs w:val="15"/>
                <w:color w:val="auto"/>
              </w:rPr>
            </w:pPr>
          </w:p>
        </w:tc>
        <w:tc>
          <w:tcPr>
            <w:tcW w:w="190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w w:val="90"/>
              </w:rPr>
              <w:t>Three Months Ended June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88"/>
              </w:rPr>
              <w:t>Six Months Ended June 30,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Change</w:t>
            </w:r>
          </w:p>
        </w:tc>
        <w:tc>
          <w:tcPr>
            <w:tcW w:w="1420" w:type="dxa"/>
            <w:vAlign w:val="bottom"/>
            <w:gridSpan w:val="2"/>
            <w:vMerge w:val="restart"/>
          </w:tcPr>
          <w:p>
            <w:pPr>
              <w:jc w:val="right"/>
              <w:ind w:right="46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Change</w:t>
            </w:r>
          </w:p>
        </w:tc>
        <w:tc>
          <w:tcPr>
            <w:tcW w:w="13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General and administratve:</w:t>
            </w: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
              <w:spacing w:after="0"/>
              <w:rPr>
                <w:sz w:val="20"/>
                <w:szCs w:val="20"/>
                <w:color w:val="auto"/>
              </w:rPr>
            </w:pPr>
            <w:r>
              <w:rPr>
                <w:rFonts w:ascii="Arial" w:cs="Arial" w:eastAsia="Arial" w:hAnsi="Arial"/>
                <w:sz w:val="14"/>
                <w:szCs w:val="14"/>
                <w:color w:val="auto"/>
              </w:rPr>
              <w:t>Personnel expenses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26,360</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22,696</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3,664</w:t>
            </w:r>
          </w:p>
        </w:tc>
        <w:tc>
          <w:tcPr>
            <w:tcW w:w="260" w:type="dxa"/>
            <w:vAlign w:val="bottom"/>
          </w:tcPr>
          <w:p>
            <w:pPr>
              <w:spacing w:after="0"/>
              <w:rPr>
                <w:sz w:val="15"/>
                <w:szCs w:val="15"/>
                <w:color w:val="auto"/>
              </w:rPr>
            </w:pPr>
          </w:p>
        </w:tc>
        <w:tc>
          <w:tcPr>
            <w:tcW w:w="1420" w:type="dxa"/>
            <w:vAlign w:val="bottom"/>
            <w:gridSpan w:val="2"/>
          </w:tcPr>
          <w:p>
            <w:pPr>
              <w:jc w:val="right"/>
              <w:ind w:right="68"/>
              <w:spacing w:after="0"/>
              <w:rPr>
                <w:sz w:val="20"/>
                <w:szCs w:val="20"/>
                <w:color w:val="auto"/>
              </w:rPr>
            </w:pPr>
            <w:r>
              <w:rPr>
                <w:rFonts w:ascii="Arial" w:cs="Arial" w:eastAsia="Arial" w:hAnsi="Arial"/>
                <w:sz w:val="14"/>
                <w:szCs w:val="14"/>
                <w:color w:val="auto"/>
              </w:rPr>
              <w:t>16 %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51,051</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42,434</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8,617</w:t>
            </w:r>
          </w:p>
        </w:tc>
        <w:tc>
          <w:tcPr>
            <w:tcW w:w="24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Non-income tax expenses</w:t>
            </w: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498</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2,443</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(1,945 )</w:t>
            </w:r>
          </w:p>
        </w:tc>
        <w:tc>
          <w:tcPr>
            <w:tcW w:w="142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rPr>
              <w:t>(80 )%</w:t>
            </w:r>
          </w:p>
        </w:tc>
        <w:tc>
          <w:tcPr>
            <w:tcW w:w="1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954</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3,682</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(2,728 )</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(74 )%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11,449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11,068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381</w:t>
            </w:r>
          </w:p>
        </w:tc>
        <w:tc>
          <w:tcPr>
            <w:tcW w:w="260" w:type="dxa"/>
            <w:vAlign w:val="bottom"/>
          </w:tcPr>
          <w:p>
            <w:pPr>
              <w:spacing w:after="0"/>
              <w:rPr>
                <w:sz w:val="17"/>
                <w:szCs w:val="17"/>
                <w:color w:val="auto"/>
              </w:rPr>
            </w:pPr>
          </w:p>
        </w:tc>
        <w:tc>
          <w:tcPr>
            <w:tcW w:w="1420" w:type="dxa"/>
            <w:vAlign w:val="bottom"/>
            <w:gridSpan w:val="2"/>
          </w:tcPr>
          <w:p>
            <w:pPr>
              <w:jc w:val="right"/>
              <w:ind w:right="68"/>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18,691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19,366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(675 )</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w w:val="99"/>
              </w:rPr>
              <w:t>Total general and administratve</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38,307</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36,207</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2,100</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70,696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65,482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5,214</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-25400</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-7620</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-25400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-7620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-25400</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Total general and administratve expenses increased $2.1 million, or 6%, for the three months ended June 30, 2023 compared to the three months ended June 30, 2022, and increased $5.2 million, or 8%, for the six months ended June 30, 2023 compared to the six months ended June 30, 2022. The increase was primarily due to higher personnel expenses from higher employee headcount.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Depreciaton and Amortzaton</w:t>
      </w:r>
    </w:p>
    <w:p>
      <w:pPr>
        <w:spacing w:after="0" w:line="16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Depreciaton and amortzaton expenses increased $1.0 million, or 57%, during the three months ended June 30, 2023 compared to the three months ended June 30, 2022 and increased $2.2 million, or 70%, during the six months ended June 30, 2023 compared to the six months ended June 30, 2022. The increase was primarily related to an increase in development actvites related to our platorm and the intangibles acquired as part of our acquisiton of Betcha (which was rebranded as "Vivid Picks").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Contngent Consideraton</w:t>
      </w:r>
    </w:p>
    <w:p>
      <w:pPr>
        <w:spacing w:after="0" w:line="146"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Change in fair value of contngent consideraton was $1.1 million and $1.0 million during the three and six months ended June 30, 2023, respectvely, due to the fair value remeasurement of cash earnouts.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 net</w:t>
      </w:r>
    </w:p>
    <w:p>
      <w:pPr>
        <w:spacing w:after="0" w:line="144" w:lineRule="exact"/>
        <w:rPr>
          <w:sz w:val="20"/>
          <w:szCs w:val="20"/>
          <w:color w:val="auto"/>
        </w:rPr>
      </w:pPr>
    </w:p>
    <w:p>
      <w:pPr>
        <w:jc w:val="both"/>
        <w:ind w:right="20"/>
        <w:spacing w:after="0" w:line="309" w:lineRule="auto"/>
        <w:rPr>
          <w:sz w:val="20"/>
          <w:szCs w:val="20"/>
          <w:color w:val="auto"/>
        </w:rPr>
      </w:pPr>
      <w:r>
        <w:rPr>
          <w:rFonts w:ascii="Arial" w:cs="Arial" w:eastAsia="Arial" w:hAnsi="Arial"/>
          <w:sz w:val="16"/>
          <w:szCs w:val="16"/>
          <w:color w:val="auto"/>
        </w:rPr>
        <w:t>Interest expense increased $0.1 million, or 3%, for the three months ended June 30, 2023 compared to the three months ended June 30, 2022 and decreased $0.6 million, or 9%, for the six months ended June 30, 2023 compared to the six months ended June 30, 2022. We reduced our outstanding debt balance and efectve interest rate on February 3, 2022 when we refnanced the June 2017 First Lien Loan with the February 2022 First Lien Loan.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extnguishment of debt</w:t>
      </w:r>
    </w:p>
    <w:p>
      <w:pPr>
        <w:spacing w:after="0" w:line="158"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Loss on extnguishment of debt was $4.3 million during the six months ended June 30, 2022 due to the refnancing of the June 2017 First Lien Loan with the February 2022 First Lien Loan. There was no loss on extnguishment of debt for the six months ended June 30, 2023.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2" w:right="319" w:bottom="1440" w:gutter="0" w:footer="0" w:header="0"/>
        </w:sectPr>
      </w:pPr>
    </w:p>
    <w:bookmarkStart w:id="35" w:name="page36"/>
    <w:bookmarkEnd w:id="35"/>
    <w:p>
      <w:pPr>
        <w:jc w:val="both"/>
        <w:spacing w:after="0" w:line="262" w:lineRule="auto"/>
        <w:rPr>
          <w:sz w:val="20"/>
          <w:szCs w:val="20"/>
          <w:color w:val="auto"/>
        </w:rPr>
      </w:pPr>
      <w:r>
        <w:rPr>
          <w:rFonts w:ascii="Arial" w:cs="Arial" w:eastAsia="Arial" w:hAnsi="Arial"/>
          <w:sz w:val="18"/>
          <w:szCs w:val="18"/>
          <w:color w:val="auto"/>
        </w:rPr>
        <w:t>Other (income) expense increased $9.8 million, or 111%, for the three months ended June 30, 2023 compared to the three months ended June 30, 2022 and increased $7.2 million, or 110%, for the six months ended June 30, 2023 compared to the six months ended June 30, 2022. The increase was primarily due to the fair value remeasurement of the Hoya Intermediate Warrants.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(beneft)</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Income tax beneft was $24.5 million and $24.2 million during the three and six months ended June 30, 2023, respectvely, largely due to the release of our previously recorded valuaton allowance on our U.S. tax atribute carryforward deferred tax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historically fnanced our operatons primarily through cash generated from our operatng actvites. Our primary short-term requirements for liquidity and capital are to fund general working capital, capital expenditures, and debt service requirements. Our primary long-term liquidity needs are related to debt repayment and potental acquisitons.</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primary source of funds is cash generated from operatons. Our existng cash and cash equivalents are sufcient to fund our liquidity needs for the next 12 months. As of June 30, 2023, we had $306.2 million of cash and cash equivalents, which consist of interest-bearing deposit accounts, money market accounts managed by fnancial insttutons, and highly liquid investments with maturites of three months or less. For the six months ended June 30, 2023, we generated positve cash fows from our operatng actvites.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had an outstanding loan balance of $465.7 million under the June 2017 First Lien Loan as of December 31, 2021. In the frst quarter of 2022, we repaid $190.7 million of the outstanding balance of the June 2017 First Lien Loan. On February 3, 2022, we entered into an amendment which refnanced the remaining balance of the June 2017 First Lien Loan with a new $275.0 million February 2022 First Lien Loan with a maturity date of February 3, 2029, and added a new $100.0 million Revolving Facility with a maturity date of February 3, 2027. The terms of the February 2022 First Lien Loan specify a SOFR-based foatng interest rate and contain a springing fnancial covenant that requires compliance with a frst lien net leverage rato when revolver borrowings exceed certain levels. All obligatons under the February 2022 First Lien Loan are unconditonally guaranteed by Hoya Intermediate and substantally all of Hoya Intermediate’s existng and future direct and indirect wholly owned domestc subsidiaries. The February 2022 First Lien Loan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(subject to a 0.5% foor) plus 3.25%.</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As of June 30, 2023, we are only party to one credit facility, the February 2022 First Lien Loan. At June 30, 2023, we had no outstanding borrowings under our Revolving Facility.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May 25, 2022, our Board authorized the Repurchase Program. The Repurchase Program was announced on May 26, 2022 and its authorizaton was fully utlized during 2022 and during the three months ended March 31, 2023. Cumulatvely under the Repurchase Program, we repurchased 5.3 million shares of our Class A common stock for $40.0 million and paid $0.1 million in commissions. The share repurchases are accounted for as Treasury stock in the Condensed Consolidated Balance Sheets. We made no share repurchases during the three months ended June 30, 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Distributons to non-controlling interests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Per its Limited Liability Company Agreement, Hoya Intermediate is required to make pro-rata tax distributons to its members, of which $7.2 million and $11.0 million was distributed to non-controlling interests in the three and six months ended June 30, 2023, respectvely.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Tax Receivable Agreement</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connecton with the Merger Transacton, we entered into a Tax Receivable Agreement with the existng Hoya Intermediate shareholders that provides for our payment to such shareholders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Tax Receivable Agreement.</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conjuncton with the Secondary Ofering, Hoya Topco exchanged Intermediate Units, and as a result, we recorded a liability of $99.0 million and a deferred tax asset of $52.8 million related to the Secondary Ofering as well as the projected payments under the Tax Receivable Agreement, with a corresponding reducton to additonal paid-in capital of $46.1 million. Tax Receivable Agreement-related liabilites are classifed as current or long-term based on the expected date of payment. As of June 30, 2023, there are no amounts due within 12 months and, therefore, the entre liability is included in Tax Receivable Agreement liability within long-term liabilites in the Condensed Consolidated Balance Sheets.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63"/>
        </w:trPr>
        <w:tc>
          <w:tcPr>
            <w:tcW w:w="7640" w:type="dxa"/>
            <w:vAlign w:val="bottom"/>
          </w:tcPr>
          <w:p>
            <w:pPr>
              <w:spacing w:after="0"/>
              <w:rPr>
                <w:sz w:val="20"/>
                <w:szCs w:val="20"/>
                <w:color w:val="auto"/>
              </w:rPr>
            </w:pPr>
            <w:r>
              <w:rPr>
                <w:rFonts w:ascii="Arial" w:cs="Arial" w:eastAsia="Arial" w:hAnsi="Arial"/>
                <w:sz w:val="18"/>
                <w:szCs w:val="18"/>
                <w:color w:val="auto"/>
              </w:rPr>
              <w:t>The following table summarizes our cash fows (in thousands):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2"/>
        </w:trPr>
        <w:tc>
          <w:tcPr>
            <w:tcW w:w="7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1"/>
        </w:trPr>
        <w:tc>
          <w:tcPr>
            <w:tcW w:w="7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3"/>
        </w:trPr>
        <w:tc>
          <w:tcPr>
            <w:tcW w:w="7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76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Pr>
          <w:p>
            <w:pPr>
              <w:spacing w:after="0"/>
              <w:rPr>
                <w:sz w:val="20"/>
                <w:szCs w:val="20"/>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operatng actvites</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82,670</w:t>
            </w: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140" w:type="dxa"/>
            <w:vAlign w:val="bottom"/>
            <w:shd w:val="clear" w:color="auto" w:fill="CFF0FC"/>
          </w:tcPr>
          <w:p>
            <w:pPr>
              <w:spacing w:after="0"/>
              <w:rPr>
                <w:sz w:val="21"/>
                <w:szCs w:val="21"/>
                <w:color w:val="auto"/>
              </w:rPr>
            </w:pPr>
          </w:p>
        </w:tc>
      </w:tr>
      <w:tr>
        <w:trPr>
          <w:trHeight w:val="235"/>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investng actvites</w:t>
            </w:r>
          </w:p>
        </w:tc>
        <w:tc>
          <w:tcPr>
            <w:tcW w:w="9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(5,583 )</w:t>
            </w:r>
          </w:p>
        </w:tc>
        <w:tc>
          <w:tcPr>
            <w:tcW w:w="5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(6,931 )</w:t>
            </w: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fnancing actvites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88"/>
              </w:rPr>
              <w:t>(22,503 )</w:t>
            </w:r>
          </w:p>
        </w:tc>
        <w:tc>
          <w:tcPr>
            <w:tcW w:w="5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(196,255 )</w:t>
            </w:r>
          </w:p>
        </w:tc>
      </w:tr>
      <w:tr>
        <w:trPr>
          <w:trHeight w:val="22"/>
        </w:trPr>
        <w:tc>
          <w:tcPr>
            <w:tcW w:w="76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60" w:type="dxa"/>
            <w:vAlign w:val="bottom"/>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54,584</w:t>
            </w:r>
          </w:p>
        </w:tc>
        <w:tc>
          <w:tcPr>
            <w:tcW w:w="36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(201,780 )</w:t>
            </w:r>
          </w:p>
        </w:tc>
      </w:tr>
      <w:tr>
        <w:trPr>
          <w:trHeight w:val="20"/>
        </w:trPr>
        <w:tc>
          <w:tcPr>
            <w:tcW w:w="7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Operatng Actvites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operatng actvites was $82.7 million for the six months ended June 30, 2023 due to $68.6 million in net income, non-cash charges of $5.9 million, and net cash infows from a $20.0 million change in net operatng assets. The net cash infows from the change in our net operatng assets were primarily due to seasonal fuctuatons in accounts payable.</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operatng actvites was $1.4 million for the six months ended June 30, 2022 due to $27.2 million in net income, non-cash charges of $11.5 million, and net cash outlows from a $37.3 million change in net operatng assets. The net cash outlows from the change in our net operatng assets were primarily due to the increase in operatons as COVID-19 mitgaton measures eased.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Investng Actvites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Net cash used in investng actvites was $5.6 million and $6.9 million for the six months ended June 30, 2023 and 2022, respectvely, which was primarily related to capital spending on development actvites related to our platorm.</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Cash Used in Financing Actvites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Net cash used in fnancing actvites was $22.5 million for the six months ended June 30, 2023, which was primarily related to our Repurchase Program and tax distributons to non-controlling interest.</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Net cash used in fnancing actvites was $196.3 million for the six months ended June 30, 2022, which was due to the repayment of the June 2017 First Lien Loan in connecton with the refnancing.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Critcal Accountng Policies and Estmates</w:t>
      </w:r>
    </w:p>
    <w:p>
      <w:pPr>
        <w:spacing w:after="0" w:line="14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Accountng policies and estmates are considered critcal when they require management to make subjectve and complex judgments, estmates and assumptons about maters that have a material impact on the presentaton of our fnancial statements and accompanying notes. For a descripton of our critcal accountng policies and estmates, refer to the “Critcal Accountng Policies and Estmates” secton of our 2022 Form 10-K. During the six months ended June 30, 2023, there were no material changes to our critcal accountng policies from those discussed in our 2022 Form 10-K.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Accountng Pronouncements</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New Accountng Standards</w:t>
      </w:r>
      <w:r>
        <w:rPr>
          <w:rFonts w:ascii="Arial" w:cs="Arial" w:eastAsia="Arial" w:hAnsi="Arial"/>
          <w:sz w:val="18"/>
          <w:szCs w:val="18"/>
          <w:color w:val="auto"/>
        </w:rPr>
        <w:t>, in the notes to our unaudited condensed consolidated fnancial statements included elsewhere in this Report for a descripton of recently adopted accountng pronouncements and issued accountng pronouncements not yet adopted.</w:t>
      </w:r>
    </w:p>
    <w:p>
      <w:pPr>
        <w:spacing w:after="0" w:line="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3. Quanttatve and Qualitatve Disclosures about Market Risk</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 risk is the potental loss from adverse changes in interest rates, foreign exchange rates, and market prices. Our primary market risk is interest rate risk associated with our long-term debt. We manage our exposure to this risk through established policies and procedures. Our objectve is to mitgate potental income statement, cash fow, and market exposures from changes in interest rates.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market risk is afected by changes in interest rates. We maintain foatng-rate debt that bears interest based on market rates plus an applicable spread. Because our interest rate is ted to market rates, we will be susceptble to fuctuatons in interest rates if we do not hedge the interest rate exposure arising from our foatng-rate borrowings. A hypothetcal 1% change in interest rates, assuming rates are above our interest rate foor, would change our interest expense by $1.4 million based on amounts outstanding under the February 2022 First Lien Loan during the six months ended June 30, 2023.</w:t>
      </w:r>
    </w:p>
    <w:p>
      <w:pPr>
        <w:spacing w:after="0" w:line="12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Limitatons on Efectveness of Disclosure Controls and Procedures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designing and evaluatng our disclosure controls and procedures, management recognizes that any controls and procedures, no mater how well designed and operated, can provide only reasonable assurance of achieving the desired control objectves. In additon, the design of disclosure controls and procedures must refect the fact that there are resource constraints and that management is required to apply judgment in evaluatng the benefts of possible controls and procedures relatve to their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Evaluaton of Disclosure Controls and Procedures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Disclosure controls and procedures (as defned in Rules 13a-15(e) and 15d-15(e) under the Exchange Act) are designed to ensure that informaton required to be disclosed in reports fled or submited under the Exchange Act is recorded, processed, summarized, and reported within the tme periods specifed in the SEC's rules and forms, and that such informaton is accumulated and communicated to management, including our principal executve ofcer and principal fnancial ofcer, to allow tmely decisions regarding required disclosures.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jc w:val="both"/>
        <w:spacing w:after="0" w:line="278" w:lineRule="auto"/>
        <w:rPr>
          <w:sz w:val="20"/>
          <w:szCs w:val="20"/>
          <w:color w:val="auto"/>
        </w:rPr>
      </w:pPr>
      <w:r>
        <w:rPr>
          <w:rFonts w:ascii="Arial" w:cs="Arial" w:eastAsia="Arial" w:hAnsi="Arial"/>
          <w:sz w:val="17"/>
          <w:szCs w:val="17"/>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Report. Based on such evaluaton, our principal executve ofcer and principal fnancial ofcer have concluded that our disclosure controls and procedures were not efectve at reasonable assurance levels as of June 30, 2023 due to the reasons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connecton with the audit of our consolidated fnancial statements as of December 31, 2022, we identfed a material weakness in our internal control over fnancial reportng related to the implementaton of segregaton of dutes as part of our control actvites, the establishment of clearly defned roles within our fnance and accountng functons and the number of personnel in our fnance and accountng functons with an appropriate level of technical accountng and SEC reportng experience, which in the aggregate, consttute a material weakness.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Remediaton Actvites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our plan to remediate the material weakness described above, we are performing a full review of our internal control procedures. We have implemented, and plan to contnue to implement, new controls and processes. We have hired, and plan to contnue to hire, additonal qualifed personnel and establish more robust processes to support our internal control over fnancial reportng, including clearly defned roles and responsibilites and appropriate segregaton of dutes. During the three months ended June 30, 2023, we contnued to make progress in our remediaton of the material weakness. While progress has been made to enhance our internal control, additonal tme is required to complete implementaton and to assess and ensure the sustainability of these controls. The material weakness will not be considered remediated untl the applicable controls operate for a sufcient period of tme and management has concluded, through testng, that these controls are operatng efectvely.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Reportng</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There were no changes in our internal control over fnancial reportng (as defned in Rules 13a-15(f) and 15d-15(f) under the Exchange Act) during the three months ended June 30, 2023 that have materially afected, or are reasonably likely to materially afect, our internal control over fnancial reportng.</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Commitments and Contngencies</w:t>
      </w:r>
      <w:r>
        <w:rPr>
          <w:rFonts w:ascii="Arial" w:cs="Arial" w:eastAsia="Arial" w:hAnsi="Arial"/>
          <w:sz w:val="18"/>
          <w:szCs w:val="18"/>
          <w:color w:val="auto"/>
        </w:rPr>
        <w:t>, in the notes to our unaudited condensed consolidated fnancial statements included elsewhere in this Report.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additon to the other informaton set forth in this Report, you should carefully consider the factors discussed in the “Risk Factors” secton of our 2022 Form 10-K. These factors could materially adversely afect our business, fnancial conditon, liquidity, results of operatons and capital positon, and could cause our actual results to difer materially from our historical results or the results contemplated by any forward-looking statements contained in this Report. There have been no material changes from the risk factors disclosed in our 2022 Form 10-K.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Item 5. Other Informaton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Arrangements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During the three months ended June 30, 2023, none of our directors or ofcers adopted or terminated any “Rule 10b5-1 trading arrangement” or “non-Rule 10b5-1 trading arrangement” (as each term is defned in Item 408 of Regulaton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1"/>
        </w:trPr>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17"/>
          </w:tcPr>
          <w:p>
            <w:pPr>
              <w:jc w:val="center"/>
              <w:ind w:right="90"/>
              <w:spacing w:after="0"/>
              <w:rPr>
                <w:sz w:val="20"/>
                <w:szCs w:val="20"/>
                <w:color w:val="auto"/>
              </w:rPr>
            </w:pPr>
            <w:r>
              <w:rPr>
                <w:rFonts w:ascii="Arial" w:cs="Arial" w:eastAsia="Arial" w:hAnsi="Arial"/>
                <w:sz w:val="18"/>
                <w:szCs w:val="18"/>
                <w:b w:val="1"/>
                <w:bCs w:val="1"/>
                <w:color w:val="auto"/>
                <w:w w:val="87"/>
              </w:rPr>
              <w:t>Item 6. Exhibits</w:t>
            </w: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3"/>
          </w:tcPr>
          <w:p>
            <w:pPr>
              <w:ind w:left="700"/>
              <w:spacing w:after="0"/>
              <w:rPr>
                <w:sz w:val="20"/>
                <w:szCs w:val="20"/>
                <w:color w:val="auto"/>
              </w:rPr>
            </w:pPr>
            <w:r>
              <w:rPr>
                <w:rFonts w:ascii="Arial" w:cs="Arial" w:eastAsia="Arial" w:hAnsi="Arial"/>
                <w:sz w:val="18"/>
                <w:szCs w:val="18"/>
                <w:b w:val="1"/>
                <w:bCs w:val="1"/>
                <w:color w:val="auto"/>
              </w:rPr>
              <w:t>Incorporated by Reference</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9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50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540" w:type="dxa"/>
            <w:vAlign w:val="bottom"/>
            <w:gridSpan w:val="21"/>
            <w:vMerge w:val="restart"/>
          </w:tcPr>
          <w:p>
            <w:pPr>
              <w:ind w:left="300"/>
              <w:spacing w:after="0"/>
              <w:rPr>
                <w:sz w:val="20"/>
                <w:szCs w:val="20"/>
                <w:color w:val="auto"/>
              </w:rPr>
            </w:pPr>
            <w:r>
              <w:rPr>
                <w:rFonts w:ascii="Arial" w:cs="Arial" w:eastAsia="Arial" w:hAnsi="Arial"/>
                <w:sz w:val="18"/>
                <w:szCs w:val="18"/>
                <w:b w:val="1"/>
                <w:bCs w:val="1"/>
                <w:color w:val="auto"/>
              </w:rPr>
              <w:t>Descripton</w:t>
            </w: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Filed / Furnished</w:t>
            </w: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540" w:type="dxa"/>
            <w:vAlign w:val="bottom"/>
            <w:gridSpan w:val="21"/>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ind w:left="320"/>
              <w:spacing w:after="0" w:line="189" w:lineRule="exact"/>
              <w:rPr>
                <w:sz w:val="20"/>
                <w:szCs w:val="20"/>
                <w:color w:val="auto"/>
              </w:rPr>
            </w:pPr>
            <w:r>
              <w:rPr>
                <w:rFonts w:ascii="Arial" w:cs="Arial" w:eastAsia="Arial" w:hAnsi="Arial"/>
                <w:sz w:val="18"/>
                <w:szCs w:val="18"/>
                <w:b w:val="1"/>
                <w:bCs w:val="1"/>
                <w:color w:val="auto"/>
              </w:rPr>
              <w:t>Form</w:t>
            </w:r>
          </w:p>
        </w:tc>
        <w:tc>
          <w:tcPr>
            <w:tcW w:w="1060" w:type="dxa"/>
            <w:vAlign w:val="bottom"/>
          </w:tcPr>
          <w:p>
            <w:pPr>
              <w:ind w:left="420"/>
              <w:spacing w:after="0" w:line="189" w:lineRule="exact"/>
              <w:rPr>
                <w:sz w:val="20"/>
                <w:szCs w:val="20"/>
                <w:color w:val="auto"/>
              </w:rPr>
            </w:pPr>
            <w:r>
              <w:rPr>
                <w:rFonts w:ascii="Arial" w:cs="Arial" w:eastAsia="Arial" w:hAnsi="Arial"/>
                <w:sz w:val="18"/>
                <w:szCs w:val="18"/>
                <w:b w:val="1"/>
                <w:bCs w:val="1"/>
                <w:color w:val="auto"/>
              </w:rPr>
              <w:t>Exhibit</w:t>
            </w:r>
          </w:p>
        </w:tc>
        <w:tc>
          <w:tcPr>
            <w:tcW w:w="1440" w:type="dxa"/>
            <w:vAlign w:val="bottom"/>
          </w:tcPr>
          <w:p>
            <w:pPr>
              <w:ind w:left="380"/>
              <w:spacing w:after="0" w:line="189" w:lineRule="exact"/>
              <w:rPr>
                <w:sz w:val="20"/>
                <w:szCs w:val="20"/>
                <w:color w:val="auto"/>
              </w:rPr>
            </w:pPr>
            <w:r>
              <w:rPr>
                <w:rFonts w:ascii="Arial" w:cs="Arial" w:eastAsia="Arial" w:hAnsi="Arial"/>
                <w:sz w:val="18"/>
                <w:szCs w:val="18"/>
                <w:b w:val="1"/>
                <w:bCs w:val="1"/>
                <w:color w:val="auto"/>
              </w:rPr>
              <w:t>Filing Date</w:t>
            </w:r>
          </w:p>
        </w:tc>
        <w:tc>
          <w:tcPr>
            <w:tcW w:w="130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9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Number</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00" w:type="dxa"/>
            <w:vAlign w:val="bottom"/>
          </w:tcPr>
          <w:p>
            <w:pPr>
              <w:ind w:left="20"/>
              <w:spacing w:after="0" w:line="169" w:lineRule="exact"/>
              <w:rPr>
                <w:sz w:val="20"/>
                <w:szCs w:val="20"/>
                <w:color w:val="auto"/>
              </w:rPr>
            </w:pPr>
            <w:r>
              <w:rPr>
                <w:rFonts w:ascii="Arial" w:cs="Arial" w:eastAsia="Arial" w:hAnsi="Arial"/>
                <w:sz w:val="18"/>
                <w:szCs w:val="18"/>
                <w:color w:val="auto"/>
              </w:rPr>
              <w:t>2.1</w:t>
            </w:r>
          </w:p>
        </w:tc>
        <w:tc>
          <w:tcPr>
            <w:tcW w:w="3280" w:type="dxa"/>
            <w:vAlign w:val="bottom"/>
            <w:tcBorders>
              <w:bottom w:val="single" w:sz="8" w:color="0000FF"/>
            </w:tcBorders>
            <w:gridSpan w:val="16"/>
          </w:tcPr>
          <w:p>
            <w:pPr>
              <w:spacing w:after="0" w:line="169" w:lineRule="exact"/>
              <w:rPr>
                <w:rFonts w:ascii="Arial" w:cs="Arial" w:eastAsia="Arial" w:hAnsi="Arial"/>
                <w:sz w:val="18"/>
                <w:szCs w:val="18"/>
                <w:color w:val="0000FF"/>
                <w:w w:val="93"/>
              </w:rPr>
            </w:pPr>
            <w:hyperlink r:id="rId259">
              <w:r>
                <w:rPr>
                  <w:rFonts w:ascii="Arial" w:cs="Arial" w:eastAsia="Arial" w:hAnsi="Arial"/>
                  <w:sz w:val="18"/>
                  <w:szCs w:val="18"/>
                  <w:color w:val="0000FF"/>
                  <w:w w:val="93"/>
                </w:rPr>
                <w:t>Transacton Agreement dated April 21, 2021</w:t>
              </w:r>
            </w:hyperlink>
          </w:p>
        </w:tc>
        <w:tc>
          <w:tcPr>
            <w:tcW w:w="38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S-4</w:t>
            </w:r>
          </w:p>
        </w:tc>
        <w:tc>
          <w:tcPr>
            <w:tcW w:w="1060" w:type="dxa"/>
            <w:vAlign w:val="bottom"/>
          </w:tcPr>
          <w:p>
            <w:pPr>
              <w:ind w:left="180"/>
              <w:spacing w:after="0" w:line="169" w:lineRule="exact"/>
              <w:rPr>
                <w:sz w:val="20"/>
                <w:szCs w:val="20"/>
                <w:color w:val="auto"/>
              </w:rPr>
            </w:pPr>
            <w:r>
              <w:rPr>
                <w:rFonts w:ascii="Arial" w:cs="Arial" w:eastAsia="Arial" w:hAnsi="Arial"/>
                <w:sz w:val="18"/>
                <w:szCs w:val="18"/>
                <w:color w:val="auto"/>
              </w:rPr>
              <w:t>2.1</w:t>
            </w:r>
          </w:p>
        </w:tc>
        <w:tc>
          <w:tcPr>
            <w:tcW w:w="1440" w:type="dxa"/>
            <w:vAlign w:val="bottom"/>
          </w:tcPr>
          <w:p>
            <w:pPr>
              <w:ind w:left="120"/>
              <w:spacing w:after="0" w:line="169" w:lineRule="exact"/>
              <w:rPr>
                <w:sz w:val="20"/>
                <w:szCs w:val="20"/>
                <w:color w:val="auto"/>
              </w:rPr>
            </w:pPr>
            <w:r>
              <w:rPr>
                <w:rFonts w:ascii="Arial" w:cs="Arial" w:eastAsia="Arial" w:hAnsi="Arial"/>
                <w:sz w:val="18"/>
                <w:szCs w:val="18"/>
                <w:color w:val="auto"/>
              </w:rPr>
              <w:t>5/28/2021</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Borders>
              <w:bottom w:val="single" w:sz="8" w:color="0000FF"/>
            </w:tcBorders>
            <w:gridSpan w:val="24"/>
          </w:tcPr>
          <w:p>
            <w:pPr>
              <w:spacing w:after="0" w:line="196" w:lineRule="exact"/>
              <w:rPr>
                <w:rFonts w:ascii="Arial" w:cs="Arial" w:eastAsia="Arial" w:hAnsi="Arial"/>
                <w:sz w:val="18"/>
                <w:szCs w:val="18"/>
                <w:color w:val="0000FF"/>
                <w:w w:val="94"/>
              </w:rPr>
            </w:pPr>
            <w:hyperlink r:id="rId259">
              <w:r>
                <w:rPr>
                  <w:rFonts w:ascii="Arial" w:cs="Arial" w:eastAsia="Arial" w:hAnsi="Arial"/>
                  <w:sz w:val="18"/>
                  <w:szCs w:val="18"/>
                  <w:color w:val="0000FF"/>
                  <w:w w:val="94"/>
                </w:rPr>
                <w:t>among Horizon Acquisiton Corporaton, Horizon</w:t>
              </w:r>
            </w:hyperlink>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60" w:type="dxa"/>
            <w:vAlign w:val="bottom"/>
            <w:tcBorders>
              <w:bottom w:val="single" w:sz="8" w:color="0000FF"/>
            </w:tcBorders>
            <w:gridSpan w:val="26"/>
          </w:tcPr>
          <w:p>
            <w:pPr>
              <w:spacing w:after="0" w:line="196" w:lineRule="exact"/>
              <w:rPr>
                <w:rFonts w:ascii="Arial" w:cs="Arial" w:eastAsia="Arial" w:hAnsi="Arial"/>
                <w:sz w:val="18"/>
                <w:szCs w:val="18"/>
                <w:color w:val="0000FF"/>
                <w:w w:val="86"/>
              </w:rPr>
            </w:pPr>
            <w:hyperlink r:id="rId259">
              <w:r>
                <w:rPr>
                  <w:rFonts w:ascii="Arial" w:cs="Arial" w:eastAsia="Arial" w:hAnsi="Arial"/>
                  <w:sz w:val="18"/>
                  <w:szCs w:val="18"/>
                  <w:color w:val="0000FF"/>
                  <w:w w:val="86"/>
                </w:rPr>
                <w:t>Sponsor, LLC, Hoya Topco, LLC, Hoya Intermediate,</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tcBorders>
              <w:bottom w:val="single" w:sz="8" w:color="0000FF"/>
            </w:tcBorders>
            <w:gridSpan w:val="6"/>
          </w:tcPr>
          <w:p>
            <w:pPr>
              <w:spacing w:after="0" w:line="196" w:lineRule="exact"/>
              <w:rPr>
                <w:rFonts w:ascii="Arial" w:cs="Arial" w:eastAsia="Arial" w:hAnsi="Arial"/>
                <w:sz w:val="18"/>
                <w:szCs w:val="18"/>
                <w:color w:val="0000FF"/>
                <w:w w:val="85"/>
              </w:rPr>
            </w:pPr>
            <w:hyperlink r:id="rId259">
              <w:r>
                <w:rPr>
                  <w:rFonts w:ascii="Arial" w:cs="Arial" w:eastAsia="Arial" w:hAnsi="Arial"/>
                  <w:sz w:val="18"/>
                  <w:szCs w:val="18"/>
                  <w:color w:val="0000FF"/>
                  <w:w w:val="85"/>
                </w:rPr>
                <w:t>LLC and Vivid Seats Inc.</w:t>
              </w:r>
            </w:hyperlink>
          </w:p>
        </w:tc>
        <w:tc>
          <w:tcPr>
            <w:tcW w:w="40" w:type="dxa"/>
            <w:vAlign w:val="bottom"/>
            <w:tcBorders>
              <w:bottom w:val="single" w:sz="8" w:color="0000EE"/>
            </w:tcBorders>
          </w:tcPr>
          <w:p>
            <w:pPr>
              <w:spacing w:after="0"/>
              <w:rPr>
                <w:sz w:val="17"/>
                <w:szCs w:val="17"/>
                <w:color w:val="auto"/>
              </w:rPr>
            </w:pPr>
          </w:p>
        </w:tc>
        <w:tc>
          <w:tcPr>
            <w:tcW w:w="19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2.2</w:t>
            </w:r>
          </w:p>
        </w:tc>
        <w:tc>
          <w:tcPr>
            <w:tcW w:w="4620" w:type="dxa"/>
            <w:vAlign w:val="bottom"/>
            <w:gridSpan w:val="30"/>
          </w:tcPr>
          <w:p>
            <w:pPr>
              <w:spacing w:after="0"/>
              <w:rPr>
                <w:rFonts w:ascii="Arial" w:cs="Arial" w:eastAsia="Arial" w:hAnsi="Arial"/>
                <w:sz w:val="18"/>
                <w:szCs w:val="18"/>
                <w:color w:val="0000FF"/>
              </w:rPr>
            </w:pPr>
            <w:hyperlink r:id="rId260">
              <w:r>
                <w:rPr>
                  <w:rFonts w:ascii="Arial" w:cs="Arial" w:eastAsia="Arial" w:hAnsi="Arial"/>
                  <w:sz w:val="18"/>
                  <w:szCs w:val="18"/>
                  <w:color w:val="0000FF"/>
                </w:rPr>
                <w:t xml:space="preserve">Purchase, Sale and Redempton Agreement dated </w:t>
              </w:r>
            </w:hyperlink>
            <w:r>
              <w:rPr>
                <w:rFonts w:ascii="Arial" w:cs="Arial" w:eastAsia="Arial" w:hAnsi="Arial"/>
                <w:sz w:val="18"/>
                <w:szCs w:val="18"/>
                <w:color w:val="000000"/>
              </w:rPr>
              <w:t>S-4</w:t>
            </w:r>
          </w:p>
        </w:tc>
        <w:tc>
          <w:tcPr>
            <w:tcW w:w="1060" w:type="dxa"/>
            <w:vAlign w:val="bottom"/>
          </w:tcPr>
          <w:p>
            <w:pPr>
              <w:ind w:left="180"/>
              <w:spacing w:after="0"/>
              <w:rPr>
                <w:sz w:val="20"/>
                <w:szCs w:val="20"/>
                <w:color w:val="auto"/>
              </w:rPr>
            </w:pPr>
            <w:r>
              <w:rPr>
                <w:rFonts w:ascii="Arial" w:cs="Arial" w:eastAsia="Arial" w:hAnsi="Arial"/>
                <w:sz w:val="18"/>
                <w:szCs w:val="18"/>
                <w:color w:val="auto"/>
              </w:rPr>
              <w:t>2.2</w:t>
            </w:r>
          </w:p>
        </w:tc>
        <w:tc>
          <w:tcPr>
            <w:tcW w:w="1440" w:type="dxa"/>
            <w:vAlign w:val="bottom"/>
          </w:tcPr>
          <w:p>
            <w:pPr>
              <w:ind w:left="120"/>
              <w:spacing w:after="0"/>
              <w:rPr>
                <w:sz w:val="20"/>
                <w:szCs w:val="20"/>
                <w:color w:val="auto"/>
              </w:rPr>
            </w:pPr>
            <w:r>
              <w:rPr>
                <w:rFonts w:ascii="Arial" w:cs="Arial" w:eastAsia="Arial" w:hAnsi="Arial"/>
                <w:sz w:val="18"/>
                <w:szCs w:val="18"/>
                <w:color w:val="auto"/>
              </w:rPr>
              <w:t>5/28/2021</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88"/>
              </w:rPr>
            </w:pPr>
            <w:hyperlink r:id="rId260">
              <w:r>
                <w:rPr>
                  <w:rFonts w:ascii="Arial" w:cs="Arial" w:eastAsia="Arial" w:hAnsi="Arial"/>
                  <w:sz w:val="18"/>
                  <w:szCs w:val="18"/>
                  <w:color w:val="0000FF"/>
                  <w:w w:val="88"/>
                </w:rPr>
                <w:t>April 21, 2021 among Hoya Topco, LLC, Hoya</w:t>
              </w:r>
            </w:hyperlink>
          </w:p>
        </w:tc>
        <w:tc>
          <w:tcPr>
            <w:tcW w:w="38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2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260">
              <w:r>
                <w:rPr>
                  <w:rFonts w:ascii="Arial" w:cs="Arial" w:eastAsia="Arial" w:hAnsi="Arial"/>
                  <w:sz w:val="18"/>
                  <w:szCs w:val="18"/>
                  <w:color w:val="0000FF"/>
                  <w:w w:val="89"/>
                </w:rPr>
                <w:t>Intermediate, LLC, Vivid Seats Inc., Crescent</w:t>
              </w:r>
            </w:hyperlink>
          </w:p>
        </w:tc>
        <w:tc>
          <w:tcPr>
            <w:tcW w:w="44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60" w:type="dxa"/>
            <w:vAlign w:val="bottom"/>
            <w:tcBorders>
              <w:bottom w:val="single" w:sz="8" w:color="0000FF"/>
            </w:tcBorders>
            <w:gridSpan w:val="26"/>
          </w:tcPr>
          <w:p>
            <w:pPr>
              <w:spacing w:after="0" w:line="196" w:lineRule="exact"/>
              <w:rPr>
                <w:rFonts w:ascii="Arial" w:cs="Arial" w:eastAsia="Arial" w:hAnsi="Arial"/>
                <w:sz w:val="18"/>
                <w:szCs w:val="18"/>
                <w:color w:val="0000FF"/>
                <w:w w:val="88"/>
              </w:rPr>
            </w:pPr>
            <w:hyperlink r:id="rId260">
              <w:r>
                <w:rPr>
                  <w:rFonts w:ascii="Arial" w:cs="Arial" w:eastAsia="Arial" w:hAnsi="Arial"/>
                  <w:sz w:val="18"/>
                  <w:szCs w:val="18"/>
                  <w:color w:val="0000FF"/>
                  <w:w w:val="88"/>
                </w:rPr>
                <w:t>Mezzanine Partners VIB, L.P., Crescent Mezzanine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20" w:type="dxa"/>
            <w:vAlign w:val="bottom"/>
            <w:tcBorders>
              <w:bottom w:val="single" w:sz="8" w:color="0000FF"/>
            </w:tcBorders>
            <w:gridSpan w:val="11"/>
          </w:tcPr>
          <w:p>
            <w:pPr>
              <w:spacing w:after="0" w:line="196" w:lineRule="exact"/>
              <w:rPr>
                <w:rFonts w:ascii="Arial" w:cs="Arial" w:eastAsia="Arial" w:hAnsi="Arial"/>
                <w:sz w:val="18"/>
                <w:szCs w:val="18"/>
                <w:color w:val="0000FF"/>
                <w:w w:val="86"/>
              </w:rPr>
            </w:pPr>
            <w:hyperlink r:id="rId260">
              <w:r>
                <w:rPr>
                  <w:rFonts w:ascii="Arial" w:cs="Arial" w:eastAsia="Arial" w:hAnsi="Arial"/>
                  <w:sz w:val="18"/>
                  <w:szCs w:val="18"/>
                  <w:color w:val="0000FF"/>
                  <w:w w:val="86"/>
                </w:rPr>
                <w:t>Partners VIC, L.P., NPS/Crescent Strategic</w:t>
              </w:r>
            </w:hyperlink>
          </w:p>
        </w:tc>
        <w:tc>
          <w:tcPr>
            <w:tcW w:w="64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60" w:type="dxa"/>
            <w:vAlign w:val="bottom"/>
            <w:tcBorders>
              <w:bottom w:val="single" w:sz="8" w:color="0000FF"/>
            </w:tcBorders>
            <w:gridSpan w:val="20"/>
          </w:tcPr>
          <w:p>
            <w:pPr>
              <w:spacing w:after="0" w:line="196" w:lineRule="exact"/>
              <w:rPr>
                <w:rFonts w:ascii="Arial" w:cs="Arial" w:eastAsia="Arial" w:hAnsi="Arial"/>
                <w:sz w:val="18"/>
                <w:szCs w:val="18"/>
                <w:color w:val="0000FF"/>
                <w:w w:val="86"/>
              </w:rPr>
            </w:pPr>
            <w:hyperlink r:id="rId260">
              <w:r>
                <w:rPr>
                  <w:rFonts w:ascii="Arial" w:cs="Arial" w:eastAsia="Arial" w:hAnsi="Arial"/>
                  <w:sz w:val="18"/>
                  <w:szCs w:val="18"/>
                  <w:color w:val="0000FF"/>
                  <w:w w:val="86"/>
                </w:rPr>
                <w:t>Partnership II, LP, CM7C VS Equity Holdings, LP,</w:t>
              </w:r>
            </w:hyperlink>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60" w:type="dxa"/>
            <w:vAlign w:val="bottom"/>
            <w:tcBorders>
              <w:bottom w:val="single" w:sz="8" w:color="0000FF"/>
            </w:tcBorders>
            <w:gridSpan w:val="18"/>
          </w:tcPr>
          <w:p>
            <w:pPr>
              <w:spacing w:after="0" w:line="196" w:lineRule="exact"/>
              <w:rPr>
                <w:rFonts w:ascii="Arial" w:cs="Arial" w:eastAsia="Arial" w:hAnsi="Arial"/>
                <w:sz w:val="18"/>
                <w:szCs w:val="18"/>
                <w:color w:val="0000FF"/>
                <w:w w:val="88"/>
              </w:rPr>
            </w:pPr>
            <w:hyperlink r:id="rId260">
              <w:r>
                <w:rPr>
                  <w:rFonts w:ascii="Arial" w:cs="Arial" w:eastAsia="Arial" w:hAnsi="Arial"/>
                  <w:sz w:val="18"/>
                  <w:szCs w:val="18"/>
                  <w:color w:val="0000FF"/>
                  <w:w w:val="88"/>
                </w:rPr>
                <w:t>Crescent Mezzanine Partners VIIB, L.P., CM6B</w:t>
              </w:r>
            </w:hyperlink>
          </w:p>
        </w:tc>
        <w:tc>
          <w:tcPr>
            <w:tcW w:w="3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2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260">
              <w:r>
                <w:rPr>
                  <w:rFonts w:ascii="Arial" w:cs="Arial" w:eastAsia="Arial" w:hAnsi="Arial"/>
                  <w:sz w:val="18"/>
                  <w:szCs w:val="18"/>
                  <w:color w:val="0000FF"/>
                  <w:w w:val="89"/>
                </w:rPr>
                <w:t>Vivid Equity, Inc., CM6C Vivid Equity, Inc., CM7C</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tcBorders>
              <w:bottom w:val="single" w:sz="8" w:color="0000FF"/>
            </w:tcBorders>
            <w:gridSpan w:val="17"/>
          </w:tcPr>
          <w:p>
            <w:pPr>
              <w:spacing w:after="0" w:line="196" w:lineRule="exact"/>
              <w:rPr>
                <w:rFonts w:ascii="Arial" w:cs="Arial" w:eastAsia="Arial" w:hAnsi="Arial"/>
                <w:sz w:val="18"/>
                <w:szCs w:val="18"/>
                <w:color w:val="0000FF"/>
                <w:w w:val="84"/>
              </w:rPr>
            </w:pPr>
            <w:hyperlink r:id="rId260">
              <w:r>
                <w:rPr>
                  <w:rFonts w:ascii="Arial" w:cs="Arial" w:eastAsia="Arial" w:hAnsi="Arial"/>
                  <w:sz w:val="18"/>
                  <w:szCs w:val="18"/>
                  <w:color w:val="0000FF"/>
                  <w:w w:val="84"/>
                </w:rPr>
                <w:t>VS Equity, LLC, CM7B VS Equity, LLC, Crescent</w:t>
              </w:r>
            </w:hyperlink>
          </w:p>
        </w:tc>
        <w:tc>
          <w:tcPr>
            <w:tcW w:w="3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40" w:type="dxa"/>
            <w:vAlign w:val="bottom"/>
            <w:tcBorders>
              <w:bottom w:val="single" w:sz="8" w:color="0000FF"/>
            </w:tcBorders>
            <w:gridSpan w:val="23"/>
          </w:tcPr>
          <w:p>
            <w:pPr>
              <w:spacing w:after="0" w:line="196" w:lineRule="exact"/>
              <w:rPr>
                <w:rFonts w:ascii="Arial" w:cs="Arial" w:eastAsia="Arial" w:hAnsi="Arial"/>
                <w:sz w:val="18"/>
                <w:szCs w:val="18"/>
                <w:color w:val="0000FF"/>
                <w:w w:val="88"/>
              </w:rPr>
            </w:pPr>
            <w:hyperlink r:id="rId260">
              <w:r>
                <w:rPr>
                  <w:rFonts w:ascii="Arial" w:cs="Arial" w:eastAsia="Arial" w:hAnsi="Arial"/>
                  <w:sz w:val="18"/>
                  <w:szCs w:val="18"/>
                  <w:color w:val="0000FF"/>
                  <w:w w:val="88"/>
                </w:rPr>
                <w:t>Mezzanine Partners VI, L.P., Crescent Mezzanine</w:t>
              </w:r>
            </w:hyperlink>
          </w:p>
        </w:tc>
        <w:tc>
          <w:tcPr>
            <w:tcW w:w="1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60" w:type="dxa"/>
            <w:vAlign w:val="bottom"/>
            <w:tcBorders>
              <w:bottom w:val="single" w:sz="8" w:color="0000FF"/>
            </w:tcBorders>
            <w:gridSpan w:val="26"/>
          </w:tcPr>
          <w:p>
            <w:pPr>
              <w:spacing w:after="0" w:line="196" w:lineRule="exact"/>
              <w:rPr>
                <w:rFonts w:ascii="Arial" w:cs="Arial" w:eastAsia="Arial" w:hAnsi="Arial"/>
                <w:sz w:val="18"/>
                <w:szCs w:val="18"/>
                <w:color w:val="0000FF"/>
                <w:w w:val="88"/>
              </w:rPr>
            </w:pPr>
            <w:hyperlink r:id="rId260">
              <w:r>
                <w:rPr>
                  <w:rFonts w:ascii="Arial" w:cs="Arial" w:eastAsia="Arial" w:hAnsi="Arial"/>
                  <w:sz w:val="18"/>
                  <w:szCs w:val="18"/>
                  <w:color w:val="0000FF"/>
                  <w:w w:val="88"/>
                </w:rPr>
                <w:t>Partners VII, L.P., Crescent Mezzanine Partners VII</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60" w:type="dxa"/>
            <w:vAlign w:val="bottom"/>
            <w:tcBorders>
              <w:bottom w:val="single" w:sz="8" w:color="0000FF"/>
            </w:tcBorders>
            <w:gridSpan w:val="20"/>
          </w:tcPr>
          <w:p>
            <w:pPr>
              <w:spacing w:after="0" w:line="196" w:lineRule="exact"/>
              <w:rPr>
                <w:rFonts w:ascii="Arial" w:cs="Arial" w:eastAsia="Arial" w:hAnsi="Arial"/>
                <w:sz w:val="18"/>
                <w:szCs w:val="18"/>
                <w:color w:val="0000FF"/>
                <w:w w:val="85"/>
              </w:rPr>
            </w:pPr>
            <w:hyperlink r:id="rId260">
              <w:r>
                <w:rPr>
                  <w:rFonts w:ascii="Arial" w:cs="Arial" w:eastAsia="Arial" w:hAnsi="Arial"/>
                  <w:sz w:val="18"/>
                  <w:szCs w:val="18"/>
                  <w:color w:val="0000FF"/>
                  <w:w w:val="85"/>
                </w:rPr>
                <w:t>(LTL), L.P., CBDC Universal Equity, Inc., Crescent</w:t>
              </w:r>
            </w:hyperlink>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60">
              <w:r>
                <w:rPr>
                  <w:rFonts w:ascii="Arial" w:cs="Arial" w:eastAsia="Arial" w:hAnsi="Arial"/>
                  <w:sz w:val="18"/>
                  <w:szCs w:val="18"/>
                  <w:color w:val="0000FF"/>
                  <w:w w:val="91"/>
                </w:rPr>
                <w:t>Capital Group, LP and Horizon Acquisiton</w:t>
              </w:r>
            </w:hyperlink>
          </w:p>
        </w:tc>
        <w:tc>
          <w:tcPr>
            <w:tcW w:w="58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60" w:type="dxa"/>
            <w:vAlign w:val="bottom"/>
            <w:gridSpan w:val="26"/>
          </w:tcPr>
          <w:p>
            <w:pPr>
              <w:spacing w:after="0" w:line="196" w:lineRule="exact"/>
              <w:rPr>
                <w:rFonts w:ascii="Arial" w:cs="Arial" w:eastAsia="Arial" w:hAnsi="Arial"/>
                <w:sz w:val="18"/>
                <w:szCs w:val="18"/>
                <w:color w:val="0000FF"/>
              </w:rPr>
            </w:pPr>
            <w:hyperlink r:id="rId260">
              <w:r>
                <w:rPr>
                  <w:rFonts w:ascii="Arial" w:cs="Arial" w:eastAsia="Arial" w:hAnsi="Arial"/>
                  <w:sz w:val="18"/>
                  <w:szCs w:val="18"/>
                  <w:color w:val="0000FF"/>
                </w:rPr>
                <w:t>Corporaton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2.3</w:t>
            </w:r>
          </w:p>
        </w:tc>
        <w:tc>
          <w:tcPr>
            <w:tcW w:w="3460" w:type="dxa"/>
            <w:vAlign w:val="bottom"/>
            <w:tcBorders>
              <w:bottom w:val="single" w:sz="8" w:color="0000FF"/>
            </w:tcBorders>
            <w:gridSpan w:val="20"/>
          </w:tcPr>
          <w:p>
            <w:pPr>
              <w:spacing w:after="0"/>
              <w:rPr>
                <w:rFonts w:ascii="Arial" w:cs="Arial" w:eastAsia="Arial" w:hAnsi="Arial"/>
                <w:sz w:val="18"/>
                <w:szCs w:val="18"/>
                <w:color w:val="0000FF"/>
                <w:w w:val="92"/>
              </w:rPr>
            </w:pPr>
            <w:hyperlink r:id="rId261">
              <w:r>
                <w:rPr>
                  <w:rFonts w:ascii="Arial" w:cs="Arial" w:eastAsia="Arial" w:hAnsi="Arial"/>
                  <w:sz w:val="18"/>
                  <w:szCs w:val="18"/>
                  <w:color w:val="0000FF"/>
                  <w:w w:val="92"/>
                </w:rPr>
                <w:t>Plan of Merger dated October 18, 2021 among</w:t>
              </w:r>
            </w:hyperlink>
          </w:p>
        </w:tc>
        <w:tc>
          <w:tcPr>
            <w:tcW w:w="20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10-Q</w:t>
            </w:r>
          </w:p>
        </w:tc>
        <w:tc>
          <w:tcPr>
            <w:tcW w:w="1060" w:type="dxa"/>
            <w:vAlign w:val="bottom"/>
          </w:tcPr>
          <w:p>
            <w:pPr>
              <w:ind w:left="180"/>
              <w:spacing w:after="0"/>
              <w:rPr>
                <w:sz w:val="20"/>
                <w:szCs w:val="20"/>
                <w:color w:val="auto"/>
              </w:rPr>
            </w:pPr>
            <w:r>
              <w:rPr>
                <w:rFonts w:ascii="Arial" w:cs="Arial" w:eastAsia="Arial" w:hAnsi="Arial"/>
                <w:sz w:val="18"/>
                <w:szCs w:val="18"/>
                <w:color w:val="auto"/>
              </w:rPr>
              <w:t>2.3</w:t>
            </w:r>
          </w:p>
        </w:tc>
        <w:tc>
          <w:tcPr>
            <w:tcW w:w="1440" w:type="dxa"/>
            <w:vAlign w:val="bottom"/>
          </w:tcPr>
          <w:p>
            <w:pPr>
              <w:ind w:left="120"/>
              <w:spacing w:after="0"/>
              <w:rPr>
                <w:sz w:val="20"/>
                <w:szCs w:val="20"/>
                <w:color w:val="auto"/>
              </w:rPr>
            </w:pPr>
            <w:r>
              <w:rPr>
                <w:rFonts w:ascii="Arial" w:cs="Arial" w:eastAsia="Arial" w:hAnsi="Arial"/>
                <w:sz w:val="18"/>
                <w:szCs w:val="18"/>
                <w:color w:val="auto"/>
              </w:rPr>
              <w:t>11/15/2021</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6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261">
              <w:r>
                <w:rPr>
                  <w:rFonts w:ascii="Arial" w:cs="Arial" w:eastAsia="Arial" w:hAnsi="Arial"/>
                  <w:sz w:val="18"/>
                  <w:szCs w:val="18"/>
                  <w:color w:val="0000FF"/>
                  <w:w w:val="92"/>
                </w:rPr>
                <w:t>Horizon Acquisiton Corporaton, Horizon Sponsor,</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40" w:type="dxa"/>
            <w:vAlign w:val="bottom"/>
            <w:tcBorders>
              <w:bottom w:val="single" w:sz="8" w:color="0000FF"/>
            </w:tcBorders>
            <w:gridSpan w:val="25"/>
          </w:tcPr>
          <w:p>
            <w:pPr>
              <w:spacing w:after="0" w:line="196" w:lineRule="exact"/>
              <w:rPr>
                <w:rFonts w:ascii="Arial" w:cs="Arial" w:eastAsia="Arial" w:hAnsi="Arial"/>
                <w:sz w:val="18"/>
                <w:szCs w:val="18"/>
                <w:color w:val="0000FF"/>
                <w:w w:val="86"/>
              </w:rPr>
            </w:pPr>
            <w:hyperlink r:id="rId261">
              <w:r>
                <w:rPr>
                  <w:rFonts w:ascii="Arial" w:cs="Arial" w:eastAsia="Arial" w:hAnsi="Arial"/>
                  <w:sz w:val="18"/>
                  <w:szCs w:val="18"/>
                  <w:color w:val="0000FF"/>
                  <w:w w:val="86"/>
                </w:rPr>
                <w:t>LLC, Hoya Topco, LLC, Hoya Intermediate, LLC and</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261">
              <w:r>
                <w:rPr>
                  <w:rFonts w:ascii="Arial" w:cs="Arial" w:eastAsia="Arial" w:hAnsi="Arial"/>
                  <w:sz w:val="18"/>
                  <w:szCs w:val="18"/>
                  <w:color w:val="0000FF"/>
                  <w:w w:val="87"/>
                </w:rPr>
                <w:t>Vivid Seats Inc.</w:t>
              </w:r>
            </w:hyperlink>
          </w:p>
        </w:tc>
        <w:tc>
          <w:tcPr>
            <w:tcW w:w="25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3.1</w:t>
            </w:r>
          </w:p>
        </w:tc>
        <w:tc>
          <w:tcPr>
            <w:tcW w:w="2740" w:type="dxa"/>
            <w:vAlign w:val="bottom"/>
            <w:tcBorders>
              <w:bottom w:val="single" w:sz="8" w:color="0000FF"/>
            </w:tcBorders>
            <w:gridSpan w:val="9"/>
          </w:tcPr>
          <w:p>
            <w:pPr>
              <w:spacing w:after="0"/>
              <w:rPr>
                <w:rFonts w:ascii="Arial" w:cs="Arial" w:eastAsia="Arial" w:hAnsi="Arial"/>
                <w:sz w:val="18"/>
                <w:szCs w:val="18"/>
                <w:color w:val="0000FF"/>
                <w:w w:val="94"/>
              </w:rPr>
            </w:pPr>
            <w:hyperlink r:id="rId262">
              <w:r>
                <w:rPr>
                  <w:rFonts w:ascii="Arial" w:cs="Arial" w:eastAsia="Arial" w:hAnsi="Arial"/>
                  <w:sz w:val="18"/>
                  <w:szCs w:val="18"/>
                  <w:color w:val="0000FF"/>
                  <w:w w:val="94"/>
                </w:rPr>
                <w:t>Amended and Restated Certfcate of</w:t>
              </w:r>
            </w:hyperlink>
          </w:p>
        </w:tc>
        <w:tc>
          <w:tcPr>
            <w:tcW w:w="920" w:type="dxa"/>
            <w:vAlign w:val="bottom"/>
            <w:gridSpan w:val="17"/>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8-K</w:t>
            </w:r>
          </w:p>
        </w:tc>
        <w:tc>
          <w:tcPr>
            <w:tcW w:w="1060" w:type="dxa"/>
            <w:vAlign w:val="bottom"/>
          </w:tcPr>
          <w:p>
            <w:pPr>
              <w:ind w:left="180"/>
              <w:spacing w:after="0"/>
              <w:rPr>
                <w:sz w:val="20"/>
                <w:szCs w:val="20"/>
                <w:color w:val="auto"/>
              </w:rPr>
            </w:pPr>
            <w:r>
              <w:rPr>
                <w:rFonts w:ascii="Arial" w:cs="Arial" w:eastAsia="Arial" w:hAnsi="Arial"/>
                <w:sz w:val="18"/>
                <w:szCs w:val="18"/>
                <w:color w:val="auto"/>
              </w:rPr>
              <w:t>3.1</w:t>
            </w:r>
          </w:p>
        </w:tc>
        <w:tc>
          <w:tcPr>
            <w:tcW w:w="1440" w:type="dxa"/>
            <w:vAlign w:val="bottom"/>
          </w:tcPr>
          <w:p>
            <w:pPr>
              <w:ind w:left="120"/>
              <w:spacing w:after="0"/>
              <w:rPr>
                <w:sz w:val="20"/>
                <w:szCs w:val="20"/>
                <w:color w:val="auto"/>
              </w:rPr>
            </w:pPr>
            <w:r>
              <w:rPr>
                <w:rFonts w:ascii="Arial" w:cs="Arial" w:eastAsia="Arial" w:hAnsi="Arial"/>
                <w:sz w:val="18"/>
                <w:szCs w:val="18"/>
                <w:color w:val="auto"/>
              </w:rPr>
              <w:t>10/22/2021</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60" w:type="dxa"/>
            <w:vAlign w:val="bottom"/>
            <w:gridSpan w:val="26"/>
          </w:tcPr>
          <w:p>
            <w:pPr>
              <w:spacing w:after="0" w:line="196" w:lineRule="exact"/>
              <w:rPr>
                <w:rFonts w:ascii="Arial" w:cs="Arial" w:eastAsia="Arial" w:hAnsi="Arial"/>
                <w:sz w:val="18"/>
                <w:szCs w:val="18"/>
                <w:color w:val="0000FF"/>
              </w:rPr>
            </w:pPr>
            <w:hyperlink r:id="rId262">
              <w:r>
                <w:rPr>
                  <w:rFonts w:ascii="Arial" w:cs="Arial" w:eastAsia="Arial" w:hAnsi="Arial"/>
                  <w:sz w:val="18"/>
                  <w:szCs w:val="18"/>
                  <w:color w:val="0000FF"/>
                </w:rPr>
                <w:t>Incorporaton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3260" w:type="dxa"/>
            <w:vAlign w:val="bottom"/>
            <w:tcBorders>
              <w:bottom w:val="single" w:sz="8" w:color="0000FF"/>
            </w:tcBorders>
            <w:gridSpan w:val="15"/>
          </w:tcPr>
          <w:p>
            <w:pPr>
              <w:spacing w:after="0"/>
              <w:rPr>
                <w:rFonts w:ascii="Arial" w:cs="Arial" w:eastAsia="Arial" w:hAnsi="Arial"/>
                <w:sz w:val="18"/>
                <w:szCs w:val="18"/>
                <w:color w:val="0000FF"/>
                <w:w w:val="92"/>
              </w:rPr>
            </w:pPr>
            <w:hyperlink r:id="rId263">
              <w:r>
                <w:rPr>
                  <w:rFonts w:ascii="Arial" w:cs="Arial" w:eastAsia="Arial" w:hAnsi="Arial"/>
                  <w:sz w:val="18"/>
                  <w:szCs w:val="18"/>
                  <w:color w:val="0000FF"/>
                  <w:w w:val="92"/>
                </w:rPr>
                <w:t>First Amendment to Amended and Restated</w:t>
              </w:r>
            </w:hyperlink>
          </w:p>
        </w:tc>
        <w:tc>
          <w:tcPr>
            <w:tcW w:w="400" w:type="dxa"/>
            <w:vAlign w:val="bottom"/>
            <w:gridSpan w:val="11"/>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10-Q</w:t>
            </w:r>
          </w:p>
        </w:tc>
        <w:tc>
          <w:tcPr>
            <w:tcW w:w="1060" w:type="dxa"/>
            <w:vAlign w:val="bottom"/>
          </w:tcPr>
          <w:p>
            <w:pPr>
              <w:ind w:left="180"/>
              <w:spacing w:after="0"/>
              <w:rPr>
                <w:sz w:val="20"/>
                <w:szCs w:val="20"/>
                <w:color w:val="auto"/>
              </w:rPr>
            </w:pPr>
            <w:r>
              <w:rPr>
                <w:rFonts w:ascii="Arial" w:cs="Arial" w:eastAsia="Arial" w:hAnsi="Arial"/>
                <w:sz w:val="18"/>
                <w:szCs w:val="18"/>
                <w:color w:val="auto"/>
              </w:rPr>
              <w:t>3.2</w:t>
            </w:r>
          </w:p>
        </w:tc>
        <w:tc>
          <w:tcPr>
            <w:tcW w:w="1440" w:type="dxa"/>
            <w:vAlign w:val="bottom"/>
          </w:tcPr>
          <w:p>
            <w:pPr>
              <w:ind w:left="120"/>
              <w:spacing w:after="0"/>
              <w:rPr>
                <w:sz w:val="20"/>
                <w:szCs w:val="20"/>
                <w:color w:val="auto"/>
              </w:rPr>
            </w:pPr>
            <w:r>
              <w:rPr>
                <w:rFonts w:ascii="Arial" w:cs="Arial" w:eastAsia="Arial" w:hAnsi="Arial"/>
                <w:sz w:val="18"/>
                <w:szCs w:val="18"/>
                <w:color w:val="auto"/>
              </w:rPr>
              <w:t>5/10/2022</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60" w:type="dxa"/>
            <w:vAlign w:val="bottom"/>
            <w:gridSpan w:val="26"/>
          </w:tcPr>
          <w:p>
            <w:pPr>
              <w:spacing w:after="0" w:line="196" w:lineRule="exact"/>
              <w:rPr>
                <w:rFonts w:ascii="Arial" w:cs="Arial" w:eastAsia="Arial" w:hAnsi="Arial"/>
                <w:sz w:val="18"/>
                <w:szCs w:val="18"/>
                <w:color w:val="0000FF"/>
              </w:rPr>
            </w:pPr>
            <w:hyperlink r:id="rId263">
              <w:r>
                <w:rPr>
                  <w:rFonts w:ascii="Arial" w:cs="Arial" w:eastAsia="Arial" w:hAnsi="Arial"/>
                  <w:sz w:val="18"/>
                  <w:szCs w:val="18"/>
                  <w:color w:val="0000FF"/>
                </w:rPr>
                <w:t>Bylaws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3.3</w:t>
            </w:r>
          </w:p>
        </w:tc>
        <w:tc>
          <w:tcPr>
            <w:tcW w:w="2260" w:type="dxa"/>
            <w:vAlign w:val="bottom"/>
            <w:tcBorders>
              <w:bottom w:val="single" w:sz="8" w:color="0000FF"/>
            </w:tcBorders>
            <w:gridSpan w:val="8"/>
          </w:tcPr>
          <w:p>
            <w:pPr>
              <w:spacing w:after="0"/>
              <w:rPr>
                <w:rFonts w:ascii="Arial" w:cs="Arial" w:eastAsia="Arial" w:hAnsi="Arial"/>
                <w:sz w:val="18"/>
                <w:szCs w:val="18"/>
                <w:color w:val="0000FF"/>
                <w:w w:val="89"/>
              </w:rPr>
            </w:pPr>
            <w:hyperlink r:id="rId264">
              <w:r>
                <w:rPr>
                  <w:rFonts w:ascii="Arial" w:cs="Arial" w:eastAsia="Arial" w:hAnsi="Arial"/>
                  <w:sz w:val="18"/>
                  <w:szCs w:val="18"/>
                  <w:color w:val="0000FF"/>
                  <w:w w:val="89"/>
                </w:rPr>
                <w:t>Amended and Restated Bylaws</w:t>
              </w:r>
            </w:hyperlink>
          </w:p>
        </w:tc>
        <w:tc>
          <w:tcPr>
            <w:tcW w:w="1400" w:type="dxa"/>
            <w:vAlign w:val="bottom"/>
            <w:gridSpan w:val="18"/>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8-K</w:t>
            </w:r>
          </w:p>
        </w:tc>
        <w:tc>
          <w:tcPr>
            <w:tcW w:w="1060" w:type="dxa"/>
            <w:vAlign w:val="bottom"/>
          </w:tcPr>
          <w:p>
            <w:pPr>
              <w:ind w:left="180"/>
              <w:spacing w:after="0"/>
              <w:rPr>
                <w:sz w:val="20"/>
                <w:szCs w:val="20"/>
                <w:color w:val="auto"/>
              </w:rPr>
            </w:pPr>
            <w:r>
              <w:rPr>
                <w:rFonts w:ascii="Arial" w:cs="Arial" w:eastAsia="Arial" w:hAnsi="Arial"/>
                <w:sz w:val="18"/>
                <w:szCs w:val="18"/>
                <w:color w:val="auto"/>
              </w:rPr>
              <w:t>3.2</w:t>
            </w:r>
          </w:p>
        </w:tc>
        <w:tc>
          <w:tcPr>
            <w:tcW w:w="1440" w:type="dxa"/>
            <w:vAlign w:val="bottom"/>
          </w:tcPr>
          <w:p>
            <w:pPr>
              <w:ind w:left="120"/>
              <w:spacing w:after="0"/>
              <w:rPr>
                <w:sz w:val="20"/>
                <w:szCs w:val="20"/>
                <w:color w:val="auto"/>
              </w:rPr>
            </w:pPr>
            <w:r>
              <w:rPr>
                <w:rFonts w:ascii="Arial" w:cs="Arial" w:eastAsia="Arial" w:hAnsi="Arial"/>
                <w:sz w:val="18"/>
                <w:szCs w:val="18"/>
                <w:color w:val="auto"/>
              </w:rPr>
              <w:t>10/22/2021</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4.1</w:t>
            </w:r>
          </w:p>
        </w:tc>
        <w:tc>
          <w:tcPr>
            <w:tcW w:w="4620" w:type="dxa"/>
            <w:vAlign w:val="bottom"/>
            <w:gridSpan w:val="30"/>
          </w:tcPr>
          <w:p>
            <w:pPr>
              <w:spacing w:after="0"/>
              <w:rPr>
                <w:rFonts w:ascii="Arial" w:cs="Arial" w:eastAsia="Arial" w:hAnsi="Arial"/>
                <w:sz w:val="18"/>
                <w:szCs w:val="18"/>
                <w:color w:val="0000FF"/>
              </w:rPr>
            </w:pPr>
            <w:hyperlink r:id="rId265">
              <w:r>
                <w:rPr>
                  <w:rFonts w:ascii="Arial" w:cs="Arial" w:eastAsia="Arial" w:hAnsi="Arial"/>
                  <w:sz w:val="18"/>
                  <w:szCs w:val="18"/>
                  <w:color w:val="0000FF"/>
                </w:rPr>
                <w:t xml:space="preserve">Amended and Restated Warrant Agreement dated </w:t>
              </w:r>
            </w:hyperlink>
            <w:r>
              <w:rPr>
                <w:rFonts w:ascii="Arial" w:cs="Arial" w:eastAsia="Arial" w:hAnsi="Arial"/>
                <w:sz w:val="18"/>
                <w:szCs w:val="18"/>
                <w:color w:val="000000"/>
              </w:rPr>
              <w:t>8-K</w:t>
            </w:r>
          </w:p>
        </w:tc>
        <w:tc>
          <w:tcPr>
            <w:tcW w:w="1060" w:type="dxa"/>
            <w:vAlign w:val="bottom"/>
          </w:tcPr>
          <w:p>
            <w:pPr>
              <w:ind w:left="180"/>
              <w:spacing w:after="0"/>
              <w:rPr>
                <w:sz w:val="20"/>
                <w:szCs w:val="20"/>
                <w:color w:val="auto"/>
              </w:rPr>
            </w:pPr>
            <w:r>
              <w:rPr>
                <w:rFonts w:ascii="Arial" w:cs="Arial" w:eastAsia="Arial" w:hAnsi="Arial"/>
                <w:sz w:val="18"/>
                <w:szCs w:val="18"/>
                <w:color w:val="auto"/>
              </w:rPr>
              <w:t>10.7</w:t>
            </w:r>
          </w:p>
        </w:tc>
        <w:tc>
          <w:tcPr>
            <w:tcW w:w="1440" w:type="dxa"/>
            <w:vAlign w:val="bottom"/>
          </w:tcPr>
          <w:p>
            <w:pPr>
              <w:ind w:left="120"/>
              <w:spacing w:after="0"/>
              <w:rPr>
                <w:sz w:val="20"/>
                <w:szCs w:val="20"/>
                <w:color w:val="auto"/>
              </w:rPr>
            </w:pPr>
            <w:r>
              <w:rPr>
                <w:rFonts w:ascii="Arial" w:cs="Arial" w:eastAsia="Arial" w:hAnsi="Arial"/>
                <w:sz w:val="18"/>
                <w:szCs w:val="18"/>
                <w:color w:val="auto"/>
              </w:rPr>
              <w:t>10/22/2021</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3"/>
              </w:rPr>
            </w:pPr>
            <w:hyperlink r:id="rId265">
              <w:r>
                <w:rPr>
                  <w:rFonts w:ascii="Arial" w:cs="Arial" w:eastAsia="Arial" w:hAnsi="Arial"/>
                  <w:sz w:val="18"/>
                  <w:szCs w:val="18"/>
                  <w:color w:val="0000FF"/>
                  <w:w w:val="93"/>
                </w:rPr>
                <w:t>October 14, 2021 between Horizon Acquisiton</w:t>
              </w:r>
            </w:hyperlink>
          </w:p>
        </w:tc>
        <w:tc>
          <w:tcPr>
            <w:tcW w:w="200" w:type="dxa"/>
            <w:vAlign w:val="bottom"/>
            <w:tcBorders>
              <w:top w:val="single" w:sz="8" w:color="0000FF"/>
            </w:tcBorders>
            <w:gridSpan w:val="6"/>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60" w:type="dxa"/>
            <w:vAlign w:val="bottom"/>
            <w:tcBorders>
              <w:bottom w:val="single" w:sz="8" w:color="0000FF"/>
            </w:tcBorders>
            <w:gridSpan w:val="18"/>
          </w:tcPr>
          <w:p>
            <w:pPr>
              <w:spacing w:after="0" w:line="196" w:lineRule="exact"/>
              <w:rPr>
                <w:rFonts w:ascii="Arial" w:cs="Arial" w:eastAsia="Arial" w:hAnsi="Arial"/>
                <w:sz w:val="18"/>
                <w:szCs w:val="18"/>
                <w:color w:val="0000FF"/>
                <w:w w:val="93"/>
              </w:rPr>
            </w:pPr>
            <w:hyperlink r:id="rId265">
              <w:r>
                <w:rPr>
                  <w:rFonts w:ascii="Arial" w:cs="Arial" w:eastAsia="Arial" w:hAnsi="Arial"/>
                  <w:sz w:val="18"/>
                  <w:szCs w:val="18"/>
                  <w:color w:val="0000FF"/>
                  <w:w w:val="93"/>
                </w:rPr>
                <w:t>Corporaton and Contnental Stock Transfer &amp;</w:t>
              </w:r>
            </w:hyperlink>
          </w:p>
        </w:tc>
        <w:tc>
          <w:tcPr>
            <w:tcW w:w="3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265">
              <w:r>
                <w:rPr>
                  <w:rFonts w:ascii="Arial" w:cs="Arial" w:eastAsia="Arial" w:hAnsi="Arial"/>
                  <w:sz w:val="18"/>
                  <w:szCs w:val="18"/>
                  <w:color w:val="0000FF"/>
                  <w:w w:val="89"/>
                </w:rPr>
                <w:t>Trust Company</w:t>
              </w:r>
            </w:hyperlink>
          </w:p>
        </w:tc>
        <w:tc>
          <w:tcPr>
            <w:tcW w:w="254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4.2</w:t>
            </w:r>
          </w:p>
        </w:tc>
        <w:tc>
          <w:tcPr>
            <w:tcW w:w="3440" w:type="dxa"/>
            <w:vAlign w:val="bottom"/>
            <w:tcBorders>
              <w:bottom w:val="single" w:sz="8" w:color="0000FF"/>
            </w:tcBorders>
            <w:gridSpan w:val="19"/>
          </w:tcPr>
          <w:p>
            <w:pPr>
              <w:spacing w:after="0"/>
              <w:rPr>
                <w:rFonts w:ascii="Arial" w:cs="Arial" w:eastAsia="Arial" w:hAnsi="Arial"/>
                <w:sz w:val="18"/>
                <w:szCs w:val="18"/>
                <w:color w:val="0000FF"/>
                <w:w w:val="91"/>
              </w:rPr>
            </w:pPr>
            <w:hyperlink r:id="rId266">
              <w:r>
                <w:rPr>
                  <w:rFonts w:ascii="Arial" w:cs="Arial" w:eastAsia="Arial" w:hAnsi="Arial"/>
                  <w:sz w:val="18"/>
                  <w:szCs w:val="18"/>
                  <w:color w:val="0000FF"/>
                  <w:w w:val="91"/>
                </w:rPr>
                <w:t>Specimen Class A Common Stock Certfcate of</w:t>
              </w:r>
            </w:hyperlink>
          </w:p>
        </w:tc>
        <w:tc>
          <w:tcPr>
            <w:tcW w:w="22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10-K</w:t>
            </w:r>
          </w:p>
        </w:tc>
        <w:tc>
          <w:tcPr>
            <w:tcW w:w="1060" w:type="dxa"/>
            <w:vAlign w:val="bottom"/>
          </w:tcPr>
          <w:p>
            <w:pPr>
              <w:ind w:left="180"/>
              <w:spacing w:after="0"/>
              <w:rPr>
                <w:sz w:val="20"/>
                <w:szCs w:val="20"/>
                <w:color w:val="auto"/>
              </w:rPr>
            </w:pPr>
            <w:r>
              <w:rPr>
                <w:rFonts w:ascii="Arial" w:cs="Arial" w:eastAsia="Arial" w:hAnsi="Arial"/>
                <w:sz w:val="18"/>
                <w:szCs w:val="18"/>
                <w:color w:val="auto"/>
              </w:rPr>
              <w:t>4.2</w:t>
            </w:r>
          </w:p>
        </w:tc>
        <w:tc>
          <w:tcPr>
            <w:tcW w:w="1440" w:type="dxa"/>
            <w:vAlign w:val="bottom"/>
          </w:tcPr>
          <w:p>
            <w:pPr>
              <w:ind w:left="120"/>
              <w:spacing w:after="0"/>
              <w:rPr>
                <w:sz w:val="20"/>
                <w:szCs w:val="20"/>
                <w:color w:val="auto"/>
              </w:rPr>
            </w:pPr>
            <w:r>
              <w:rPr>
                <w:rFonts w:ascii="Arial" w:cs="Arial" w:eastAsia="Arial" w:hAnsi="Arial"/>
                <w:sz w:val="18"/>
                <w:szCs w:val="18"/>
                <w:color w:val="auto"/>
              </w:rPr>
              <w:t>3/15/2022</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266">
              <w:r>
                <w:rPr>
                  <w:rFonts w:ascii="Arial" w:cs="Arial" w:eastAsia="Arial" w:hAnsi="Arial"/>
                  <w:sz w:val="18"/>
                  <w:szCs w:val="18"/>
                  <w:color w:val="0000FF"/>
                  <w:w w:val="87"/>
                </w:rPr>
                <w:t>Vivid Seats Inc.</w:t>
              </w:r>
            </w:hyperlink>
          </w:p>
        </w:tc>
        <w:tc>
          <w:tcPr>
            <w:tcW w:w="25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4.3</w:t>
            </w:r>
          </w:p>
        </w:tc>
        <w:tc>
          <w:tcPr>
            <w:tcW w:w="3480" w:type="dxa"/>
            <w:vAlign w:val="bottom"/>
            <w:tcBorders>
              <w:bottom w:val="single" w:sz="8" w:color="0000FF"/>
            </w:tcBorders>
            <w:gridSpan w:val="21"/>
          </w:tcPr>
          <w:p>
            <w:pPr>
              <w:spacing w:after="0"/>
              <w:rPr>
                <w:rFonts w:ascii="Arial" w:cs="Arial" w:eastAsia="Arial" w:hAnsi="Arial"/>
                <w:sz w:val="18"/>
                <w:szCs w:val="18"/>
                <w:color w:val="0000FF"/>
                <w:w w:val="91"/>
              </w:rPr>
            </w:pPr>
            <w:hyperlink r:id="rId267">
              <w:r>
                <w:rPr>
                  <w:rFonts w:ascii="Arial" w:cs="Arial" w:eastAsia="Arial" w:hAnsi="Arial"/>
                  <w:sz w:val="18"/>
                  <w:szCs w:val="18"/>
                  <w:color w:val="0000FF"/>
                  <w:w w:val="91"/>
                </w:rPr>
                <w:t>Specimen Warrant Certfcate of Vivid Seats Inc.</w:t>
              </w:r>
            </w:hyperlink>
          </w:p>
        </w:tc>
        <w:tc>
          <w:tcPr>
            <w:tcW w:w="18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10-K</w:t>
            </w:r>
          </w:p>
        </w:tc>
        <w:tc>
          <w:tcPr>
            <w:tcW w:w="1060" w:type="dxa"/>
            <w:vAlign w:val="bottom"/>
          </w:tcPr>
          <w:p>
            <w:pPr>
              <w:ind w:left="180"/>
              <w:spacing w:after="0"/>
              <w:rPr>
                <w:sz w:val="20"/>
                <w:szCs w:val="20"/>
                <w:color w:val="auto"/>
              </w:rPr>
            </w:pPr>
            <w:r>
              <w:rPr>
                <w:rFonts w:ascii="Arial" w:cs="Arial" w:eastAsia="Arial" w:hAnsi="Arial"/>
                <w:sz w:val="18"/>
                <w:szCs w:val="18"/>
                <w:color w:val="auto"/>
              </w:rPr>
              <w:t>4.3</w:t>
            </w:r>
          </w:p>
        </w:tc>
        <w:tc>
          <w:tcPr>
            <w:tcW w:w="1440" w:type="dxa"/>
            <w:vAlign w:val="bottom"/>
          </w:tcPr>
          <w:p>
            <w:pPr>
              <w:ind w:left="120"/>
              <w:spacing w:after="0"/>
              <w:rPr>
                <w:sz w:val="20"/>
                <w:szCs w:val="20"/>
                <w:color w:val="auto"/>
              </w:rPr>
            </w:pPr>
            <w:r>
              <w:rPr>
                <w:rFonts w:ascii="Arial" w:cs="Arial" w:eastAsia="Arial" w:hAnsi="Arial"/>
                <w:sz w:val="18"/>
                <w:szCs w:val="18"/>
                <w:color w:val="auto"/>
              </w:rPr>
              <w:t>3/15/2022</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31.1</w:t>
            </w:r>
          </w:p>
        </w:tc>
        <w:tc>
          <w:tcPr>
            <w:tcW w:w="30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Certfcaton of Principal Executve Ofcer</w:t>
            </w:r>
          </w:p>
        </w:tc>
        <w:tc>
          <w:tcPr>
            <w:tcW w:w="600" w:type="dxa"/>
            <w:vAlign w:val="bottom"/>
            <w:gridSpan w:val="1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60" w:type="dxa"/>
            <w:vAlign w:val="bottom"/>
            <w:gridSpan w:val="26"/>
          </w:tcPr>
          <w:p>
            <w:pPr>
              <w:spacing w:after="0" w:line="196" w:lineRule="exact"/>
              <w:rPr>
                <w:sz w:val="20"/>
                <w:szCs w:val="20"/>
                <w:color w:val="auto"/>
              </w:rPr>
            </w:pPr>
            <w:r>
              <w:rPr>
                <w:rFonts w:ascii="Arial" w:cs="Arial" w:eastAsia="Arial" w:hAnsi="Arial"/>
                <w:sz w:val="18"/>
                <w:szCs w:val="18"/>
                <w:color w:val="0000FF"/>
              </w:rPr>
              <w:t>Pursuant to Rule 13a-14(a) / 15d-14(a)</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gridSpan w:val="4"/>
          </w:tcPr>
          <w:p>
            <w:pPr>
              <w:jc w:val="right"/>
              <w:ind w:right="670"/>
              <w:spacing w:after="0"/>
              <w:rPr>
                <w:sz w:val="20"/>
                <w:szCs w:val="20"/>
                <w:color w:val="auto"/>
              </w:rPr>
            </w:pPr>
            <w:r>
              <w:rPr>
                <w:rFonts w:ascii="Arial" w:cs="Arial" w:eastAsia="Arial" w:hAnsi="Arial"/>
                <w:sz w:val="18"/>
                <w:szCs w:val="18"/>
                <w:color w:val="auto"/>
                <w:w w:val="89"/>
              </w:rPr>
              <w:t>39</w:t>
            </w:r>
          </w:p>
        </w:tc>
        <w:tc>
          <w:tcPr>
            <w:tcW w:w="10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96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1" w:name="page42"/>
    <w:bookmarkEnd w:id="41"/>
    <w:tbl>
      <w:tblPr>
        <w:tblLayout w:type="fixed"/>
        <w:tblInd w:w="98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37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Certfcaton of Principal Financial Ofcer Pursuant</w:t>
            </w:r>
          </w:p>
        </w:tc>
        <w:tc>
          <w:tcPr>
            <w:tcW w:w="4140" w:type="dxa"/>
            <w:vAlign w:val="bottom"/>
          </w:tcPr>
          <w:p>
            <w:pPr>
              <w:jc w:val="center"/>
              <w:ind w:left="3870"/>
              <w:spacing w:after="0"/>
              <w:rPr>
                <w:sz w:val="20"/>
                <w:szCs w:val="20"/>
                <w:color w:val="auto"/>
              </w:rPr>
            </w:pPr>
            <w:r>
              <w:rPr>
                <w:rFonts w:ascii="Arial" w:cs="Arial" w:eastAsia="Arial" w:hAnsi="Arial"/>
                <w:sz w:val="18"/>
                <w:szCs w:val="18"/>
                <w:color w:val="auto"/>
              </w:rPr>
              <w:t>*</w:t>
            </w:r>
          </w:p>
        </w:tc>
      </w:tr>
      <w:tr>
        <w:trPr>
          <w:trHeight w:val="196"/>
        </w:trPr>
        <w:tc>
          <w:tcPr>
            <w:tcW w:w="880" w:type="dxa"/>
            <w:vAlign w:val="bottom"/>
          </w:tcPr>
          <w:p>
            <w:pPr>
              <w:spacing w:after="0"/>
              <w:rPr>
                <w:sz w:val="17"/>
                <w:szCs w:val="17"/>
                <w:color w:val="auto"/>
              </w:rPr>
            </w:pPr>
          </w:p>
        </w:tc>
        <w:tc>
          <w:tcPr>
            <w:tcW w:w="3720" w:type="dxa"/>
            <w:vAlign w:val="bottom"/>
            <w:gridSpan w:val="6"/>
          </w:tcPr>
          <w:p>
            <w:pPr>
              <w:spacing w:after="0" w:line="196" w:lineRule="exact"/>
              <w:rPr>
                <w:sz w:val="20"/>
                <w:szCs w:val="20"/>
                <w:color w:val="auto"/>
              </w:rPr>
            </w:pPr>
            <w:r>
              <w:rPr>
                <w:rFonts w:ascii="Arial" w:cs="Arial" w:eastAsia="Arial" w:hAnsi="Arial"/>
                <w:sz w:val="18"/>
                <w:szCs w:val="18"/>
                <w:color w:val="0000FF"/>
              </w:rPr>
              <w:t>to Rule 13a-14(a) / 15d-14(a)</w:t>
            </w:r>
          </w:p>
        </w:tc>
        <w:tc>
          <w:tcPr>
            <w:tcW w:w="41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30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Certfcaton of Principal Executve Ofcer</w:t>
            </w:r>
          </w:p>
        </w:tc>
        <w:tc>
          <w:tcPr>
            <w:tcW w:w="660" w:type="dxa"/>
            <w:vAlign w:val="bottom"/>
          </w:tcPr>
          <w:p>
            <w:pPr>
              <w:spacing w:after="0"/>
              <w:rPr>
                <w:sz w:val="19"/>
                <w:szCs w:val="19"/>
                <w:color w:val="auto"/>
              </w:rPr>
            </w:pPr>
          </w:p>
        </w:tc>
        <w:tc>
          <w:tcPr>
            <w:tcW w:w="4140" w:type="dxa"/>
            <w:vAlign w:val="bottom"/>
          </w:tcPr>
          <w:p>
            <w:pPr>
              <w:jc w:val="center"/>
              <w:ind w:left="3870"/>
              <w:spacing w:after="0"/>
              <w:rPr>
                <w:sz w:val="20"/>
                <w:szCs w:val="20"/>
                <w:color w:val="auto"/>
              </w:rPr>
            </w:pPr>
            <w:r>
              <w:rPr>
                <w:rFonts w:ascii="Arial" w:cs="Arial" w:eastAsia="Arial" w:hAnsi="Arial"/>
                <w:sz w:val="18"/>
                <w:szCs w:val="18"/>
                <w:color w:val="auto"/>
              </w:rPr>
              <w:t>**</w:t>
            </w:r>
          </w:p>
        </w:tc>
      </w:tr>
      <w:tr>
        <w:trPr>
          <w:trHeight w:val="196"/>
        </w:trPr>
        <w:tc>
          <w:tcPr>
            <w:tcW w:w="880" w:type="dxa"/>
            <w:vAlign w:val="bottom"/>
          </w:tcPr>
          <w:p>
            <w:pPr>
              <w:spacing w:after="0"/>
              <w:rPr>
                <w:sz w:val="17"/>
                <w:szCs w:val="17"/>
                <w:color w:val="auto"/>
              </w:rPr>
            </w:pPr>
          </w:p>
        </w:tc>
        <w:tc>
          <w:tcPr>
            <w:tcW w:w="3720" w:type="dxa"/>
            <w:vAlign w:val="bottom"/>
            <w:gridSpan w:val="6"/>
          </w:tcPr>
          <w:p>
            <w:pPr>
              <w:spacing w:after="0" w:line="196" w:lineRule="exact"/>
              <w:rPr>
                <w:sz w:val="20"/>
                <w:szCs w:val="20"/>
                <w:color w:val="auto"/>
              </w:rPr>
            </w:pPr>
            <w:r>
              <w:rPr>
                <w:rFonts w:ascii="Arial" w:cs="Arial" w:eastAsia="Arial" w:hAnsi="Arial"/>
                <w:sz w:val="18"/>
                <w:szCs w:val="18"/>
                <w:color w:val="0000FF"/>
              </w:rPr>
              <w:t>Pursuant to 18 U.S.C. 1350</w:t>
            </w:r>
          </w:p>
        </w:tc>
        <w:tc>
          <w:tcPr>
            <w:tcW w:w="41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37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Certfcaton of Principal Financial Ofcer Pursuant</w:t>
            </w:r>
          </w:p>
        </w:tc>
        <w:tc>
          <w:tcPr>
            <w:tcW w:w="4140" w:type="dxa"/>
            <w:vAlign w:val="bottom"/>
          </w:tcPr>
          <w:p>
            <w:pPr>
              <w:jc w:val="center"/>
              <w:ind w:left="3870"/>
              <w:spacing w:after="0"/>
              <w:rPr>
                <w:sz w:val="20"/>
                <w:szCs w:val="20"/>
                <w:color w:val="auto"/>
              </w:rPr>
            </w:pPr>
            <w:r>
              <w:rPr>
                <w:rFonts w:ascii="Arial" w:cs="Arial" w:eastAsia="Arial" w:hAnsi="Arial"/>
                <w:sz w:val="18"/>
                <w:szCs w:val="18"/>
                <w:color w:val="auto"/>
              </w:rPr>
              <w:t>**</w:t>
            </w:r>
          </w:p>
        </w:tc>
      </w:tr>
      <w:tr>
        <w:trPr>
          <w:trHeight w:val="196"/>
        </w:trPr>
        <w:tc>
          <w:tcPr>
            <w:tcW w:w="880" w:type="dxa"/>
            <w:vAlign w:val="bottom"/>
          </w:tcPr>
          <w:p>
            <w:pPr>
              <w:spacing w:after="0"/>
              <w:rPr>
                <w:sz w:val="17"/>
                <w:szCs w:val="17"/>
                <w:color w:val="auto"/>
              </w:rPr>
            </w:pPr>
          </w:p>
        </w:tc>
        <w:tc>
          <w:tcPr>
            <w:tcW w:w="126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6"/>
              </w:rPr>
              <w:t>to 18 U.S.C. 1350</w:t>
            </w:r>
          </w:p>
        </w:tc>
        <w:tc>
          <w:tcPr>
            <w:tcW w:w="20" w:type="dxa"/>
            <w:vAlign w:val="bottom"/>
            <w:tcBorders>
              <w:bottom w:val="single" w:sz="8" w:color="0000EE"/>
            </w:tcBorders>
          </w:tcPr>
          <w:p>
            <w:pPr>
              <w:spacing w:after="0"/>
              <w:rPr>
                <w:sz w:val="17"/>
                <w:szCs w:val="17"/>
                <w:color w:val="auto"/>
              </w:rPr>
            </w:pPr>
          </w:p>
        </w:tc>
        <w:tc>
          <w:tcPr>
            <w:tcW w:w="2440" w:type="dxa"/>
            <w:vAlign w:val="bottom"/>
            <w:gridSpan w:val="4"/>
          </w:tcPr>
          <w:p>
            <w:pPr>
              <w:spacing w:after="0"/>
              <w:rPr>
                <w:sz w:val="17"/>
                <w:szCs w:val="17"/>
                <w:color w:val="auto"/>
              </w:rPr>
            </w:pPr>
          </w:p>
        </w:tc>
        <w:tc>
          <w:tcPr>
            <w:tcW w:w="4140" w:type="dxa"/>
            <w:vAlign w:val="bottom"/>
          </w:tcPr>
          <w:p>
            <w:pPr>
              <w:spacing w:after="0"/>
              <w:rPr>
                <w:sz w:val="17"/>
                <w:szCs w:val="17"/>
                <w:color w:val="auto"/>
              </w:rPr>
            </w:pPr>
          </w:p>
        </w:tc>
      </w:tr>
      <w:tr>
        <w:trPr>
          <w:trHeight w:val="245"/>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3720" w:type="dxa"/>
            <w:vAlign w:val="bottom"/>
            <w:gridSpan w:val="6"/>
          </w:tcPr>
          <w:p>
            <w:pPr>
              <w:spacing w:after="0"/>
              <w:rPr>
                <w:sz w:val="20"/>
                <w:szCs w:val="20"/>
                <w:color w:val="auto"/>
              </w:rPr>
            </w:pPr>
            <w:r>
              <w:rPr>
                <w:rFonts w:ascii="Arial" w:cs="Arial" w:eastAsia="Arial" w:hAnsi="Arial"/>
                <w:sz w:val="18"/>
                <w:szCs w:val="18"/>
                <w:color w:val="auto"/>
                <w:w w:val="99"/>
              </w:rPr>
              <w:t>Inline XBRL Instance Document – the instance</w:t>
            </w:r>
          </w:p>
        </w:tc>
        <w:tc>
          <w:tcPr>
            <w:tcW w:w="4140" w:type="dxa"/>
            <w:vAlign w:val="bottom"/>
          </w:tcPr>
          <w:p>
            <w:pPr>
              <w:jc w:val="center"/>
              <w:ind w:left="387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w w:val="94"/>
              </w:rPr>
              <w:t>document does not appear in the Interactve Data</w:t>
            </w:r>
          </w:p>
        </w:tc>
        <w:tc>
          <w:tcPr>
            <w:tcW w:w="41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w w:val="93"/>
              </w:rPr>
              <w:t>File because XBRL tags are embedded within the</w:t>
            </w:r>
          </w:p>
        </w:tc>
        <w:tc>
          <w:tcPr>
            <w:tcW w:w="4140" w:type="dxa"/>
            <w:vAlign w:val="bottom"/>
          </w:tcPr>
          <w:p>
            <w:pPr>
              <w:spacing w:after="0"/>
              <w:rPr>
                <w:sz w:val="18"/>
                <w:szCs w:val="18"/>
                <w:color w:val="auto"/>
              </w:rPr>
            </w:pPr>
          </w:p>
        </w:tc>
      </w:tr>
      <w:tr>
        <w:trPr>
          <w:trHeight w:val="227"/>
        </w:trPr>
        <w:tc>
          <w:tcPr>
            <w:tcW w:w="88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rPr>
              <w:t>Inline XBRL document</w:t>
            </w:r>
          </w:p>
        </w:tc>
        <w:tc>
          <w:tcPr>
            <w:tcW w:w="414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37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c>
          <w:tcPr>
            <w:tcW w:w="4140" w:type="dxa"/>
            <w:vAlign w:val="bottom"/>
          </w:tcPr>
          <w:p>
            <w:pPr>
              <w:jc w:val="center"/>
              <w:ind w:left="3870"/>
              <w:spacing w:after="0"/>
              <w:rPr>
                <w:sz w:val="20"/>
                <w:szCs w:val="20"/>
                <w:color w:val="auto"/>
              </w:rPr>
            </w:pPr>
            <w:r>
              <w:rPr>
                <w:rFonts w:ascii="Arial" w:cs="Arial" w:eastAsia="Arial" w:hAnsi="Arial"/>
                <w:sz w:val="18"/>
                <w:szCs w:val="18"/>
                <w:color w:val="auto"/>
              </w:rPr>
              <w:t>*</w:t>
            </w:r>
          </w:p>
        </w:tc>
      </w:tr>
      <w:tr>
        <w:trPr>
          <w:trHeight w:val="227"/>
        </w:trPr>
        <w:tc>
          <w:tcPr>
            <w:tcW w:w="88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414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37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Calculaton</w:t>
            </w:r>
          </w:p>
        </w:tc>
        <w:tc>
          <w:tcPr>
            <w:tcW w:w="4140" w:type="dxa"/>
            <w:vAlign w:val="bottom"/>
          </w:tcPr>
          <w:p>
            <w:pPr>
              <w:jc w:val="center"/>
              <w:ind w:left="3870"/>
              <w:spacing w:after="0"/>
              <w:rPr>
                <w:sz w:val="20"/>
                <w:szCs w:val="20"/>
                <w:color w:val="auto"/>
              </w:rPr>
            </w:pPr>
            <w:r>
              <w:rPr>
                <w:rFonts w:ascii="Arial" w:cs="Arial" w:eastAsia="Arial" w:hAnsi="Arial"/>
                <w:sz w:val="18"/>
                <w:szCs w:val="18"/>
                <w:color w:val="auto"/>
              </w:rPr>
              <w:t>*</w:t>
            </w:r>
          </w:p>
        </w:tc>
      </w:tr>
      <w:tr>
        <w:trPr>
          <w:trHeight w:val="227"/>
        </w:trPr>
        <w:tc>
          <w:tcPr>
            <w:tcW w:w="88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414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3720" w:type="dxa"/>
            <w:vAlign w:val="bottom"/>
            <w:gridSpan w:val="6"/>
          </w:tcPr>
          <w:p>
            <w:pPr>
              <w:spacing w:after="0"/>
              <w:rPr>
                <w:sz w:val="20"/>
                <w:szCs w:val="20"/>
                <w:color w:val="auto"/>
              </w:rPr>
            </w:pPr>
            <w:r>
              <w:rPr>
                <w:rFonts w:ascii="Arial" w:cs="Arial" w:eastAsia="Arial" w:hAnsi="Arial"/>
                <w:sz w:val="18"/>
                <w:szCs w:val="18"/>
                <w:color w:val="auto"/>
              </w:rPr>
              <w:t>Inline XBRL Taxonomy Extension Defniton</w:t>
            </w:r>
          </w:p>
        </w:tc>
        <w:tc>
          <w:tcPr>
            <w:tcW w:w="4140" w:type="dxa"/>
            <w:vAlign w:val="bottom"/>
          </w:tcPr>
          <w:p>
            <w:pPr>
              <w:jc w:val="center"/>
              <w:ind w:left="3870"/>
              <w:spacing w:after="0"/>
              <w:rPr>
                <w:sz w:val="20"/>
                <w:szCs w:val="20"/>
                <w:color w:val="auto"/>
              </w:rPr>
            </w:pPr>
            <w:r>
              <w:rPr>
                <w:rFonts w:ascii="Arial" w:cs="Arial" w:eastAsia="Arial" w:hAnsi="Arial"/>
                <w:sz w:val="18"/>
                <w:szCs w:val="18"/>
                <w:color w:val="auto"/>
              </w:rPr>
              <w:t>*</w:t>
            </w:r>
          </w:p>
        </w:tc>
      </w:tr>
      <w:tr>
        <w:trPr>
          <w:trHeight w:val="227"/>
        </w:trPr>
        <w:tc>
          <w:tcPr>
            <w:tcW w:w="88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414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3720" w:type="dxa"/>
            <w:vAlign w:val="bottom"/>
            <w:gridSpan w:val="6"/>
          </w:tcPr>
          <w:p>
            <w:pPr>
              <w:spacing w:after="0"/>
              <w:rPr>
                <w:sz w:val="20"/>
                <w:szCs w:val="20"/>
                <w:color w:val="auto"/>
              </w:rPr>
            </w:pPr>
            <w:r>
              <w:rPr>
                <w:rFonts w:ascii="Arial" w:cs="Arial" w:eastAsia="Arial" w:hAnsi="Arial"/>
                <w:sz w:val="18"/>
                <w:szCs w:val="18"/>
                <w:color w:val="auto"/>
                <w:w w:val="93"/>
              </w:rPr>
              <w:t>Inline XBRL Taxonomy Extension Label Linkbase</w:t>
            </w:r>
          </w:p>
        </w:tc>
        <w:tc>
          <w:tcPr>
            <w:tcW w:w="4140" w:type="dxa"/>
            <w:vAlign w:val="bottom"/>
          </w:tcPr>
          <w:p>
            <w:pPr>
              <w:jc w:val="center"/>
              <w:ind w:left="3870"/>
              <w:spacing w:after="0"/>
              <w:rPr>
                <w:sz w:val="20"/>
                <w:szCs w:val="20"/>
                <w:color w:val="auto"/>
              </w:rPr>
            </w:pPr>
            <w:r>
              <w:rPr>
                <w:rFonts w:ascii="Arial" w:cs="Arial" w:eastAsia="Arial" w:hAnsi="Arial"/>
                <w:sz w:val="18"/>
                <w:szCs w:val="18"/>
                <w:color w:val="auto"/>
              </w:rPr>
              <w:t>*</w:t>
            </w:r>
          </w:p>
        </w:tc>
      </w:tr>
      <w:tr>
        <w:trPr>
          <w:trHeight w:val="227"/>
        </w:trPr>
        <w:tc>
          <w:tcPr>
            <w:tcW w:w="88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414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3720" w:type="dxa"/>
            <w:vAlign w:val="bottom"/>
            <w:gridSpan w:val="6"/>
          </w:tcPr>
          <w:p>
            <w:pPr>
              <w:spacing w:after="0"/>
              <w:rPr>
                <w:sz w:val="20"/>
                <w:szCs w:val="20"/>
                <w:color w:val="auto"/>
              </w:rPr>
            </w:pPr>
            <w:r>
              <w:rPr>
                <w:rFonts w:ascii="Arial" w:cs="Arial" w:eastAsia="Arial" w:hAnsi="Arial"/>
                <w:sz w:val="18"/>
                <w:szCs w:val="18"/>
                <w:color w:val="auto"/>
                <w:w w:val="99"/>
              </w:rPr>
              <w:t>Inline XBRL Taxonomy Extension Presentaton</w:t>
            </w:r>
          </w:p>
        </w:tc>
        <w:tc>
          <w:tcPr>
            <w:tcW w:w="4140" w:type="dxa"/>
            <w:vAlign w:val="bottom"/>
          </w:tcPr>
          <w:p>
            <w:pPr>
              <w:jc w:val="center"/>
              <w:ind w:left="3870"/>
              <w:spacing w:after="0"/>
              <w:rPr>
                <w:sz w:val="20"/>
                <w:szCs w:val="20"/>
                <w:color w:val="auto"/>
              </w:rPr>
            </w:pPr>
            <w:r>
              <w:rPr>
                <w:rFonts w:ascii="Arial" w:cs="Arial" w:eastAsia="Arial" w:hAnsi="Arial"/>
                <w:sz w:val="18"/>
                <w:szCs w:val="18"/>
                <w:color w:val="auto"/>
              </w:rPr>
              <w:t>*</w:t>
            </w:r>
          </w:p>
        </w:tc>
      </w:tr>
      <w:tr>
        <w:trPr>
          <w:trHeight w:val="227"/>
        </w:trPr>
        <w:tc>
          <w:tcPr>
            <w:tcW w:w="88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414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3720" w:type="dxa"/>
            <w:vAlign w:val="bottom"/>
            <w:gridSpan w:val="6"/>
          </w:tcPr>
          <w:p>
            <w:pPr>
              <w:spacing w:after="0"/>
              <w:rPr>
                <w:sz w:val="20"/>
                <w:szCs w:val="20"/>
                <w:color w:val="auto"/>
              </w:rPr>
            </w:pPr>
            <w:r>
              <w:rPr>
                <w:rFonts w:ascii="Arial" w:cs="Arial" w:eastAsia="Arial" w:hAnsi="Arial"/>
                <w:sz w:val="18"/>
                <w:szCs w:val="18"/>
                <w:color w:val="auto"/>
              </w:rPr>
              <w:t>Cover Page Interactve Data File (embedded</w:t>
            </w:r>
          </w:p>
        </w:tc>
        <w:tc>
          <w:tcPr>
            <w:tcW w:w="4140" w:type="dxa"/>
            <w:vAlign w:val="bottom"/>
          </w:tcPr>
          <w:p>
            <w:pPr>
              <w:jc w:val="center"/>
              <w:ind w:left="3870"/>
              <w:spacing w:after="0"/>
              <w:rPr>
                <w:sz w:val="20"/>
                <w:szCs w:val="20"/>
                <w:color w:val="auto"/>
              </w:rPr>
            </w:pPr>
            <w:r>
              <w:rPr>
                <w:rFonts w:ascii="Arial" w:cs="Arial" w:eastAsia="Arial" w:hAnsi="Arial"/>
                <w:sz w:val="18"/>
                <w:szCs w:val="18"/>
                <w:color w:val="auto"/>
              </w:rPr>
              <w:t>*</w:t>
            </w:r>
          </w:p>
        </w:tc>
      </w:tr>
      <w:tr>
        <w:trPr>
          <w:trHeight w:val="227"/>
        </w:trPr>
        <w:tc>
          <w:tcPr>
            <w:tcW w:w="88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c>
          <w:tcPr>
            <w:tcW w:w="4140" w:type="dxa"/>
            <w:vAlign w:val="bottom"/>
          </w:tcPr>
          <w:p>
            <w:pPr>
              <w:spacing w:after="0"/>
              <w:rPr>
                <w:sz w:val="19"/>
                <w:szCs w:val="19"/>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Securites Exchange Act of 1934, the registrant has duly caused this report to be signed on its behalf by the undersigned thereunto duly authorized.</w:t>
      </w:r>
    </w:p>
    <w:p>
      <w:pPr>
        <w:spacing w:after="0" w:line="2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Vivid Seats Inc.</w:t>
      </w:r>
    </w:p>
    <w:p>
      <w:pPr>
        <w:spacing w:after="0" w:line="279" w:lineRule="exact"/>
        <w:rPr>
          <w:sz w:val="20"/>
          <w:szCs w:val="20"/>
          <w:color w:val="auto"/>
        </w:rPr>
      </w:pPr>
    </w:p>
    <w:p>
      <w:pPr>
        <w:ind w:left="5660"/>
        <w:spacing w:after="0"/>
        <w:tabs>
          <w:tab w:leader="none" w:pos="6120" w:val="left"/>
        </w:tabs>
        <w:rPr>
          <w:sz w:val="20"/>
          <w:szCs w:val="20"/>
          <w:color w:val="auto"/>
        </w:rPr>
      </w:pPr>
      <w:r>
        <w:rPr>
          <w:rFonts w:ascii="Arial" w:cs="Arial" w:eastAsia="Arial" w:hAnsi="Arial"/>
          <w:sz w:val="18"/>
          <w:szCs w:val="18"/>
          <w:color w:val="auto"/>
        </w:rPr>
        <w:t>By:</w:t>
        <w:tab/>
        <w:t>/s/ Stanley Chia</w:t>
      </w:r>
    </w:p>
    <w:p>
      <w:pPr>
        <w:spacing w:after="0" w:line="5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-127635</wp:posOffset>
            </wp:positionV>
            <wp:extent cx="32492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3249295"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Executve Ofcer</w:t>
      </w:r>
    </w:p>
    <w:p>
      <w:pPr>
        <w:spacing w:after="0" w:line="3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August 8, 2023</w:t>
      </w:r>
    </w:p>
    <w:p>
      <w:pPr>
        <w:spacing w:after="0" w:line="279" w:lineRule="exact"/>
        <w:rPr>
          <w:sz w:val="20"/>
          <w:szCs w:val="20"/>
          <w:color w:val="auto"/>
        </w:rPr>
      </w:pPr>
    </w:p>
    <w:p>
      <w:pPr>
        <w:ind w:left="5660"/>
        <w:spacing w:after="0"/>
        <w:tabs>
          <w:tab w:leader="none" w:pos="6120" w:val="left"/>
        </w:tabs>
        <w:rPr>
          <w:sz w:val="20"/>
          <w:szCs w:val="20"/>
          <w:color w:val="auto"/>
        </w:rPr>
      </w:pPr>
      <w:r>
        <w:rPr>
          <w:rFonts w:ascii="Arial" w:cs="Arial" w:eastAsia="Arial" w:hAnsi="Arial"/>
          <w:sz w:val="18"/>
          <w:szCs w:val="18"/>
          <w:color w:val="auto"/>
        </w:rPr>
        <w:t>By:</w:t>
        <w:tab/>
        <w:t>/s/ Lawrence Fey</w:t>
      </w:r>
    </w:p>
    <w:p>
      <w:pPr>
        <w:spacing w:after="0" w:line="5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-127635</wp:posOffset>
            </wp:positionV>
            <wp:extent cx="32492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Ofcer</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August 8, 2023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Stanley Chia, certfy that:</w:t>
      </w:r>
    </w:p>
    <w:p>
      <w:pPr>
        <w:spacing w:after="0" w:line="23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Vivid Seats Inc.;</w:t>
      </w:r>
    </w:p>
    <w:p>
      <w:pPr>
        <w:spacing w:after="0" w:line="238" w:lineRule="exact"/>
        <w:rPr>
          <w:rFonts w:ascii="Arial" w:cs="Arial" w:eastAsia="Arial" w:hAnsi="Arial"/>
          <w:sz w:val="18"/>
          <w:szCs w:val="18"/>
          <w:color w:val="auto"/>
        </w:rPr>
      </w:pPr>
    </w:p>
    <w:p>
      <w:pPr>
        <w:jc w:val="both"/>
        <w:ind w:left="520" w:hanging="512"/>
        <w:spacing w:after="0" w:line="262"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8"/>
          <w:szCs w:val="18"/>
          <w:color w:val="auto"/>
        </w:rPr>
      </w:pPr>
    </w:p>
    <w:p>
      <w:pPr>
        <w:ind w:left="520" w:hanging="512"/>
        <w:spacing w:after="0" w:line="27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90" w:lineRule="exact"/>
        <w:rPr>
          <w:rFonts w:ascii="Arial" w:cs="Arial" w:eastAsia="Arial" w:hAnsi="Arial"/>
          <w:sz w:val="18"/>
          <w:szCs w:val="18"/>
          <w:color w:val="auto"/>
        </w:rPr>
      </w:pPr>
    </w:p>
    <w:p>
      <w:pPr>
        <w:jc w:val="both"/>
        <w:ind w:left="520" w:hanging="512"/>
        <w:spacing w:after="0" w:line="262"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99"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99"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99" w:lineRule="exact"/>
        <w:rPr>
          <w:rFonts w:ascii="Arial" w:cs="Arial" w:eastAsia="Arial" w:hAnsi="Arial"/>
          <w:sz w:val="18"/>
          <w:szCs w:val="18"/>
          <w:color w:val="auto"/>
        </w:rPr>
      </w:pPr>
    </w:p>
    <w:p>
      <w:pPr>
        <w:ind w:left="1020" w:hanging="503"/>
        <w:spacing w:after="0" w:line="303" w:lineRule="auto"/>
        <w:tabs>
          <w:tab w:leader="none" w:pos="10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67" w:lineRule="exact"/>
        <w:rPr>
          <w:rFonts w:ascii="Arial" w:cs="Arial" w:eastAsia="Arial" w:hAnsi="Arial"/>
          <w:sz w:val="17"/>
          <w:szCs w:val="17"/>
          <w:color w:val="auto"/>
        </w:rPr>
      </w:pPr>
    </w:p>
    <w:p>
      <w:pPr>
        <w:jc w:val="both"/>
        <w:ind w:left="1020" w:hanging="503"/>
        <w:spacing w:after="0" w:line="262"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99" w:lineRule="exact"/>
        <w:rPr>
          <w:rFonts w:ascii="Arial" w:cs="Arial" w:eastAsia="Arial" w:hAnsi="Arial"/>
          <w:sz w:val="18"/>
          <w:szCs w:val="18"/>
          <w:color w:val="auto"/>
        </w:rPr>
      </w:pPr>
    </w:p>
    <w:p>
      <w:pPr>
        <w:ind w:left="520" w:hanging="512"/>
        <w:spacing w:after="0" w:line="303"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67" w:lineRule="exact"/>
        <w:rPr>
          <w:rFonts w:ascii="Arial" w:cs="Arial" w:eastAsia="Arial" w:hAnsi="Arial"/>
          <w:sz w:val="17"/>
          <w:szCs w:val="17"/>
          <w:color w:val="auto"/>
        </w:rPr>
      </w:pPr>
    </w:p>
    <w:p>
      <w:pPr>
        <w:ind w:left="1020" w:hanging="503"/>
        <w:spacing w:after="0" w:line="27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90" w:lineRule="exact"/>
        <w:rPr>
          <w:rFonts w:ascii="Arial" w:cs="Arial" w:eastAsia="Arial" w:hAnsi="Arial"/>
          <w:sz w:val="18"/>
          <w:szCs w:val="18"/>
          <w:color w:val="auto"/>
        </w:rPr>
      </w:pPr>
    </w:p>
    <w:p>
      <w:pPr>
        <w:ind w:left="1020" w:hanging="503"/>
        <w:spacing w:after="0" w:line="27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signifcant role in the registrant's internal control over fnancial reportng.</w:t>
      </w:r>
    </w:p>
    <w:p>
      <w:pPr>
        <w:spacing w:after="0" w:line="272" w:lineRule="exact"/>
        <w:rPr>
          <w:sz w:val="20"/>
          <w:szCs w:val="20"/>
          <w:color w:val="auto"/>
        </w:rPr>
      </w:pPr>
    </w:p>
    <w:p>
      <w:pPr>
        <w:ind w:left="20"/>
        <w:spacing w:after="0"/>
        <w:tabs>
          <w:tab w:leader="none" w:pos="5640" w:val="left"/>
          <w:tab w:leader="none" w:pos="80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Stanley Chia</w:t>
      </w:r>
    </w:p>
    <w:p>
      <w:pPr>
        <w:spacing w:after="0" w:line="48"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-126365</wp:posOffset>
            </wp:positionV>
            <wp:extent cx="33178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Executve Ofcer</w:t>
      </w:r>
    </w:p>
    <w:p>
      <w:pPr>
        <w:spacing w:after="0" w:line="38"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(Principal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693420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Lawrence Fey, certfy that:</w:t>
      </w:r>
    </w:p>
    <w:p>
      <w:pPr>
        <w:spacing w:after="0" w:line="239"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Vivid Seats Inc.;</w:t>
      </w:r>
    </w:p>
    <w:p>
      <w:pPr>
        <w:spacing w:after="0" w:line="238" w:lineRule="exact"/>
        <w:rPr>
          <w:rFonts w:ascii="Arial" w:cs="Arial" w:eastAsia="Arial" w:hAnsi="Arial"/>
          <w:sz w:val="18"/>
          <w:szCs w:val="18"/>
          <w:color w:val="auto"/>
        </w:rPr>
      </w:pPr>
    </w:p>
    <w:p>
      <w:pPr>
        <w:jc w:val="both"/>
        <w:ind w:left="520" w:hanging="512"/>
        <w:spacing w:after="0" w:line="262"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8"/>
          <w:szCs w:val="18"/>
          <w:color w:val="auto"/>
        </w:rPr>
      </w:pPr>
    </w:p>
    <w:p>
      <w:pPr>
        <w:ind w:left="520" w:hanging="512"/>
        <w:spacing w:after="0" w:line="27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90" w:lineRule="exact"/>
        <w:rPr>
          <w:rFonts w:ascii="Arial" w:cs="Arial" w:eastAsia="Arial" w:hAnsi="Arial"/>
          <w:sz w:val="18"/>
          <w:szCs w:val="18"/>
          <w:color w:val="auto"/>
        </w:rPr>
      </w:pPr>
    </w:p>
    <w:p>
      <w:pPr>
        <w:jc w:val="both"/>
        <w:ind w:left="520" w:hanging="512"/>
        <w:spacing w:after="0" w:line="262"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99"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99"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99" w:lineRule="exact"/>
        <w:rPr>
          <w:rFonts w:ascii="Arial" w:cs="Arial" w:eastAsia="Arial" w:hAnsi="Arial"/>
          <w:sz w:val="18"/>
          <w:szCs w:val="18"/>
          <w:color w:val="auto"/>
        </w:rPr>
      </w:pPr>
    </w:p>
    <w:p>
      <w:pPr>
        <w:ind w:left="1020" w:hanging="503"/>
        <w:spacing w:after="0" w:line="303" w:lineRule="auto"/>
        <w:tabs>
          <w:tab w:leader="none" w:pos="10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67" w:lineRule="exact"/>
        <w:rPr>
          <w:rFonts w:ascii="Arial" w:cs="Arial" w:eastAsia="Arial" w:hAnsi="Arial"/>
          <w:sz w:val="17"/>
          <w:szCs w:val="17"/>
          <w:color w:val="auto"/>
        </w:rPr>
      </w:pPr>
    </w:p>
    <w:p>
      <w:pPr>
        <w:jc w:val="both"/>
        <w:ind w:left="1020" w:hanging="503"/>
        <w:spacing w:after="0" w:line="262"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99" w:lineRule="exact"/>
        <w:rPr>
          <w:rFonts w:ascii="Arial" w:cs="Arial" w:eastAsia="Arial" w:hAnsi="Arial"/>
          <w:sz w:val="18"/>
          <w:szCs w:val="18"/>
          <w:color w:val="auto"/>
        </w:rPr>
      </w:pPr>
    </w:p>
    <w:p>
      <w:pPr>
        <w:ind w:left="520" w:hanging="512"/>
        <w:spacing w:after="0" w:line="303"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67" w:lineRule="exact"/>
        <w:rPr>
          <w:rFonts w:ascii="Arial" w:cs="Arial" w:eastAsia="Arial" w:hAnsi="Arial"/>
          <w:sz w:val="17"/>
          <w:szCs w:val="17"/>
          <w:color w:val="auto"/>
        </w:rPr>
      </w:pPr>
    </w:p>
    <w:p>
      <w:pPr>
        <w:ind w:left="1020" w:hanging="503"/>
        <w:spacing w:after="0" w:line="27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90" w:lineRule="exact"/>
        <w:rPr>
          <w:rFonts w:ascii="Arial" w:cs="Arial" w:eastAsia="Arial" w:hAnsi="Arial"/>
          <w:sz w:val="18"/>
          <w:szCs w:val="18"/>
          <w:color w:val="auto"/>
        </w:rPr>
      </w:pPr>
    </w:p>
    <w:p>
      <w:pPr>
        <w:ind w:left="1020" w:hanging="503"/>
        <w:spacing w:after="0" w:line="27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signifcant role in the registrant's internal control over fnancial reportng.</w:t>
      </w:r>
    </w:p>
    <w:p>
      <w:pPr>
        <w:spacing w:after="0" w:line="218" w:lineRule="exact"/>
        <w:rPr>
          <w:sz w:val="20"/>
          <w:szCs w:val="20"/>
          <w:color w:val="auto"/>
        </w:rPr>
      </w:pPr>
    </w:p>
    <w:p>
      <w:pPr>
        <w:ind w:left="20"/>
        <w:spacing w:after="0"/>
        <w:tabs>
          <w:tab w:leader="none" w:pos="5640" w:val="left"/>
          <w:tab w:leader="none" w:pos="800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Fey</w:t>
      </w:r>
    </w:p>
    <w:p>
      <w:pPr>
        <w:spacing w:after="0" w:line="48"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-126365</wp:posOffset>
            </wp:positionV>
            <wp:extent cx="33178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3317875" cy="8890"/>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Ofcer</w:t>
      </w:r>
    </w:p>
    <w:p>
      <w:pPr>
        <w:spacing w:after="0" w:line="38"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(Principal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8"/>
          <w:szCs w:val="18"/>
          <w:color w:val="auto"/>
        </w:rPr>
        <w:t>In connecton with the Quarterly Report of Vivid Seats Inc. (the “Company”) on Form 10-Q for the period ending June 30, 2023 as fled with the Securites and Exchange Commission on the date hereof (the “Report”), I, Stanley Chia, Chief Executve Ofcer of the Company, certfy, pursuant to 18 U.S.C. § 1350, as adopted pursuant to § 906 of the Sarbanes-Oxley Act of 2002, that, to such ofcer's knowledge:</w:t>
      </w:r>
    </w:p>
    <w:p>
      <w:pPr>
        <w:spacing w:after="0" w:line="200"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secton 13(a) or 15(d) of the Securites Exchange Act of 1934; and</w:t>
      </w:r>
    </w:p>
    <w:p>
      <w:pPr>
        <w:spacing w:after="0" w:line="238" w:lineRule="exact"/>
        <w:rPr>
          <w:rFonts w:ascii="Arial" w:cs="Arial" w:eastAsia="Arial" w:hAnsi="Arial"/>
          <w:sz w:val="18"/>
          <w:szCs w:val="18"/>
          <w:color w:val="auto"/>
        </w:rPr>
      </w:pPr>
    </w:p>
    <w:p>
      <w:pPr>
        <w:ind w:left="1020" w:hanging="503"/>
        <w:spacing w:after="0" w:line="27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informaton contained in the Report fairly presents, in all material respects, the fnancial conditon and result of operatons of the Company.</w:t>
      </w:r>
    </w:p>
    <w:p>
      <w:pPr>
        <w:spacing w:after="0" w:line="272" w:lineRule="exact"/>
        <w:rPr>
          <w:sz w:val="20"/>
          <w:szCs w:val="20"/>
          <w:color w:val="auto"/>
        </w:rPr>
      </w:pPr>
    </w:p>
    <w:p>
      <w:pPr>
        <w:ind w:left="20"/>
        <w:spacing w:after="0"/>
        <w:tabs>
          <w:tab w:leader="none" w:pos="5640" w:val="left"/>
          <w:tab w:leader="none" w:pos="80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Stanley Chia</w:t>
      </w:r>
    </w:p>
    <w:p>
      <w:pPr>
        <w:spacing w:after="0" w:line="48"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-126365</wp:posOffset>
            </wp:positionV>
            <wp:extent cx="33178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Executve Ofcer</w:t>
      </w:r>
    </w:p>
    <w:p>
      <w:pPr>
        <w:spacing w:after="0" w:line="38"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(Principal Executve Ofcer)</w:t>
      </w:r>
    </w:p>
    <w:p>
      <w:pPr>
        <w:spacing w:after="0" w:line="200" w:lineRule="exact"/>
        <w:rPr>
          <w:sz w:val="20"/>
          <w:szCs w:val="20"/>
          <w:color w:val="auto"/>
        </w:rPr>
      </w:pPr>
    </w:p>
    <w:p>
      <w:pPr>
        <w:spacing w:after="0" w:line="255"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A signed original of this writen statement required by Secton 906 has been provided to the Company and will be retained by the Company and furnished to the Securites and Exchange Commission or its staf upon request.</w:t>
      </w:r>
    </w:p>
    <w:p>
      <w:pPr>
        <w:spacing w:after="0" w:line="177"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The foregoing certfcaton is being furnished solely pursuant to 18 U.S.C. § 1350 and is not being fled as a part of this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8"/>
          <w:szCs w:val="18"/>
          <w:color w:val="auto"/>
        </w:rPr>
        <w:t>In connecton with the Quarterly Report of Vivid Seats Inc. (the “Company”) on Form 10-Q for the period ending June 30, 2023 as fled with the Securites and Exchange Commission on the date hereof (the “Report”), I, Lawrence Fey, Chief Financial Ofcer of the Company, certfy, pursuant to 18 U.S.C. § 1350, as adopted pursuant to § 906 of the Sarbanes-Oxley Act of 2002, that, to such ofcer's knowledge:</w:t>
      </w:r>
    </w:p>
    <w:p>
      <w:pPr>
        <w:spacing w:after="0" w:line="200"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secton 13(a) or 15(d) of the Securites Exchange Act of 1934; and</w:t>
      </w:r>
    </w:p>
    <w:p>
      <w:pPr>
        <w:spacing w:after="0" w:line="238" w:lineRule="exact"/>
        <w:rPr>
          <w:rFonts w:ascii="Arial" w:cs="Arial" w:eastAsia="Arial" w:hAnsi="Arial"/>
          <w:sz w:val="18"/>
          <w:szCs w:val="18"/>
          <w:color w:val="auto"/>
        </w:rPr>
      </w:pPr>
    </w:p>
    <w:p>
      <w:pPr>
        <w:ind w:left="1020" w:hanging="503"/>
        <w:spacing w:after="0" w:line="27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informaton contained in the Report fairly presents, in all material respects, the fnancial conditon and result of operatons of the Company.</w:t>
      </w:r>
    </w:p>
    <w:p>
      <w:pPr>
        <w:spacing w:after="0" w:line="218" w:lineRule="exact"/>
        <w:rPr>
          <w:sz w:val="20"/>
          <w:szCs w:val="20"/>
          <w:color w:val="auto"/>
        </w:rPr>
      </w:pPr>
    </w:p>
    <w:p>
      <w:pPr>
        <w:ind w:left="20"/>
        <w:spacing w:after="0"/>
        <w:tabs>
          <w:tab w:leader="none" w:pos="5640" w:val="left"/>
          <w:tab w:leader="none" w:pos="800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Fey</w:t>
      </w:r>
    </w:p>
    <w:p>
      <w:pPr>
        <w:spacing w:after="0" w:line="48"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-126365</wp:posOffset>
            </wp:positionV>
            <wp:extent cx="33178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Ofcer</w:t>
      </w:r>
    </w:p>
    <w:p>
      <w:pPr>
        <w:spacing w:after="0" w:line="38"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(Principal Financial Ofcer)</w:t>
      </w:r>
    </w:p>
    <w:p>
      <w:pPr>
        <w:spacing w:after="0" w:line="200" w:lineRule="exact"/>
        <w:rPr>
          <w:sz w:val="20"/>
          <w:szCs w:val="20"/>
          <w:color w:val="auto"/>
        </w:rPr>
      </w:pPr>
    </w:p>
    <w:p>
      <w:pPr>
        <w:spacing w:after="0" w:line="255"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A signed original of this writen statement required by Secton 906 has been provided to the Company and will be retained by the Company and furnished to the Securites and Exchange Commission or its staf upon request.</w:t>
      </w:r>
    </w:p>
    <w:p>
      <w:pPr>
        <w:spacing w:after="0" w:line="177"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The foregoing certfcaton is being furnished solely pursuant to 18 U.S.C. § 1350 and is not being fled as a part of this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1."/>
      <w:numFmt w:val="decimal"/>
      <w:start w:val="12"/>
    </w:lvl>
  </w:abstractNum>
  <w:abstractNum w:abstractNumId="12">
    <w:nsid w:val="519B500D"/>
    <w:multiLevelType w:val="hybridMultilevel"/>
    <w:lvl w:ilvl="0">
      <w:lvlJc w:val="left"/>
      <w:lvlText w:val="%1."/>
      <w:numFmt w:val="decimal"/>
      <w:start w:val="13"/>
    </w:lvl>
  </w:abstractNum>
  <w:abstractNum w:abstractNumId="13">
    <w:nsid w:val="431BD7B7"/>
    <w:multiLevelType w:val="hybridMultilevel"/>
    <w:lvl w:ilvl="0">
      <w:lvlJc w:val="left"/>
      <w:lvlText w:val="%1."/>
      <w:numFmt w:val="decimal"/>
      <w:start w:val="14"/>
    </w:lvl>
  </w:abstractNum>
  <w:abstractNum w:abstractNumId="14">
    <w:nsid w:val="3F2DBA31"/>
    <w:multiLevelType w:val="hybridMultilevel"/>
    <w:lvl w:ilvl="0">
      <w:lvlJc w:val="left"/>
      <w:lvlText w:val="%1."/>
      <w:numFmt w:val="decimal"/>
      <w:start w:val="15"/>
    </w:lvl>
  </w:abstractNum>
  <w:abstractNum w:abstractNumId="15">
    <w:nsid w:val="7C83E458"/>
    <w:multiLevelType w:val="hybridMultilevel"/>
    <w:lvl w:ilvl="0">
      <w:lvlJc w:val="left"/>
      <w:lvlText w:val="%1."/>
      <w:numFmt w:val="decimal"/>
      <w:start w:val="16"/>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59" Type="http://schemas.openxmlformats.org/officeDocument/2006/relationships/hyperlink" Target="https://www.sec.gov/Archives/edgar/data/0001856031/000119312521175583/d447259ds4.htm#ii447259_10" TargetMode="External"/><Relationship Id="rId260" Type="http://schemas.openxmlformats.org/officeDocument/2006/relationships/hyperlink" Target="https://www.sec.gov/Archives/edgar/data/1856031/000119312521175583/d447259dex22.htm" TargetMode="External"/><Relationship Id="rId261" Type="http://schemas.openxmlformats.org/officeDocument/2006/relationships/hyperlink" Target="https://www.sec.gov/Archives/edgar/data/0001856031/000095017021004585/seat-ex2_3.htm" TargetMode="External"/><Relationship Id="rId262" Type="http://schemas.openxmlformats.org/officeDocument/2006/relationships/hyperlink" Target="https://www.sec.gov/Archives/edgar/data/0001856031/000119312521305506/d216055dex31.htm" TargetMode="External"/><Relationship Id="rId263" Type="http://schemas.openxmlformats.org/officeDocument/2006/relationships/hyperlink" Target="https://www.sec.gov/Archives/edgar/data/1856031/000095017022008705/seat-ex3_2.htm" TargetMode="External"/><Relationship Id="rId264" Type="http://schemas.openxmlformats.org/officeDocument/2006/relationships/hyperlink" Target="https://www.sec.gov/Archives/edgar/data/0001856031/000119312521305506/d216055dex32.htm" TargetMode="External"/><Relationship Id="rId265" Type="http://schemas.openxmlformats.org/officeDocument/2006/relationships/hyperlink" Target="https://www.sec.gov/Archives/edgar/data/0001856031/000119312521305506/d216055dex107.htm" TargetMode="External"/><Relationship Id="rId266" Type="http://schemas.openxmlformats.org/officeDocument/2006/relationships/hyperlink" Target="https://www.sec.gov/Archives/edgar/data/1856031/000095017022003749/seat-ex4_2.htm" TargetMode="External"/><Relationship Id="rId267" Type="http://schemas.openxmlformats.org/officeDocument/2006/relationships/hyperlink" Target="https://www.sec.gov/Archives/edgar/data/1856031/000095017022003749/seat-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2023-08-08T05:41:14Z</dcterms:created>
  <dcterms:modified xsi:type="dcterms:W3CDTF">2023-08-08T05:41:14Z</dcterms:modified>
</cp:coreProperties>
</file>