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Calibri" w:cs="Calibri" w:eastAsia="Calibri" w:hAnsi="Calibri"/>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jc w:val="center"/>
        <w:spacing w:after="0" w:line="237" w:lineRule="auto"/>
        <w:rPr>
          <w:sz w:val="20"/>
          <w:szCs w:val="20"/>
          <w:color w:val="auto"/>
        </w:rPr>
      </w:pPr>
      <w:r>
        <w:rPr>
          <w:rFonts w:ascii="Calibri" w:cs="Calibri" w:eastAsia="Calibri" w:hAnsi="Calibri"/>
          <w:sz w:val="29"/>
          <w:szCs w:val="29"/>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17" w:lineRule="exact"/>
        <w:rPr>
          <w:sz w:val="24"/>
          <w:szCs w:val="24"/>
          <w:color w:val="auto"/>
        </w:rPr>
      </w:pPr>
    </w:p>
    <w:p>
      <w:pPr>
        <w:jc w:val="center"/>
        <w:spacing w:after="0"/>
        <w:rPr>
          <w:sz w:val="20"/>
          <w:szCs w:val="20"/>
          <w:color w:val="auto"/>
        </w:rPr>
      </w:pPr>
      <w:r>
        <w:rPr>
          <w:rFonts w:ascii="Calibri" w:cs="Calibri" w:eastAsia="Calibri" w:hAnsi="Calibri"/>
          <w:sz w:val="5"/>
          <w:szCs w:val="5"/>
          <w:color w:val="auto"/>
        </w:rPr>
        <w:t>r</w:t>
      </w:r>
    </w:p>
    <w:p>
      <w:pPr>
        <w:jc w:val="center"/>
        <w:spacing w:after="0" w:line="232" w:lineRule="auto"/>
        <w:rPr>
          <w:sz w:val="20"/>
          <w:szCs w:val="20"/>
          <w:color w:val="auto"/>
        </w:rPr>
      </w:pPr>
      <w:r>
        <w:rPr>
          <w:rFonts w:ascii="Calibri" w:cs="Calibri" w:eastAsia="Calibri" w:hAnsi="Calibri"/>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Calibri" w:cs="Calibri" w:eastAsia="Calibri" w:hAnsi="Calibri"/>
          <w:sz w:val="14"/>
          <w:szCs w:val="14"/>
          <w:b w:val="1"/>
          <w:bCs w:val="1"/>
          <w:color w:val="auto"/>
        </w:rPr>
        <w:t>ANNUAL REPORT PURSUANT TO SECTION 13 OR 15(d) OF THE SECURITIES EXCHANGE ACT OF 1934</w:t>
      </w:r>
    </w:p>
    <w:p>
      <w:pPr>
        <w:spacing w:after="0" w:line="32"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For the fscal year ended December 31, 2022</w:t>
      </w:r>
    </w:p>
    <w:p>
      <w:pPr>
        <w:spacing w:after="0" w:line="5"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OR</w:t>
      </w:r>
    </w:p>
    <w:p>
      <w:pPr>
        <w:ind w:left="20"/>
        <w:spacing w:after="0"/>
        <w:tabs>
          <w:tab w:leader="none" w:pos="46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Calibri" w:cs="Calibri" w:eastAsia="Calibri" w:hAnsi="Calibri"/>
          <w:sz w:val="14"/>
          <w:szCs w:val="14"/>
          <w:b w:val="1"/>
          <w:bCs w:val="1"/>
          <w:color w:val="auto"/>
        </w:rPr>
        <w:t>TRANSITION REPORT PURSUANT TO SECTION 13 OR 15(d) OF THE SECURITIES EXCHANGE ACT OF 1934</w:t>
      </w:r>
    </w:p>
    <w:p>
      <w:pPr>
        <w:spacing w:after="0" w:line="36" w:lineRule="exact"/>
        <w:rPr>
          <w:sz w:val="24"/>
          <w:szCs w:val="24"/>
          <w:color w:val="auto"/>
        </w:rPr>
      </w:pPr>
    </w:p>
    <w:p>
      <w:pPr>
        <w:ind w:left="3900"/>
        <w:spacing w:after="0"/>
        <w:rPr>
          <w:sz w:val="20"/>
          <w:szCs w:val="20"/>
          <w:color w:val="auto"/>
        </w:rPr>
      </w:pPr>
      <w:r>
        <w:rPr>
          <w:rFonts w:ascii="Calibri" w:cs="Calibri" w:eastAsia="Calibri" w:hAnsi="Calibri"/>
          <w:sz w:val="14"/>
          <w:szCs w:val="14"/>
          <w:b w:val="1"/>
          <w:bCs w:val="1"/>
          <w:color w:val="auto"/>
        </w:rPr>
        <w:t>For the transiton period from __________ to __________</w:t>
      </w:r>
    </w:p>
    <w:p>
      <w:pPr>
        <w:spacing w:after="0" w:line="5"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Commission File Number: 001-40926</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439"/>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center"/>
              <w:ind w:right="460"/>
              <w:spacing w:after="0"/>
              <w:rPr>
                <w:sz w:val="20"/>
                <w:szCs w:val="20"/>
                <w:color w:val="auto"/>
              </w:rPr>
            </w:pPr>
            <w:r>
              <w:rPr>
                <w:rFonts w:ascii="Calibri" w:cs="Calibri" w:eastAsia="Calibri" w:hAnsi="Calibri"/>
                <w:sz w:val="36"/>
                <w:szCs w:val="36"/>
                <w:b w:val="1"/>
                <w:bCs w:val="1"/>
                <w:color w:val="auto"/>
                <w:w w:val="99"/>
              </w:rPr>
              <w:t>Vivid Seats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Calibri" w:cs="Calibri" w:eastAsia="Calibri" w:hAnsi="Calibri"/>
                <w:sz w:val="14"/>
                <w:szCs w:val="14"/>
                <w:b w:val="1"/>
                <w:bCs w:val="1"/>
                <w:color w:val="auto"/>
              </w:rPr>
              <w:t>(Exact Name of Registrant as Specifed in its Charter)</w:t>
            </w: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Delaware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40" w:type="dxa"/>
            <w:vAlign w:val="bottom"/>
          </w:tcPr>
          <w:p>
            <w:pPr>
              <w:jc w:val="right"/>
              <w:ind w:right="2388"/>
              <w:spacing w:after="0"/>
              <w:rPr>
                <w:sz w:val="20"/>
                <w:szCs w:val="20"/>
                <w:color w:val="auto"/>
              </w:rPr>
            </w:pPr>
            <w:r>
              <w:rPr>
                <w:rFonts w:ascii="Calibri" w:cs="Calibri" w:eastAsia="Calibri" w:hAnsi="Calibri"/>
                <w:sz w:val="14"/>
                <w:szCs w:val="14"/>
                <w:b w:val="1"/>
                <w:bCs w:val="1"/>
                <w:color w:val="auto"/>
              </w:rPr>
              <w:t>86-3355184</w:t>
            </w:r>
          </w:p>
        </w:tc>
        <w:tc>
          <w:tcPr>
            <w:tcW w:w="0" w:type="dxa"/>
            <w:vAlign w:val="bottom"/>
          </w:tcPr>
          <w:p>
            <w:pPr>
              <w:spacing w:after="0"/>
              <w:rPr>
                <w:sz w:val="1"/>
                <w:szCs w:val="1"/>
                <w:color w:val="auto"/>
              </w:rPr>
            </w:pPr>
          </w:p>
        </w:tc>
      </w:tr>
      <w:tr>
        <w:trPr>
          <w:trHeight w:val="189"/>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(State or other jurisdicton of</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940" w:type="dxa"/>
            <w:vAlign w:val="bottom"/>
          </w:tcPr>
          <w:p>
            <w:pPr>
              <w:jc w:val="center"/>
              <w:ind w:right="1608"/>
              <w:spacing w:after="0"/>
              <w:rPr>
                <w:sz w:val="20"/>
                <w:szCs w:val="20"/>
                <w:color w:val="auto"/>
              </w:rPr>
            </w:pPr>
            <w:r>
              <w:rPr>
                <w:rFonts w:ascii="Calibri" w:cs="Calibri" w:eastAsia="Calibri" w:hAnsi="Calibri"/>
                <w:sz w:val="14"/>
                <w:szCs w:val="14"/>
                <w:b w:val="1"/>
                <w:bCs w:val="1"/>
                <w:color w:val="auto"/>
              </w:rPr>
              <w:t>(I.R.S. Employer</w:t>
            </w:r>
          </w:p>
        </w:tc>
        <w:tc>
          <w:tcPr>
            <w:tcW w:w="0" w:type="dxa"/>
            <w:vAlign w:val="bottom"/>
          </w:tcPr>
          <w:p>
            <w:pPr>
              <w:spacing w:after="0"/>
              <w:rPr>
                <w:sz w:val="1"/>
                <w:szCs w:val="1"/>
                <w:color w:val="auto"/>
              </w:rPr>
            </w:pPr>
          </w:p>
        </w:tc>
      </w:tr>
      <w:tr>
        <w:trPr>
          <w:trHeight w:val="176"/>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incorporaton or organizaton)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center"/>
              <w:ind w:right="1588"/>
              <w:spacing w:after="0"/>
              <w:rPr>
                <w:sz w:val="20"/>
                <w:szCs w:val="20"/>
                <w:color w:val="auto"/>
              </w:rPr>
            </w:pPr>
            <w:r>
              <w:rPr>
                <w:rFonts w:ascii="Calibri" w:cs="Calibri" w:eastAsia="Calibri" w:hAnsi="Calibri"/>
                <w:sz w:val="14"/>
                <w:szCs w:val="14"/>
                <w:b w:val="1"/>
                <w:bCs w:val="1"/>
                <w:color w:val="auto"/>
              </w:rPr>
              <w:t>Identfcaton No.)</w:t>
            </w:r>
          </w:p>
        </w:tc>
        <w:tc>
          <w:tcPr>
            <w:tcW w:w="0" w:type="dxa"/>
            <w:vAlign w:val="bottom"/>
          </w:tcPr>
          <w:p>
            <w:pPr>
              <w:spacing w:after="0"/>
              <w:rPr>
                <w:sz w:val="1"/>
                <w:szCs w:val="1"/>
                <w:color w:val="auto"/>
              </w:rPr>
            </w:pPr>
          </w:p>
        </w:tc>
      </w:tr>
      <w:tr>
        <w:trPr>
          <w:trHeight w:val="189"/>
        </w:trPr>
        <w:tc>
          <w:tcPr>
            <w:tcW w:w="4020" w:type="dxa"/>
            <w:vAlign w:val="bottom"/>
          </w:tcPr>
          <w:p>
            <w:pPr>
              <w:jc w:val="center"/>
              <w:ind w:left="1528"/>
              <w:spacing w:after="0"/>
              <w:rPr>
                <w:sz w:val="20"/>
                <w:szCs w:val="20"/>
                <w:color w:val="auto"/>
              </w:rPr>
            </w:pPr>
            <w:r>
              <w:rPr>
                <w:rFonts w:ascii="Calibri" w:cs="Calibri" w:eastAsia="Calibri" w:hAnsi="Calibri"/>
                <w:sz w:val="14"/>
                <w:szCs w:val="14"/>
                <w:b w:val="1"/>
                <w:bCs w:val="1"/>
                <w:color w:val="auto"/>
              </w:rPr>
              <w:t>24 E. Washington Street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Suite 900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Chicago, Illinois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right"/>
              <w:ind w:right="2548"/>
              <w:spacing w:after="0"/>
              <w:rPr>
                <w:sz w:val="20"/>
                <w:szCs w:val="20"/>
                <w:color w:val="auto"/>
              </w:rPr>
            </w:pPr>
            <w:r>
              <w:rPr>
                <w:rFonts w:ascii="Calibri" w:cs="Calibri" w:eastAsia="Calibri" w:hAnsi="Calibri"/>
                <w:sz w:val="14"/>
                <w:szCs w:val="14"/>
                <w:b w:val="1"/>
                <w:bCs w:val="1"/>
                <w:color w:val="auto"/>
              </w:rPr>
              <w:t>60602</w:t>
            </w:r>
          </w:p>
        </w:tc>
        <w:tc>
          <w:tcPr>
            <w:tcW w:w="0" w:type="dxa"/>
            <w:vAlign w:val="bottom"/>
          </w:tcPr>
          <w:p>
            <w:pPr>
              <w:spacing w:after="0"/>
              <w:rPr>
                <w:sz w:val="1"/>
                <w:szCs w:val="1"/>
                <w:color w:val="auto"/>
              </w:rPr>
            </w:pPr>
          </w:p>
        </w:tc>
      </w:tr>
      <w:tr>
        <w:trPr>
          <w:trHeight w:val="189"/>
        </w:trPr>
        <w:tc>
          <w:tcPr>
            <w:tcW w:w="4020" w:type="dxa"/>
            <w:vAlign w:val="bottom"/>
          </w:tcPr>
          <w:p>
            <w:pPr>
              <w:jc w:val="center"/>
              <w:ind w:left="1528"/>
              <w:spacing w:after="0"/>
              <w:rPr>
                <w:sz w:val="20"/>
                <w:szCs w:val="20"/>
                <w:color w:val="auto"/>
              </w:rPr>
            </w:pPr>
            <w:r>
              <w:rPr>
                <w:rFonts w:ascii="Calibri" w:cs="Calibri" w:eastAsia="Calibri" w:hAnsi="Calibri"/>
                <w:sz w:val="14"/>
                <w:szCs w:val="14"/>
                <w:b w:val="1"/>
                <w:bCs w:val="1"/>
                <w:color w:val="auto"/>
              </w:rPr>
              <w:t>(Address of principal executve ofces)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940" w:type="dxa"/>
            <w:vAlign w:val="bottom"/>
          </w:tcPr>
          <w:p>
            <w:pPr>
              <w:jc w:val="center"/>
              <w:ind w:right="1608"/>
              <w:spacing w:after="0"/>
              <w:rPr>
                <w:sz w:val="20"/>
                <w:szCs w:val="20"/>
                <w:color w:val="auto"/>
              </w:rPr>
            </w:pPr>
            <w:r>
              <w:rPr>
                <w:rFonts w:ascii="Calibri" w:cs="Calibri" w:eastAsia="Calibri" w:hAnsi="Calibri"/>
                <w:sz w:val="14"/>
                <w:szCs w:val="14"/>
                <w:b w:val="1"/>
                <w:bCs w:val="1"/>
                <w:color w:val="auto"/>
              </w:rPr>
              <w:t>(Zip Code)</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2060" w:type="dxa"/>
            <w:vAlign w:val="bottom"/>
            <w:gridSpan w:val="3"/>
          </w:tcPr>
          <w:p>
            <w:pPr>
              <w:jc w:val="center"/>
              <w:ind w:left="1088"/>
              <w:spacing w:after="0"/>
              <w:rPr>
                <w:sz w:val="20"/>
                <w:szCs w:val="20"/>
                <w:color w:val="auto"/>
              </w:rPr>
            </w:pPr>
            <w:r>
              <w:rPr>
                <w:rFonts w:ascii="Calibri" w:cs="Calibri" w:eastAsia="Calibri" w:hAnsi="Calibri"/>
                <w:sz w:val="14"/>
                <w:szCs w:val="14"/>
                <w:b w:val="1"/>
                <w:bCs w:val="1"/>
                <w:color w:val="auto"/>
              </w:rPr>
              <w:t>(312) 291-9966</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3280" w:type="dxa"/>
            <w:vAlign w:val="bottom"/>
            <w:gridSpan w:val="5"/>
          </w:tcPr>
          <w:p>
            <w:pPr>
              <w:jc w:val="center"/>
              <w:ind w:right="60"/>
              <w:spacing w:after="0"/>
              <w:rPr>
                <w:sz w:val="20"/>
                <w:szCs w:val="20"/>
                <w:color w:val="auto"/>
              </w:rPr>
            </w:pPr>
            <w:r>
              <w:rPr>
                <w:rFonts w:ascii="Calibri" w:cs="Calibri" w:eastAsia="Calibri" w:hAnsi="Calibri"/>
                <w:sz w:val="14"/>
                <w:szCs w:val="14"/>
                <w:b w:val="1"/>
                <w:bCs w:val="1"/>
                <w:color w:val="auto"/>
              </w:rPr>
              <w:t>Registrant’s telephone number, including area code</w:t>
            </w: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20" w:type="dxa"/>
            <w:vAlign w:val="bottom"/>
          </w:tcPr>
          <w:p>
            <w:pPr>
              <w:spacing w:after="0" w:line="164" w:lineRule="exact"/>
              <w:rPr>
                <w:sz w:val="20"/>
                <w:szCs w:val="20"/>
                <w:color w:val="auto"/>
              </w:rPr>
            </w:pPr>
            <w:r>
              <w:rPr>
                <w:rFonts w:ascii="Calibri" w:cs="Calibri" w:eastAsia="Calibri" w:hAnsi="Calibri"/>
                <w:sz w:val="14"/>
                <w:szCs w:val="14"/>
                <w:color w:val="auto"/>
              </w:rPr>
              <w:t>Securites registered pursuant to Secton 12(b) of the Act: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center"/>
              <w:ind w:right="1220"/>
              <w:spacing w:after="0"/>
              <w:rPr>
                <w:sz w:val="20"/>
                <w:szCs w:val="20"/>
                <w:color w:val="auto"/>
              </w:rPr>
            </w:pPr>
            <w:r>
              <w:rPr>
                <w:rFonts w:ascii="Calibri" w:cs="Calibri" w:eastAsia="Calibri" w:hAnsi="Calibri"/>
                <w:sz w:val="14"/>
                <w:szCs w:val="14"/>
                <w:b w:val="1"/>
                <w:bCs w:val="1"/>
                <w:color w:val="auto"/>
              </w:rPr>
              <w:t>Trading</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20" w:type="dxa"/>
            <w:vAlign w:val="bottom"/>
          </w:tcPr>
          <w:p>
            <w:pPr>
              <w:jc w:val="center"/>
              <w:ind w:left="208"/>
              <w:spacing w:after="0"/>
              <w:rPr>
                <w:sz w:val="20"/>
                <w:szCs w:val="20"/>
                <w:color w:val="auto"/>
              </w:rPr>
            </w:pPr>
            <w:r>
              <w:rPr>
                <w:rFonts w:ascii="Calibri" w:cs="Calibri" w:eastAsia="Calibri" w:hAnsi="Calibri"/>
                <w:sz w:val="14"/>
                <w:szCs w:val="14"/>
                <w:b w:val="1"/>
                <w:bCs w:val="1"/>
                <w:color w:val="auto"/>
              </w:rPr>
              <w:t>Title of each class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3"/>
          </w:tcPr>
          <w:p>
            <w:pPr>
              <w:jc w:val="center"/>
              <w:ind w:right="1200"/>
              <w:spacing w:after="0"/>
              <w:rPr>
                <w:sz w:val="20"/>
                <w:szCs w:val="20"/>
                <w:color w:val="auto"/>
              </w:rPr>
            </w:pPr>
            <w:r>
              <w:rPr>
                <w:rFonts w:ascii="Calibri" w:cs="Calibri" w:eastAsia="Calibri" w:hAnsi="Calibri"/>
                <w:sz w:val="14"/>
                <w:szCs w:val="14"/>
                <w:b w:val="1"/>
                <w:bCs w:val="1"/>
                <w:color w:val="auto"/>
              </w:rPr>
              <w:t>Symbol(s)</w:t>
            </w:r>
          </w:p>
        </w:tc>
        <w:tc>
          <w:tcPr>
            <w:tcW w:w="3940" w:type="dxa"/>
            <w:vAlign w:val="bottom"/>
          </w:tcPr>
          <w:p>
            <w:pPr>
              <w:jc w:val="center"/>
              <w:ind w:right="1048"/>
              <w:spacing w:after="0"/>
              <w:rPr>
                <w:sz w:val="20"/>
                <w:szCs w:val="20"/>
                <w:color w:val="auto"/>
              </w:rPr>
            </w:pPr>
            <w:r>
              <w:rPr>
                <w:rFonts w:ascii="Calibri" w:cs="Calibri" w:eastAsia="Calibri" w:hAnsi="Calibri"/>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20" w:type="dxa"/>
            <w:vAlign w:val="bottom"/>
          </w:tcPr>
          <w:p>
            <w:pPr>
              <w:jc w:val="center"/>
              <w:ind w:left="228"/>
              <w:spacing w:after="0" w:line="164" w:lineRule="exact"/>
              <w:rPr>
                <w:sz w:val="20"/>
                <w:szCs w:val="20"/>
                <w:color w:val="auto"/>
              </w:rPr>
            </w:pPr>
            <w:r>
              <w:rPr>
                <w:rFonts w:ascii="Calibri" w:cs="Calibri" w:eastAsia="Calibri" w:hAnsi="Calibri"/>
                <w:sz w:val="14"/>
                <w:szCs w:val="14"/>
                <w:color w:val="auto"/>
              </w:rPr>
              <w:t>Class A common stock, par value $0.0001 per share</w:t>
            </w:r>
          </w:p>
        </w:tc>
        <w:tc>
          <w:tcPr>
            <w:tcW w:w="2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680" w:type="dxa"/>
            <w:vAlign w:val="bottom"/>
          </w:tcPr>
          <w:p>
            <w:pPr>
              <w:jc w:val="center"/>
              <w:spacing w:after="0" w:line="164" w:lineRule="exact"/>
              <w:rPr>
                <w:sz w:val="20"/>
                <w:szCs w:val="20"/>
                <w:color w:val="auto"/>
              </w:rPr>
            </w:pPr>
            <w:r>
              <w:rPr>
                <w:rFonts w:ascii="Calibri" w:cs="Calibri" w:eastAsia="Calibri" w:hAnsi="Calibri"/>
                <w:sz w:val="14"/>
                <w:szCs w:val="14"/>
                <w:color w:val="auto"/>
                <w:w w:val="92"/>
              </w:rPr>
              <w:t>SEAT</w:t>
            </w:r>
          </w:p>
        </w:tc>
        <w:tc>
          <w:tcPr>
            <w:tcW w:w="12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3940" w:type="dxa"/>
            <w:vAlign w:val="bottom"/>
          </w:tcPr>
          <w:p>
            <w:pPr>
              <w:jc w:val="center"/>
              <w:ind w:right="1068"/>
              <w:spacing w:after="0" w:line="164" w:lineRule="exact"/>
              <w:rPr>
                <w:sz w:val="20"/>
                <w:szCs w:val="20"/>
                <w:color w:val="auto"/>
              </w:rPr>
            </w:pPr>
            <w:r>
              <w:rPr>
                <w:rFonts w:ascii="Calibri" w:cs="Calibri" w:eastAsia="Calibri" w:hAnsi="Calibri"/>
                <w:sz w:val="14"/>
                <w:szCs w:val="14"/>
                <w:color w:val="auto"/>
              </w:rPr>
              <w:t>The Nasdaq Stock Market LLC</w:t>
            </w:r>
          </w:p>
        </w:tc>
        <w:tc>
          <w:tcPr>
            <w:tcW w:w="0" w:type="dxa"/>
            <w:vAlign w:val="bottom"/>
          </w:tcPr>
          <w:p>
            <w:pPr>
              <w:spacing w:after="0"/>
              <w:rPr>
                <w:sz w:val="1"/>
                <w:szCs w:val="1"/>
                <w:color w:val="auto"/>
              </w:rPr>
            </w:pPr>
          </w:p>
        </w:tc>
      </w:tr>
      <w:tr>
        <w:trPr>
          <w:trHeight w:val="175"/>
        </w:trPr>
        <w:tc>
          <w:tcPr>
            <w:tcW w:w="4020" w:type="dxa"/>
            <w:vAlign w:val="bottom"/>
          </w:tcPr>
          <w:p>
            <w:pPr>
              <w:jc w:val="center"/>
              <w:ind w:left="208"/>
              <w:spacing w:after="0"/>
              <w:rPr>
                <w:sz w:val="20"/>
                <w:szCs w:val="20"/>
                <w:color w:val="auto"/>
              </w:rPr>
            </w:pPr>
            <w:r>
              <w:rPr>
                <w:rFonts w:ascii="Calibri" w:cs="Calibri" w:eastAsia="Calibri" w:hAnsi="Calibri"/>
                <w:sz w:val="14"/>
                <w:szCs w:val="14"/>
                <w:color w:val="auto"/>
              </w:rPr>
              <w:t>Warrants to purchase one share of Class A common stock</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3"/>
          </w:tcPr>
          <w:p>
            <w:pPr>
              <w:jc w:val="center"/>
              <w:ind w:right="1220"/>
              <w:spacing w:after="0"/>
              <w:rPr>
                <w:sz w:val="20"/>
                <w:szCs w:val="20"/>
                <w:color w:val="auto"/>
              </w:rPr>
            </w:pPr>
            <w:r>
              <w:rPr>
                <w:rFonts w:ascii="Calibri" w:cs="Calibri" w:eastAsia="Calibri" w:hAnsi="Calibri"/>
                <w:sz w:val="14"/>
                <w:szCs w:val="14"/>
                <w:color w:val="auto"/>
                <w:w w:val="98"/>
              </w:rPr>
              <w:t>SEATW</w:t>
            </w:r>
          </w:p>
        </w:tc>
        <w:tc>
          <w:tcPr>
            <w:tcW w:w="3940" w:type="dxa"/>
            <w:vAlign w:val="bottom"/>
          </w:tcPr>
          <w:p>
            <w:pPr>
              <w:jc w:val="center"/>
              <w:ind w:right="1068"/>
              <w:spacing w:after="0"/>
              <w:rPr>
                <w:sz w:val="20"/>
                <w:szCs w:val="20"/>
                <w:color w:val="auto"/>
              </w:rPr>
            </w:pPr>
            <w:r>
              <w:rPr>
                <w:rFonts w:ascii="Calibri" w:cs="Calibri" w:eastAsia="Calibri" w:hAnsi="Calibri"/>
                <w:sz w:val="14"/>
                <w:szCs w:val="14"/>
                <w:color w:val="auto"/>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-2498090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4"/>
          <w:szCs w:val="24"/>
          <w:color w:val="auto"/>
        </w:rPr>
      </w:pPr>
    </w:p>
    <w:p>
      <w:pPr>
        <w:ind w:right="3680"/>
        <w:spacing w:after="0" w:line="261" w:lineRule="exact"/>
        <w:rPr>
          <w:sz w:val="20"/>
          <w:szCs w:val="20"/>
          <w:color w:val="auto"/>
        </w:rPr>
      </w:pPr>
      <w:r>
        <w:rPr>
          <w:rFonts w:ascii="Calibri" w:cs="Calibri" w:eastAsia="Calibri" w:hAnsi="Calibri"/>
          <w:sz w:val="14"/>
          <w:szCs w:val="14"/>
          <w:color w:val="auto"/>
        </w:rPr>
        <w:t xml:space="preserve">Indicate by check mark if the Registrant is a well-known seasoned issuer, as defned in Rule 405 of the Securites Act.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Indicate by check mark if the Registrant is not required to fle reports pursuant to Secton 13 or 15(d) of the Act.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91" w:lineRule="exact"/>
        <w:rPr>
          <w:sz w:val="24"/>
          <w:szCs w:val="24"/>
          <w:color w:val="auto"/>
        </w:rPr>
      </w:pPr>
    </w:p>
    <w:p>
      <w:pPr>
        <w:spacing w:after="0" w:line="191"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91" w:lineRule="exact"/>
        <w:rPr>
          <w:sz w:val="24"/>
          <w:szCs w:val="24"/>
          <w:color w:val="auto"/>
        </w:rPr>
      </w:pPr>
    </w:p>
    <w:p>
      <w:pPr>
        <w:spacing w:after="0" w:line="191"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91" w:lineRule="exact"/>
        <w:rPr>
          <w:sz w:val="24"/>
          <w:szCs w:val="24"/>
          <w:color w:val="auto"/>
        </w:rPr>
      </w:pPr>
    </w:p>
    <w:p>
      <w:pPr>
        <w:spacing w:after="0" w:line="245"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59"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00" w:type="dxa"/>
            <w:vAlign w:val="bottom"/>
          </w:tcPr>
          <w:p>
            <w:pPr>
              <w:spacing w:after="0"/>
              <w:rPr>
                <w:sz w:val="20"/>
                <w:szCs w:val="20"/>
                <w:color w:val="auto"/>
              </w:rPr>
            </w:pPr>
            <w:r>
              <w:rPr>
                <w:rFonts w:ascii="Calibri" w:cs="Calibri" w:eastAsia="Calibri" w:hAnsi="Calibri"/>
                <w:sz w:val="14"/>
                <w:szCs w:val="14"/>
                <w:color w:val="auto"/>
              </w:rPr>
              <w:t>Large accelerated fler</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Calibri" w:cs="Calibri" w:eastAsia="Calibri" w:hAnsi="Calibri"/>
                <w:sz w:val="14"/>
                <w:szCs w:val="14"/>
                <w:color w:val="auto"/>
              </w:rPr>
              <w:t>Accelerated fler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00" w:type="dxa"/>
            <w:vAlign w:val="bottom"/>
          </w:tcPr>
          <w:p>
            <w:pPr>
              <w:spacing w:after="0"/>
              <w:rPr>
                <w:sz w:val="20"/>
                <w:szCs w:val="20"/>
                <w:color w:val="auto"/>
              </w:rPr>
            </w:pPr>
            <w:r>
              <w:rPr>
                <w:rFonts w:ascii="Calibri" w:cs="Calibri" w:eastAsia="Calibri" w:hAnsi="Calibri"/>
                <w:sz w:val="14"/>
                <w:szCs w:val="14"/>
                <w:color w:val="auto"/>
              </w:rPr>
              <w:t>Non-accelerated fler</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Calibri" w:cs="Calibri" w:eastAsia="Calibri" w:hAnsi="Calibri"/>
                <w:sz w:val="14"/>
                <w:szCs w:val="14"/>
                <w:color w:val="auto"/>
              </w:rPr>
              <w:t>Smaller reportng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00" w:type="dxa"/>
            <w:vAlign w:val="bottom"/>
          </w:tcPr>
          <w:p>
            <w:pPr>
              <w:spacing w:after="0"/>
              <w:rPr>
                <w:sz w:val="20"/>
                <w:szCs w:val="20"/>
                <w:color w:val="auto"/>
              </w:rPr>
            </w:pPr>
            <w:r>
              <w:rPr>
                <w:rFonts w:ascii="Calibri" w:cs="Calibri" w:eastAsia="Calibri" w:hAnsi="Calibri"/>
                <w:sz w:val="14"/>
                <w:szCs w:val="14"/>
                <w:color w:val="auto"/>
              </w:rPr>
              <w:t>Emerging growth company</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238" w:lineRule="exact"/>
        <w:rPr>
          <w:sz w:val="24"/>
          <w:szCs w:val="24"/>
          <w:color w:val="auto"/>
        </w:rPr>
      </w:pPr>
    </w:p>
    <w:p>
      <w:pPr>
        <w:spacing w:after="0" w:line="191"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91" w:lineRule="exact"/>
        <w:rPr>
          <w:sz w:val="24"/>
          <w:szCs w:val="24"/>
          <w:color w:val="auto"/>
        </w:rPr>
      </w:pPr>
    </w:p>
    <w:p>
      <w:pPr>
        <w:spacing w:after="0" w:line="191" w:lineRule="exact"/>
        <w:rPr>
          <w:sz w:val="20"/>
          <w:szCs w:val="20"/>
          <w:color w:val="auto"/>
        </w:rPr>
      </w:pPr>
      <w:r>
        <w:rPr>
          <w:rFonts w:ascii="Calibri" w:cs="Calibri" w:eastAsia="Calibri" w:hAnsi="Calibri"/>
          <w:sz w:val="14"/>
          <w:szCs w:val="14"/>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4"/>
          <w:szCs w:val="14"/>
          <w:color w:val="auto"/>
        </w:rPr>
        <w:t>☐</w:t>
      </w:r>
    </w:p>
    <w:p>
      <w:pPr>
        <w:spacing w:after="0" w:line="91" w:lineRule="exact"/>
        <w:rPr>
          <w:sz w:val="24"/>
          <w:szCs w:val="24"/>
          <w:color w:val="auto"/>
        </w:rPr>
      </w:pPr>
    </w:p>
    <w:p>
      <w:pPr>
        <w:spacing w:after="0" w:line="245" w:lineRule="auto"/>
        <w:rPr>
          <w:sz w:val="20"/>
          <w:szCs w:val="20"/>
          <w:color w:val="auto"/>
        </w:rPr>
      </w:pPr>
      <w:r>
        <w:rPr>
          <w:rFonts w:ascii="Calibri" w:cs="Calibri" w:eastAsia="Calibri" w:hAnsi="Calibri"/>
          <w:sz w:val="14"/>
          <w:szCs w:val="14"/>
          <w:color w:val="auto"/>
        </w:rPr>
        <w:t>The aggregate market value of votng and non-votng stock held by non-afliates of the registrant, as of June 30, 2022, the last business day of the registrant’s most recently completed second fscal quarter, was approximately $203 million.</w:t>
      </w:r>
    </w:p>
    <w:p>
      <w:pPr>
        <w:spacing w:after="0" w:line="91" w:lineRule="exact"/>
        <w:rPr>
          <w:sz w:val="24"/>
          <w:szCs w:val="24"/>
          <w:color w:val="auto"/>
        </w:rPr>
      </w:pPr>
    </w:p>
    <w:p>
      <w:pPr>
        <w:spacing w:after="0" w:line="172" w:lineRule="exact"/>
        <w:tabs>
          <w:tab w:leader="none" w:pos="6060" w:val="left"/>
          <w:tab w:leader="none" w:pos="6580" w:val="left"/>
        </w:tabs>
        <w:rPr>
          <w:sz w:val="20"/>
          <w:szCs w:val="20"/>
          <w:color w:val="auto"/>
        </w:rPr>
      </w:pPr>
      <w:r>
        <w:rPr>
          <w:rFonts w:ascii="Calibri" w:cs="Calibri" w:eastAsia="Calibri" w:hAnsi="Calibri"/>
          <w:sz w:val="14"/>
          <w:szCs w:val="14"/>
          <w:color w:val="auto"/>
        </w:rPr>
        <w:t>Indicate by check mark whether the registrant is a shell company (as defned in Rule 12b-2 of the Act).</w:t>
        <w:tab/>
        <w:t xml:space="preserve">Yes </w:t>
      </w:r>
      <w:r>
        <w:rPr>
          <w:rFonts w:ascii="MS PGothic" w:cs="MS PGothic" w:eastAsia="MS PGothic" w:hAnsi="MS PGothic"/>
          <w:sz w:val="14"/>
          <w:szCs w:val="14"/>
          <w:color w:val="auto"/>
        </w:rPr>
        <w:t>☐</w:t>
      </w:r>
      <w:r>
        <w:rPr>
          <w:rFonts w:ascii="Calibri" w:cs="Calibri" w:eastAsia="Calibri" w:hAnsi="Calibri"/>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 w:name="page2"/>
    <w:bookmarkEnd w:id="1"/>
    <w:p>
      <w:pPr>
        <w:spacing w:after="0" w:line="245" w:lineRule="auto"/>
        <w:rPr>
          <w:sz w:val="20"/>
          <w:szCs w:val="20"/>
          <w:color w:val="auto"/>
        </w:rPr>
      </w:pPr>
      <w:r>
        <w:rPr>
          <w:rFonts w:ascii="Calibri" w:cs="Calibri" w:eastAsia="Calibri" w:hAnsi="Calibri"/>
          <w:sz w:val="14"/>
          <w:szCs w:val="14"/>
          <w:color w:val="auto"/>
        </w:rPr>
        <w:t>As of February 28, 2023, the registrant had 77,184,786 shares of Class A common stock, $0.0001 par value per share, outstanding, net of treasury shares and 118,200,000 shares of Class B common stock, $0.0001 par value per share, outstanding.</w:t>
      </w:r>
    </w:p>
    <w:p>
      <w:pPr>
        <w:spacing w:after="0" w:line="110" w:lineRule="exact"/>
        <w:rPr>
          <w:sz w:val="20"/>
          <w:szCs w:val="20"/>
          <w:color w:val="auto"/>
        </w:rPr>
      </w:pPr>
    </w:p>
    <w:p>
      <w:pPr>
        <w:spacing w:after="0" w:line="245" w:lineRule="auto"/>
        <w:rPr>
          <w:sz w:val="20"/>
          <w:szCs w:val="20"/>
          <w:color w:val="auto"/>
        </w:rPr>
      </w:pPr>
      <w:r>
        <w:rPr>
          <w:rFonts w:ascii="Calibri" w:cs="Calibri" w:eastAsia="Calibri" w:hAnsi="Calibri"/>
          <w:sz w:val="14"/>
          <w:szCs w:val="14"/>
          <w:color w:val="auto"/>
        </w:rPr>
        <w:t>Documents incorporated by reference: Portons of the Registrant’s defnitve proxy statement relatng to its 2023 Annual Meetng of Stockholders are incorporated by reference into Part III of this Annual Report on Form 10-K.</w:t>
      </w:r>
    </w:p>
    <w:p>
      <w:pPr>
        <w:spacing w:after="0" w:line="109" w:lineRule="exact"/>
        <w:rPr>
          <w:sz w:val="20"/>
          <w:szCs w:val="20"/>
          <w:color w:val="auto"/>
        </w:rPr>
      </w:pPr>
    </w:p>
    <w:p>
      <w:pPr>
        <w:ind w:left="20"/>
        <w:spacing w:after="0"/>
        <w:tabs>
          <w:tab w:leader="none" w:pos="1680" w:val="left"/>
          <w:tab w:leader="none" w:pos="3760" w:val="left"/>
          <w:tab w:leader="none" w:pos="5220" w:val="left"/>
          <w:tab w:leader="none" w:pos="7500" w:val="left"/>
          <w:tab w:leader="none" w:pos="9380" w:val="left"/>
        </w:tabs>
        <w:rPr>
          <w:sz w:val="20"/>
          <w:szCs w:val="20"/>
          <w:color w:val="auto"/>
        </w:rPr>
      </w:pPr>
      <w:r>
        <w:rPr>
          <w:rFonts w:ascii="Calibri" w:cs="Calibri" w:eastAsia="Calibri" w:hAnsi="Calibri"/>
          <w:sz w:val="14"/>
          <w:szCs w:val="14"/>
          <w:color w:val="auto"/>
        </w:rPr>
        <w:t>Auditor Firm PCAOB ID:</w:t>
      </w:r>
      <w:r>
        <w:rPr>
          <w:sz w:val="20"/>
          <w:szCs w:val="20"/>
          <w:color w:val="auto"/>
        </w:rPr>
        <w:tab/>
      </w:r>
      <w:r>
        <w:rPr>
          <w:rFonts w:ascii="Calibri" w:cs="Calibri" w:eastAsia="Calibri" w:hAnsi="Calibri"/>
          <w:sz w:val="14"/>
          <w:szCs w:val="14"/>
          <w:color w:val="auto"/>
        </w:rPr>
        <w:t>34</w:t>
      </w:r>
      <w:r>
        <w:rPr>
          <w:sz w:val="20"/>
          <w:szCs w:val="20"/>
          <w:color w:val="auto"/>
        </w:rPr>
        <w:tab/>
      </w:r>
      <w:r>
        <w:rPr>
          <w:rFonts w:ascii="Calibri" w:cs="Calibri" w:eastAsia="Calibri" w:hAnsi="Calibri"/>
          <w:sz w:val="14"/>
          <w:szCs w:val="14"/>
          <w:color w:val="auto"/>
        </w:rPr>
        <w:t>Auditor Name:</w:t>
      </w:r>
      <w:r>
        <w:rPr>
          <w:sz w:val="20"/>
          <w:szCs w:val="20"/>
          <w:color w:val="auto"/>
        </w:rPr>
        <w:tab/>
      </w:r>
      <w:r>
        <w:rPr>
          <w:rFonts w:ascii="Calibri" w:cs="Calibri" w:eastAsia="Calibri" w:hAnsi="Calibri"/>
          <w:sz w:val="14"/>
          <w:szCs w:val="14"/>
          <w:color w:val="auto"/>
        </w:rPr>
        <w:t>Deloite &amp; Touche LLP</w:t>
      </w:r>
      <w:r>
        <w:rPr>
          <w:sz w:val="20"/>
          <w:szCs w:val="20"/>
          <w:color w:val="auto"/>
        </w:rPr>
        <w:tab/>
      </w:r>
      <w:r>
        <w:rPr>
          <w:rFonts w:ascii="Calibri" w:cs="Calibri" w:eastAsia="Calibri" w:hAnsi="Calibri"/>
          <w:sz w:val="14"/>
          <w:szCs w:val="14"/>
          <w:color w:val="auto"/>
        </w:rPr>
        <w:t>Auditor Locaton:</w:t>
      </w:r>
      <w:r>
        <w:rPr>
          <w:sz w:val="20"/>
          <w:szCs w:val="20"/>
          <w:color w:val="auto"/>
        </w:rPr>
        <w:tab/>
      </w:r>
      <w:r>
        <w:rPr>
          <w:rFonts w:ascii="Calibri" w:cs="Calibri" w:eastAsia="Calibri" w:hAnsi="Calibri"/>
          <w:sz w:val="14"/>
          <w:szCs w:val="14"/>
          <w:color w:val="auto"/>
        </w:rPr>
        <w:t>Chicago,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alibri" w:cs="Calibri" w:eastAsia="Calibri" w:hAnsi="Calibri"/>
                <w:sz w:val="14"/>
                <w:szCs w:val="14"/>
                <w:b w:val="1"/>
                <w:bCs w:val="1"/>
                <w:color w:val="auto"/>
              </w:rPr>
              <w:t>Page</w:t>
            </w:r>
          </w:p>
        </w:tc>
      </w:tr>
      <w:tr>
        <w:trPr>
          <w:trHeight w:val="33"/>
        </w:trPr>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385"/>
        </w:trPr>
        <w:tc>
          <w:tcPr>
            <w:tcW w:w="1180" w:type="dxa"/>
            <w:vAlign w:val="bottom"/>
            <w:gridSpan w:val="4"/>
          </w:tcPr>
          <w:p>
            <w:pPr>
              <w:ind w:left="20"/>
              <w:spacing w:after="0"/>
              <w:rPr>
                <w:sz w:val="20"/>
                <w:szCs w:val="20"/>
                <w:color w:val="auto"/>
              </w:rPr>
            </w:pPr>
            <w:r>
              <w:rPr>
                <w:rFonts w:ascii="Calibri" w:cs="Calibri" w:eastAsia="Calibri" w:hAnsi="Calibri"/>
                <w:sz w:val="18"/>
                <w:szCs w:val="18"/>
                <w:b w:val="1"/>
                <w:bCs w:val="1"/>
                <w:color w:val="0000FF"/>
              </w:rPr>
              <w:t>PART I</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4</w:t>
            </w:r>
          </w:p>
        </w:tc>
      </w:tr>
      <w:tr>
        <w:trPr>
          <w:trHeight w:val="20"/>
        </w:trPr>
        <w:tc>
          <w:tcPr>
            <w:tcW w:w="5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1.</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Business</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4</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1A.</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Risk Factors</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14</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1B.</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Unresolved Staf Comments</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37</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2.</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Propertes</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37</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3.</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Legal Proceedings</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37</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4.</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Mine Safety Disclosures</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37</w:t>
            </w:r>
          </w:p>
        </w:tc>
      </w:tr>
      <w:tr>
        <w:trPr>
          <w:trHeight w:val="209"/>
        </w:trPr>
        <w:tc>
          <w:tcPr>
            <w:tcW w:w="500" w:type="dxa"/>
            <w:vAlign w:val="bottom"/>
            <w:tcBorders>
              <w:bottom w:val="single" w:sz="8" w:color="0000FF"/>
            </w:tcBorders>
          </w:tcPr>
          <w:p>
            <w:pPr>
              <w:ind w:left="20"/>
              <w:spacing w:after="0" w:line="209" w:lineRule="exact"/>
              <w:rPr>
                <w:sz w:val="20"/>
                <w:szCs w:val="20"/>
                <w:color w:val="auto"/>
              </w:rPr>
            </w:pPr>
            <w:r>
              <w:rPr>
                <w:rFonts w:ascii="Calibri" w:cs="Calibri" w:eastAsia="Calibri" w:hAnsi="Calibri"/>
                <w:sz w:val="18"/>
                <w:szCs w:val="18"/>
                <w:b w:val="1"/>
                <w:bCs w:val="1"/>
                <w:color w:val="0000FF"/>
                <w:w w:val="98"/>
              </w:rPr>
              <w:t>Part II</w:t>
            </w:r>
          </w:p>
        </w:tc>
        <w:tc>
          <w:tcPr>
            <w:tcW w:w="680" w:type="dxa"/>
            <w:vAlign w:val="bottom"/>
            <w:gridSpan w:val="3"/>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37</w:t>
            </w:r>
          </w:p>
        </w:tc>
      </w:tr>
      <w:tr>
        <w:trPr>
          <w:trHeight w:val="210"/>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5.</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Market for Registrant's Common Equity, Related Stockholder Maters and Issuer Purchases of Equity Securites</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37</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6.</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Reserved</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39</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7.</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40</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7A.</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Quanttatve and Qualitatve Disclosures about Market Risk</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55</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8.</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Financial Statements and Supplementary Data</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56</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9A.</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Changes in and Disagreements with Accountants on Accountng and Financial Disclosure</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101</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9B.</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Other Informaton</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102</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9C.</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Disclosure Regarding Foreign Jurisdictons that Prevent Inspectons</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102</w:t>
            </w:r>
          </w:p>
        </w:tc>
      </w:tr>
      <w:tr>
        <w:trPr>
          <w:trHeight w:val="210"/>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b w:val="1"/>
                <w:bCs w:val="1"/>
                <w:color w:val="0000FF"/>
              </w:rPr>
              <w:t>Part III</w:t>
            </w:r>
          </w:p>
        </w:tc>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102</w:t>
            </w:r>
          </w:p>
        </w:tc>
      </w:tr>
      <w:tr>
        <w:trPr>
          <w:trHeight w:val="20"/>
        </w:trPr>
        <w:tc>
          <w:tcPr>
            <w:tcW w:w="5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10.</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Directors, Executve Ofcers and Corporate Governance</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102</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11.</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Executve Compensaton</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102</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12.</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Security Ownership of Certain Benefcial Owners and Management and Related Stockholder Maters</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102</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13.</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Certain Relatonships and Related Transactons, and Director Independence</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102</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14.</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Principal Accountant Fees and Services</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102</w:t>
            </w:r>
          </w:p>
        </w:tc>
      </w:tr>
      <w:tr>
        <w:trPr>
          <w:trHeight w:val="210"/>
        </w:trPr>
        <w:tc>
          <w:tcPr>
            <w:tcW w:w="500" w:type="dxa"/>
            <w:vAlign w:val="bottom"/>
            <w:tcBorders>
              <w:bottom w:val="single" w:sz="8" w:color="0000FF"/>
            </w:tcBorders>
          </w:tcPr>
          <w:p>
            <w:pPr>
              <w:ind w:left="20"/>
              <w:spacing w:after="0" w:line="209" w:lineRule="exact"/>
              <w:rPr>
                <w:sz w:val="20"/>
                <w:szCs w:val="20"/>
                <w:color w:val="auto"/>
              </w:rPr>
            </w:pPr>
            <w:r>
              <w:rPr>
                <w:rFonts w:ascii="Calibri" w:cs="Calibri" w:eastAsia="Calibri" w:hAnsi="Calibri"/>
                <w:sz w:val="18"/>
                <w:szCs w:val="18"/>
                <w:b w:val="1"/>
                <w:bCs w:val="1"/>
                <w:color w:val="0000FF"/>
                <w:w w:val="86"/>
              </w:rPr>
              <w:t>Part IV</w:t>
            </w:r>
          </w:p>
        </w:tc>
        <w:tc>
          <w:tcPr>
            <w:tcW w:w="40" w:type="dxa"/>
            <w:vAlign w:val="bottom"/>
            <w:tcBorders>
              <w:bottom w:val="single" w:sz="8" w:color="0000EE"/>
            </w:tcBorders>
          </w:tcPr>
          <w:p>
            <w:pPr>
              <w:spacing w:after="0"/>
              <w:rPr>
                <w:sz w:val="18"/>
                <w:szCs w:val="18"/>
                <w:color w:val="auto"/>
              </w:rPr>
            </w:pPr>
          </w:p>
        </w:tc>
        <w:tc>
          <w:tcPr>
            <w:tcW w:w="640" w:type="dxa"/>
            <w:vAlign w:val="bottom"/>
            <w:gridSpan w:val="2"/>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102</w:t>
            </w:r>
          </w:p>
        </w:tc>
      </w:tr>
      <w:tr>
        <w:trPr>
          <w:trHeight w:val="209"/>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15.</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Exhibits and Financial Statement Schedules</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102</w:t>
            </w: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58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auto"/>
              </w:rPr>
              <w:t>Item 16.</w:t>
            </w:r>
          </w:p>
        </w:tc>
        <w:tc>
          <w:tcPr>
            <w:tcW w:w="9620" w:type="dxa"/>
            <w:vAlign w:val="bottom"/>
            <w:gridSpan w:val="21"/>
          </w:tcPr>
          <w:p>
            <w:pPr>
              <w:spacing w:after="0" w:line="209" w:lineRule="exact"/>
              <w:rPr>
                <w:sz w:val="20"/>
                <w:szCs w:val="20"/>
                <w:color w:val="auto"/>
              </w:rPr>
            </w:pPr>
            <w:r>
              <w:rPr>
                <w:rFonts w:ascii="Calibri" w:cs="Calibri" w:eastAsia="Calibri" w:hAnsi="Calibri"/>
                <w:sz w:val="18"/>
                <w:szCs w:val="18"/>
                <w:color w:val="0000FF"/>
              </w:rPr>
              <w:t>Form 10-K Summary</w:t>
            </w: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107</w:t>
            </w:r>
          </w:p>
        </w:tc>
      </w:tr>
      <w:tr>
        <w:trPr>
          <w:trHeight w:val="210"/>
        </w:trPr>
        <w:tc>
          <w:tcPr>
            <w:tcW w:w="1180" w:type="dxa"/>
            <w:vAlign w:val="bottom"/>
            <w:gridSpan w:val="4"/>
          </w:tcPr>
          <w:p>
            <w:pPr>
              <w:ind w:left="20"/>
              <w:spacing w:after="0" w:line="209" w:lineRule="exact"/>
              <w:rPr>
                <w:sz w:val="20"/>
                <w:szCs w:val="20"/>
                <w:color w:val="auto"/>
              </w:rPr>
            </w:pPr>
            <w:r>
              <w:rPr>
                <w:rFonts w:ascii="Calibri" w:cs="Calibri" w:eastAsia="Calibri" w:hAnsi="Calibri"/>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jc w:val="right"/>
              <w:spacing w:after="0" w:line="209" w:lineRule="exact"/>
              <w:rPr>
                <w:sz w:val="20"/>
                <w:szCs w:val="20"/>
                <w:color w:val="auto"/>
              </w:rPr>
            </w:pPr>
            <w:r>
              <w:rPr>
                <w:rFonts w:ascii="Calibri" w:cs="Calibri" w:eastAsia="Calibri" w:hAnsi="Calibri"/>
                <w:sz w:val="18"/>
                <w:szCs w:val="18"/>
                <w:color w:val="auto"/>
              </w:rPr>
              <w:t>108</w:t>
            </w:r>
          </w:p>
        </w:tc>
      </w:tr>
      <w:tr>
        <w:trPr>
          <w:trHeight w:val="595"/>
        </w:trPr>
        <w:tc>
          <w:tcPr>
            <w:tcW w:w="5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8"/>
          <w:szCs w:val="18"/>
          <w:b w:val="1"/>
          <w:bCs w:val="1"/>
          <w:color w:val="auto"/>
        </w:rPr>
        <w:t>FORWARD-LOOKING STATEMENTS</w:t>
      </w:r>
    </w:p>
    <w:p>
      <w:pPr>
        <w:spacing w:after="0" w:line="3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Annual Report on Form 10-K contains forward-looking statements regarding future events and the future results of Vivid Seats Inc. that are based on our current expectatons, estmates, forecasts and projectons about the industries in which we operate and the beliefs and assumptons of our management. We intend such forward-looking statements to be covered by the safe harbor provisions for forward-looking statements contained in Secton 27A of the Securites Act of 1933, as amended (the "Securites Act"), and Secton 21E of the Securites Exchange Act of 1934, as amended (the "Exchange Act"). Words such as “expect,” “antcipate,” “target,” “goal,” “project,” “intend,” “plan,” “believe,” “seek,” “estmate,” “will,” “likely,” “may,” “designed,” “would,” “future,” “can,” “could,” and other similar expressions which are predictons of, indicate future events and trends or which do not relate to historical maters, are intended to identfy such forward-looking statements. These statements are based on our current expectatons and beliefs and involve a number of risks, uncertaintes and assumptons that are difcult to predict.</w:t>
      </w:r>
    </w:p>
    <w:p>
      <w:pPr>
        <w:spacing w:after="0" w:line="137" w:lineRule="exact"/>
        <w:rPr>
          <w:sz w:val="20"/>
          <w:szCs w:val="20"/>
          <w:color w:val="auto"/>
        </w:rPr>
      </w:pPr>
    </w:p>
    <w:p>
      <w:pPr>
        <w:spacing w:after="0"/>
        <w:rPr>
          <w:sz w:val="20"/>
          <w:szCs w:val="20"/>
          <w:color w:val="auto"/>
        </w:rPr>
      </w:pPr>
      <w:r>
        <w:rPr>
          <w:rFonts w:ascii="Calibri" w:cs="Calibri" w:eastAsia="Calibri" w:hAnsi="Calibri"/>
          <w:sz w:val="18"/>
          <w:szCs w:val="18"/>
          <w:color w:val="auto"/>
        </w:rPr>
        <w:t>For example, we may use forward-looking statements when addressing topics such as:</w:t>
      </w:r>
    </w:p>
    <w:p>
      <w:pPr>
        <w:spacing w:after="0" w:line="15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raise fnancing in the future;</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future fnancial performance;</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success in retaining or recruitng, or changes required in, our ofcers, key employees or directors;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pay dividends on our Class A common stock on the terms currently contemplated or at all; and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factors relatng to our business, operatons and fnancial performance, including, but not limited to:</w:t>
      </w:r>
    </w:p>
    <w:p>
      <w:pPr>
        <w:spacing w:after="0" w:line="14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the impact of the pandemic on our business and the industries in which we operate;</w:t>
      </w:r>
    </w:p>
    <w:p>
      <w:pPr>
        <w:spacing w:after="0" w:line="17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compete in the tcketng industry;</w:t>
      </w:r>
    </w:p>
    <w:p>
      <w:pPr>
        <w:spacing w:after="0" w:line="17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maintain relatonships with tcket buyers, sellers and distributon partners;</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contnue to improve our platorm and maintain and enhance our brand;</w:t>
      </w:r>
    </w:p>
    <w:p>
      <w:pPr>
        <w:spacing w:after="0" w:line="170" w:lineRule="exact"/>
        <w:rPr>
          <w:rFonts w:ascii="Times New Roman" w:cs="Times New Roman" w:eastAsia="Times New Roman" w:hAnsi="Times New Roman"/>
          <w:sz w:val="18"/>
          <w:szCs w:val="18"/>
          <w:color w:val="auto"/>
        </w:rPr>
      </w:pPr>
    </w:p>
    <w:p>
      <w:pPr>
        <w:ind w:left="1540" w:hanging="509"/>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8"/>
          <w:szCs w:val="18"/>
          <w:color w:val="auto"/>
        </w:rPr>
        <w:t>the impact of extraordinary events or adverse economic conditons on discretonary consumer and corporate spending or on the supply and demand of live events;</w:t>
      </w:r>
    </w:p>
    <w:p>
      <w:pPr>
        <w:spacing w:after="0" w:line="16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comply with domestc regulatory regimes;</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successfully defend against litgaton;</w:t>
      </w:r>
    </w:p>
    <w:p>
      <w:pPr>
        <w:spacing w:after="0" w:line="17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maintain the integrity of our informaton systems and infrastructure, and to mitgate possible cyber security risks;</w:t>
      </w:r>
    </w:p>
    <w:p>
      <w:pPr>
        <w:spacing w:after="0" w:line="175" w:lineRule="exact"/>
        <w:rPr>
          <w:sz w:val="20"/>
          <w:szCs w:val="20"/>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generate sufcient cash fows or raise additonal capital necessary to fund our operatons; and</w:t>
      </w:r>
    </w:p>
    <w:p>
      <w:pPr>
        <w:spacing w:after="0" w:line="14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 factors detailed under the secton enttled “Risk Factors.”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based these forward-looking statements largely on our current expectatons and projectons about future events and fnancial trends that we believe may afect our business, fnancial conditon and results of operatons. Forward-looking statements are predictons and are subject to risks, uncertaintes and assumptons that are difcult to predict. Therefore, actual results may difer materially and adversely from those expressed in any forward-looking statements. You are cautoned not to place undue reliance on these forward-looking statements, which speak only as of the date of this document, or in the case of statements incorporated by reference, on the date of the document incorporated by reference.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w:t>
      </w:r>
    </w:p>
    <w:p>
      <w:pPr>
        <w:spacing w:after="0" w:line="1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35" w:lineRule="auto"/>
        <w:rPr>
          <w:sz w:val="20"/>
          <w:szCs w:val="20"/>
          <w:color w:val="auto"/>
        </w:rPr>
      </w:pPr>
      <w:r>
        <w:rPr>
          <w:rFonts w:ascii="Calibri" w:cs="Calibri" w:eastAsia="Calibri" w:hAnsi="Calibri"/>
          <w:sz w:val="18"/>
          <w:szCs w:val="18"/>
          <w:color w:val="auto"/>
        </w:rPr>
        <w:t>Factors that might cause or contribute to such diferences include, but are not limited to, those discussed in this Annual Report on Form 10-K, under the sectons enttled “Management’s Discussion and Analysis of Financial Conditon and Results of Operatons” and “Risk Factors,” in our press releases, and other fnancial flings with the Securites and Exchange Commission. Except as required by applicable law, we do not plan to publicly update or revise any forward-looking statements contained in this Annual Report on Form 10-K whether as a result of new informaton, future events, or risks. New informaton, future events, or risks may cause the forward-looking events we discuss in this report not to occur.</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 w:name="page6"/>
    <w:bookmarkEnd w:id="5"/>
    <w:p>
      <w:pPr>
        <w:jc w:val="center"/>
        <w:spacing w:after="0"/>
        <w:rPr>
          <w:sz w:val="20"/>
          <w:szCs w:val="20"/>
          <w:color w:val="auto"/>
        </w:rPr>
      </w:pPr>
      <w:r>
        <w:rPr>
          <w:rFonts w:ascii="Calibri" w:cs="Calibri" w:eastAsia="Calibri" w:hAnsi="Calibri"/>
          <w:sz w:val="18"/>
          <w:szCs w:val="18"/>
          <w:b w:val="1"/>
          <w:bCs w:val="1"/>
          <w:color w:val="auto"/>
        </w:rPr>
        <w:t>RISK FACTORS SUMMARY</w:t>
      </w:r>
    </w:p>
    <w:p>
      <w:pPr>
        <w:spacing w:after="0" w:line="366"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231F20"/>
        </w:rPr>
        <w:t>You should carefully read this Annual Report on Form 10-K and especially consider the factors discussed in the secton enttled “Risk Factors.” Such risks include, but are not limited to:</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31F20"/>
        </w:rPr>
        <w:t>Risks related to our business and the live events and tcketng industries</w:t>
      </w:r>
    </w:p>
    <w:p>
      <w:pPr>
        <w:spacing w:after="0" w:line="163" w:lineRule="exact"/>
        <w:rPr>
          <w:sz w:val="20"/>
          <w:szCs w:val="20"/>
          <w:color w:val="auto"/>
        </w:rPr>
      </w:pPr>
    </w:p>
    <w:p>
      <w:pPr>
        <w:ind w:left="1020" w:hanging="503"/>
        <w:spacing w:after="0" w:line="235" w:lineRule="auto"/>
        <w:tabs>
          <w:tab w:leader="none" w:pos="1020" w:val="left"/>
        </w:tabs>
        <w:numPr>
          <w:ilvl w:val="0"/>
          <w:numId w:val="4"/>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business is dependent on the contnued occurrence of large-scale sportng events, concerts and theater shows and on relatonships with tcket buyers, sellers and distributon partners and any change in such occurrence or relatonships could adversely afect our business.</w:t>
      </w:r>
    </w:p>
    <w:p>
      <w:pPr>
        <w:spacing w:after="0" w:line="163"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4"/>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Changes in internet search engine algorithms or changes in marketplace rules could have a negatve impact on trafc for our sites and ultmately, our business and results of operatons.</w:t>
      </w:r>
    </w:p>
    <w:p>
      <w:pPr>
        <w:spacing w:after="0" w:line="145"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face intense competton in the tcketng industry.</w:t>
      </w:r>
    </w:p>
    <w:p>
      <w:pPr>
        <w:spacing w:after="0" w:line="163"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4"/>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If we do not contnue to maintain and improve our platorm or develop successful new solutons and enhancements, or improve existng ones, our business will sufer.</w:t>
      </w:r>
    </w:p>
    <w:p>
      <w:pPr>
        <w:spacing w:after="0" w:line="158"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may be adversely afected by the occurrence of extraordinary events or the efects of infaton.</w:t>
      </w:r>
    </w:p>
    <w:p>
      <w:pPr>
        <w:spacing w:after="0" w:line="144"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may be unsuccessful in potental future acquisitons.</w:t>
      </w:r>
    </w:p>
    <w:p>
      <w:pPr>
        <w:spacing w:after="0" w:line="163"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4"/>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Due to our business's seasonality, our fnancial performance in partcular fnancial periods may not be indicatve of, or comparable to, our fnancial performance in subsequent fnancial periods.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31F20"/>
        </w:rPr>
        <w:t>Risks related to the COVID-19 pandemic</w:t>
      </w:r>
    </w:p>
    <w:p>
      <w:pPr>
        <w:spacing w:after="0" w:line="145"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COVID-19 pandemic has had, and may contnue to have, a material negatve impact on our business and operatng results.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31F20"/>
        </w:rPr>
        <w:t>Risks related to government regulaton and litgaton</w:t>
      </w:r>
    </w:p>
    <w:p>
      <w:pPr>
        <w:spacing w:after="0" w:line="163" w:lineRule="exact"/>
        <w:rPr>
          <w:sz w:val="20"/>
          <w:szCs w:val="20"/>
          <w:color w:val="auto"/>
        </w:rPr>
      </w:pPr>
    </w:p>
    <w:p>
      <w:pPr>
        <w:ind w:left="1020" w:hanging="503"/>
        <w:spacing w:after="0" w:line="235" w:lineRule="auto"/>
        <w:tabs>
          <w:tab w:leader="none" w:pos="1020" w:val="left"/>
        </w:tabs>
        <w:numPr>
          <w:ilvl w:val="0"/>
          <w:numId w:val="6"/>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processing, storage, use and disclosure of personal data could give rise to liabilites as a result of governmental regulaton, confictng legal requirements or applicatons of privacy regulatons.</w:t>
      </w:r>
    </w:p>
    <w:p>
      <w:pPr>
        <w:spacing w:after="0" w:line="150"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6"/>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Unfavorable legislatve outcomes, or outcomes in legal proceedings in which we may be involved may adversely afect our business and operatng results.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31F20"/>
        </w:rPr>
        <w:t>Risks related to informaton technology, cybersecurity and intellectual property</w:t>
      </w:r>
    </w:p>
    <w:p>
      <w:pPr>
        <w:spacing w:after="0" w:line="163" w:lineRule="exact"/>
        <w:rPr>
          <w:sz w:val="20"/>
          <w:szCs w:val="20"/>
          <w:color w:val="auto"/>
        </w:rPr>
      </w:pPr>
    </w:p>
    <w:p>
      <w:pPr>
        <w:ind w:left="1020" w:hanging="503"/>
        <w:spacing w:after="0" w:line="235" w:lineRule="auto"/>
        <w:tabs>
          <w:tab w:leader="none" w:pos="1020" w:val="left"/>
        </w:tabs>
        <w:numPr>
          <w:ilvl w:val="0"/>
          <w:numId w:val="7"/>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System interrupton and the lack of integraton and redundancy in our systems and infrastructure may have an adverse impact on our business, fnancial conditon and results of operatons.</w:t>
      </w:r>
    </w:p>
    <w:p>
      <w:pPr>
        <w:spacing w:after="0" w:line="145"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Cyber security risks, data loss or other breaches of our network security could materially harm our business and results of operatons.</w:t>
      </w:r>
    </w:p>
    <w:p>
      <w:pPr>
        <w:spacing w:after="0" w:line="158"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payments system depends on third-party providers.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31F20"/>
        </w:rPr>
        <w:t>Risks related to our indebtedness</w:t>
      </w:r>
    </w:p>
    <w:p>
      <w:pPr>
        <w:spacing w:after="0" w:line="158"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agreements governing our indebtedness impose restrictons on us that limit the discreton of management in operatng our business.</w:t>
      </w:r>
    </w:p>
    <w:p>
      <w:pPr>
        <w:spacing w:after="0" w:line="163"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8"/>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depend on the cash fows of our subsidiaries in order to satsfy our obligatons, and we may face liquidity constraints if we are unable to generate sufcient cash fows and we may be unable to raise the additonal capital when necessary or desirable.</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31F20"/>
        </w:rPr>
        <w:t>Risks related to our organizatonal structure</w:t>
      </w:r>
    </w:p>
    <w:p>
      <w:pPr>
        <w:spacing w:after="0" w:line="163" w:lineRule="exact"/>
        <w:rPr>
          <w:sz w:val="20"/>
          <w:szCs w:val="20"/>
          <w:color w:val="auto"/>
        </w:rPr>
      </w:pPr>
    </w:p>
    <w:p>
      <w:pPr>
        <w:ind w:left="5580" w:right="3860" w:hanging="5063"/>
        <w:spacing w:after="0" w:line="348" w:lineRule="auto"/>
        <w:tabs>
          <w:tab w:leader="none" w:pos="1027" w:val="left"/>
        </w:tabs>
        <w:numPr>
          <w:ilvl w:val="0"/>
          <w:numId w:val="9"/>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 xml:space="preserve">Our Private Equity Owner controls us, and its interest may confict with ours in the future. </w:t>
      </w:r>
      <w:r>
        <w:rPr>
          <w:rFonts w:ascii="Calibri" w:cs="Calibri" w:eastAsia="Calibri" w:hAnsi="Calibri"/>
          <w:sz w:val="18"/>
          <w:szCs w:val="18"/>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ind w:left="1020" w:hanging="503"/>
        <w:spacing w:after="0"/>
        <w:tabs>
          <w:tab w:leader="none" w:pos="1020" w:val="left"/>
        </w:tabs>
        <w:numPr>
          <w:ilvl w:val="0"/>
          <w:numId w:val="10"/>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are a “controlled company” within the meaning of Nasdaq listng standards.</w:t>
      </w:r>
    </w:p>
    <w:p>
      <w:pPr>
        <w:spacing w:after="0" w:line="144"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Tax Receivable Agreement requires us to make cash payments to Hoya Topco.</w:t>
      </w:r>
    </w:p>
    <w:p>
      <w:pPr>
        <w:spacing w:after="0" w:line="158"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only material asset is our direct and indirect interests in Hoya Intermediate.</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231F20"/>
        </w:rPr>
        <w:t>Risks related to being a public company</w:t>
      </w:r>
    </w:p>
    <w:p>
      <w:pPr>
        <w:spacing w:after="0" w:line="145"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have identfed a material weakness in our internal control over fnancial reportng.</w:t>
      </w:r>
    </w:p>
    <w:p>
      <w:pPr>
        <w:spacing w:after="0" w:line="158"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are an emerging growth company.</w:t>
      </w:r>
    </w:p>
    <w:p>
      <w:pPr>
        <w:spacing w:after="0" w:line="163"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11"/>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Warrants will become exercisable for our Class A common stock, which may increase the number of shares eligible for resale in the market and result in diluton to our stockholders.</w:t>
      </w:r>
    </w:p>
    <w:p>
      <w:pPr>
        <w:spacing w:after="0" w:line="13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PART I</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 Business</w:t>
      </w:r>
    </w:p>
    <w:p>
      <w:pPr>
        <w:spacing w:after="0" w:line="150"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Unless the context otherwise requires, references in this Form 10-K to “VSI,” “we,” “us,” “the Company” or “our” refer to Vivid Seats Inc. and its subsidiaries.</w:t>
      </w:r>
    </w:p>
    <w:p>
      <w:pPr>
        <w:spacing w:after="0" w:line="1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are an online tcket marketplace that utlizes our technology platorm to connect fans of live events seamlessly with tcket sellers. Our mission is to empower and enable fans to </w:t>
      </w:r>
      <w:r>
        <w:rPr>
          <w:rFonts w:ascii="Calibri" w:cs="Calibri" w:eastAsia="Calibri" w:hAnsi="Calibri"/>
          <w:sz w:val="18"/>
          <w:szCs w:val="18"/>
          <w:i w:val="1"/>
          <w:iCs w:val="1"/>
          <w:color w:val="auto"/>
        </w:rPr>
        <w:t>Experience It Live</w:t>
      </w:r>
      <w:r>
        <w:rPr>
          <w:rFonts w:ascii="Calibri" w:cs="Calibri" w:eastAsia="Calibri" w:hAnsi="Calibri"/>
          <w:sz w:val="18"/>
          <w:szCs w:val="18"/>
          <w:color w:val="auto"/>
        </w:rPr>
        <w:t>.</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believe in the power of shared experiences to connect people with live events delivering some of life’s most excitng moments. We are relentless about fnding ways to make event discovery and tcket purchasing easy, excitng and stress-free. Our platorm provides tcket buyers and sellers with an easy-to-use, trusted marketplace experience, ensuring fans can atend live events and create new memories.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operate a technology platorm and marketplace that enables tcket buyers to easily discover and purchase tckets from tcket sellers while enabling tcket sellers to seamlessly manage their operatons. To generate tcket sales, drive trafc to our website and mobile applicatons, and build brand recogniton, we have mutually benefcial partnerships with media partners, product and service partners, distributon partners and content rights holders such as teams, leagues and venues. To atract and retain sellers, we ofer a variety of products and services that allow their businesses to thrive.</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platorm is built on years of transactonal and engagement data that provides us with deep insights into how to best connect tcket buyers with the experiences they seek. We understand the feeling of antcipaton as the start of an event approaches and work diligently to enable fans to experience as many of these moments as possible. We seek to provide enriching customer engagement opportunites with personalized recommendatons, engaging discovery optons, a streamlined shopping experience and a diferentated value propositon through compettvely priced tckets and loyalty rewards. Our Vivid Seats Rewards program allows tcket buyers to earn Reward Credits to spend on future orders and experience even more of their favorite events.</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2021, we acquired Betcha Sports, Inc. (“Betcha”), a real money daily fantasy sports app with social and gamifcaton features. In August 2022, we rebranded Betcha as Vivid Picks, LLC (“Vivid Picks”) and integrated the product into our ecosystem. We leverage the natural overlap between sports fans who play fantasy and sports fans who buy tckets. We also learn more about our customer preferences, and foster engagement between tcketng transactons. Within the Vivid Picks app, users are able to place entries and engage socially, as well as browse, discover, and buy tckets to events.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color w:val="auto"/>
        </w:rPr>
        <w:t>As a two-sided marketplace, our customer base includes both tcket buyers and tcket sellers, as well as Vivid Picks daily fantasy sports users.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Business Model</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color w:val="auto"/>
        </w:rPr>
        <w:t>We operate our business in two segments, Marketplace and Resale.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act as an intermediary between tcket buyers and sellers through which we earn revenue from processing tcket sales on our website and mobile applicatons and sales initated through our numerous distributon partners. Our Marketplace segment also includes our daily fantasy sports ofering, where users partake in contests by making picks from a variety of sport and player matchups. Using our online platorm, customers are able to make payments, deposits and withdrawals, and we coordinate tcket deliveries, and provide customer service to our tcket buyers and sellers and daily fantasy sports users. We do not hold tcket inventory in our Marketplace segment.</w:t>
      </w:r>
    </w:p>
    <w:p>
      <w:pPr>
        <w:spacing w:after="0" w:line="15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We primarily earn revenue from service and delivery fees charged to tcket buyers. We also earn referral fee revenue by ofering event tcket insurance to tcket buyers, using a third-party insurance provider. The revenue we earn from our daily fantasy sports ofering is the diference between cash entry fees collected and cash amounts paid out to users for winning picks, less customer promotons and incentves in a period.</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incur costs for developing and maintaining our platorm, providing back-ofce and customer support to tcket buyers, sellers and daily fantasy sports users, facilitatng payments and shipping non-electronic tckets. We also incur substantal marketng costs, primarily related to online advertsing.</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key component of our platorm is Skybox, a proprietary enterprise resource planning (“ERP”) tool used by the majority of our tcket sellers. Skybox is a free-to-use system that helps tcket sellers manage tcket inventories, adjust pricing, and fulfll orders across multple tcket resale marketplaces. Professional tcket sellers use an ERP to manage their operatons and Skybox is their most widely adopted ERP.</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tckets we sell through our Marketplace segment are diversifed across event categories including sports, concerts and theater. A diversifed mix across these three major categories broadens our opportunites, limits exposure to any partcular category, and reduces seasonal variaton in order volumes.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color w:val="231F20"/>
        </w:rPr>
        <w:t>Within each of these categories, there are a broad range of productons that provide further diversifcaton:</w:t>
      </w:r>
    </w:p>
    <w:p>
      <w:pPr>
        <w:spacing w:after="0" w:line="163" w:lineRule="exact"/>
        <w:rPr>
          <w:sz w:val="20"/>
          <w:szCs w:val="20"/>
          <w:color w:val="auto"/>
        </w:rPr>
      </w:pPr>
    </w:p>
    <w:p>
      <w:pPr>
        <w:ind w:left="1020" w:right="20" w:hanging="503"/>
        <w:spacing w:after="0" w:line="235" w:lineRule="auto"/>
        <w:tabs>
          <w:tab w:leader="none" w:pos="1020" w:val="left"/>
        </w:tabs>
        <w:numPr>
          <w:ilvl w:val="0"/>
          <w:numId w:val="12"/>
        </w:numPr>
        <w:rPr>
          <w:rFonts w:ascii="Times New Roman" w:cs="Times New Roman" w:eastAsia="Times New Roman" w:hAnsi="Times New Roman"/>
          <w:sz w:val="18"/>
          <w:szCs w:val="18"/>
          <w:color w:val="231F20"/>
        </w:rPr>
      </w:pPr>
      <w:r>
        <w:rPr>
          <w:rFonts w:ascii="Calibri" w:cs="Calibri" w:eastAsia="Calibri" w:hAnsi="Calibri"/>
          <w:sz w:val="18"/>
          <w:szCs w:val="18"/>
          <w:i w:val="1"/>
          <w:iCs w:val="1"/>
          <w:color w:val="231F20"/>
        </w:rPr>
        <w:t xml:space="preserve">Sports. </w:t>
      </w:r>
      <w:r>
        <w:rPr>
          <w:rFonts w:ascii="Calibri" w:cs="Calibri" w:eastAsia="Calibri" w:hAnsi="Calibri"/>
          <w:sz w:val="18"/>
          <w:szCs w:val="18"/>
          <w:color w:val="231F20"/>
        </w:rPr>
        <w:t>The sports category includes the four major professional leagues (MLB, NFL, NBA and NHL), college sports and a wide variety of other</w:t>
      </w:r>
      <w:r>
        <w:rPr>
          <w:rFonts w:ascii="Calibri" w:cs="Calibri" w:eastAsia="Calibri" w:hAnsi="Calibri"/>
          <w:sz w:val="18"/>
          <w:szCs w:val="18"/>
          <w:i w:val="1"/>
          <w:iCs w:val="1"/>
          <w:color w:val="231F20"/>
        </w:rPr>
        <w:t xml:space="preserve"> </w:t>
      </w:r>
      <w:r>
        <w:rPr>
          <w:rFonts w:ascii="Calibri" w:cs="Calibri" w:eastAsia="Calibri" w:hAnsi="Calibri"/>
          <w:sz w:val="18"/>
          <w:szCs w:val="18"/>
          <w:color w:val="231F20"/>
        </w:rPr>
        <w:t>sportng actvites including soccer, racing and minor league baseball.</w:t>
      </w:r>
    </w:p>
    <w:p>
      <w:pPr>
        <w:spacing w:after="0" w:line="163" w:lineRule="exact"/>
        <w:rPr>
          <w:rFonts w:ascii="Times New Roman" w:cs="Times New Roman" w:eastAsia="Times New Roman" w:hAnsi="Times New Roman"/>
          <w:sz w:val="18"/>
          <w:szCs w:val="18"/>
          <w:color w:val="231F20"/>
        </w:rPr>
      </w:pPr>
    </w:p>
    <w:p>
      <w:pPr>
        <w:ind w:left="1020" w:right="20" w:hanging="503"/>
        <w:spacing w:after="0" w:line="235" w:lineRule="auto"/>
        <w:tabs>
          <w:tab w:leader="none" w:pos="1020" w:val="left"/>
        </w:tabs>
        <w:numPr>
          <w:ilvl w:val="0"/>
          <w:numId w:val="12"/>
        </w:numPr>
        <w:rPr>
          <w:rFonts w:ascii="Times New Roman" w:cs="Times New Roman" w:eastAsia="Times New Roman" w:hAnsi="Times New Roman"/>
          <w:sz w:val="18"/>
          <w:szCs w:val="18"/>
          <w:color w:val="231F20"/>
        </w:rPr>
      </w:pPr>
      <w:r>
        <w:rPr>
          <w:rFonts w:ascii="Calibri" w:cs="Calibri" w:eastAsia="Calibri" w:hAnsi="Calibri"/>
          <w:sz w:val="18"/>
          <w:szCs w:val="18"/>
          <w:i w:val="1"/>
          <w:iCs w:val="1"/>
          <w:color w:val="231F20"/>
        </w:rPr>
        <w:t xml:space="preserve">Concerts. </w:t>
      </w:r>
      <w:r>
        <w:rPr>
          <w:rFonts w:ascii="Calibri" w:cs="Calibri" w:eastAsia="Calibri" w:hAnsi="Calibri"/>
          <w:sz w:val="18"/>
          <w:szCs w:val="18"/>
          <w:color w:val="231F20"/>
        </w:rPr>
        <w:t>The concert category includes musical acts across a broad range of genres touring across major venues, small venues, and music</w:t>
      </w:r>
      <w:r>
        <w:rPr>
          <w:rFonts w:ascii="Calibri" w:cs="Calibri" w:eastAsia="Calibri" w:hAnsi="Calibri"/>
          <w:sz w:val="18"/>
          <w:szCs w:val="18"/>
          <w:i w:val="1"/>
          <w:iCs w:val="1"/>
          <w:color w:val="231F20"/>
        </w:rPr>
        <w:t xml:space="preserve"> </w:t>
      </w:r>
      <w:r>
        <w:rPr>
          <w:rFonts w:ascii="Calibri" w:cs="Calibri" w:eastAsia="Calibri" w:hAnsi="Calibri"/>
          <w:sz w:val="18"/>
          <w:szCs w:val="18"/>
          <w:color w:val="231F20"/>
        </w:rPr>
        <w:t>festvals.</w:t>
      </w:r>
    </w:p>
    <w:p>
      <w:pPr>
        <w:spacing w:after="0" w:line="150"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12"/>
        </w:numPr>
        <w:rPr>
          <w:rFonts w:ascii="Times New Roman" w:cs="Times New Roman" w:eastAsia="Times New Roman" w:hAnsi="Times New Roman"/>
          <w:sz w:val="18"/>
          <w:szCs w:val="18"/>
          <w:color w:val="231F20"/>
        </w:rPr>
      </w:pPr>
      <w:r>
        <w:rPr>
          <w:rFonts w:ascii="Calibri" w:cs="Calibri" w:eastAsia="Calibri" w:hAnsi="Calibri"/>
          <w:sz w:val="18"/>
          <w:szCs w:val="18"/>
          <w:i w:val="1"/>
          <w:iCs w:val="1"/>
          <w:color w:val="231F20"/>
        </w:rPr>
        <w:t xml:space="preserve">Theater. </w:t>
      </w:r>
      <w:r>
        <w:rPr>
          <w:rFonts w:ascii="Calibri" w:cs="Calibri" w:eastAsia="Calibri" w:hAnsi="Calibri"/>
          <w:sz w:val="18"/>
          <w:szCs w:val="18"/>
          <w:color w:val="231F20"/>
        </w:rPr>
        <w:t>The theater category includes Broadway and of-Broadway plays and musicals, family entertainment events, comedy acts, and speaker</w:t>
      </w:r>
      <w:r>
        <w:rPr>
          <w:rFonts w:ascii="Calibri" w:cs="Calibri" w:eastAsia="Calibri" w:hAnsi="Calibri"/>
          <w:sz w:val="18"/>
          <w:szCs w:val="18"/>
          <w:i w:val="1"/>
          <w:iCs w:val="1"/>
          <w:color w:val="231F20"/>
        </w:rPr>
        <w:t xml:space="preserve"> </w:t>
      </w:r>
      <w:r>
        <w:rPr>
          <w:rFonts w:ascii="Calibri" w:cs="Calibri" w:eastAsia="Calibri" w:hAnsi="Calibri"/>
          <w:sz w:val="18"/>
          <w:szCs w:val="18"/>
          <w:color w:val="231F20"/>
        </w:rPr>
        <w:t>series.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Resale segment, we acquire tckets to resell on secondary tcket marketplaces, including our own. Our Resale segment also provides internal research and development support for Skybox and our ongoing eforts to deliver industry-leading seller sofware and tools.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Growth Strategies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New Customer Acquisiton via Performance Marketng</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Fans interested in atending live events frequently utlize internet search engines to browse tckets. With our proprietary digital marketng technology and real-tme frst-party data, we have historically captured customer search trafc within reasonable customer acquisiton cost thresholds. We will contnue to hone our performance marketng algorithms, test new performance marketng channels and invest to acquire new customers where we identfy positve lifetme value.</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i w:val="1"/>
          <w:iCs w:val="1"/>
          <w:color w:val="auto"/>
        </w:rPr>
        <w:t>Increase Our Brand Awareness and Afnity</w:t>
      </w:r>
    </w:p>
    <w:p>
      <w:pPr>
        <w:spacing w:after="0" w:line="136" w:lineRule="exact"/>
        <w:rPr>
          <w:sz w:val="20"/>
          <w:szCs w:val="20"/>
          <w:color w:val="auto"/>
        </w:rPr>
      </w:pPr>
    </w:p>
    <w:p>
      <w:pPr>
        <w:jc w:val="both"/>
        <w:spacing w:after="0" w:line="237" w:lineRule="auto"/>
        <w:rPr>
          <w:sz w:val="20"/>
          <w:szCs w:val="20"/>
          <w:color w:val="auto"/>
        </w:rPr>
      </w:pPr>
      <w:r>
        <w:rPr>
          <w:rFonts w:ascii="Calibri" w:cs="Calibri" w:eastAsia="Calibri" w:hAnsi="Calibri"/>
          <w:sz w:val="18"/>
          <w:szCs w:val="18"/>
          <w:color w:val="auto"/>
        </w:rPr>
        <w:t>We want Vivid Seats to be the go-to tcketng marketplace for buyers and sellers when searching for, purchasing and selling event tckets. We seek to ofer the best value to tcket buyers and sellers in the secondary tcketng market and want to amplify our message to maximize awareness of what diferentates our oferings. We diferentate ourselves from compettors by ofering an extensive breadth and depth of tcket listngs at a compettve value. Our Vivid Seats Rewards program allows tcket buyers to earn Reward Credits to spend on future orders, enhancing our value propositon, and also surprises and delights buyers with other perks and upgrades. Our most recent brand campaign connects Vivid Seats with the number 11 and drives awareness of the key tenet of our Vivid Seats Rewards program, the free 11</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tcket.</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ofer a reliable and secure experience for tcket buyers. We provide our buyers with award-winning customer service and a 100% buyer guarantee. Our 100% buyer guarantee provides full-service customer care, safe and secure transactons and valid tckets, which are delivered before the event. Our tcket buyers receive compensaton for late delivery of tckets and cancelled events. Live event tckets are ofen a signifcant purchase. The more customers understand our value propositon, appreciate that we are a trusted marketplace, develop an afnity for our brand, and interact with our platorm, the more transactons we expect to complete.</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Increase Customer Retenton</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Once customers transact with us, many return and complete additonal transactons. We seek to increase both the number and frequency of these repeat customer visits and transactons by having tcket buyers view us as their tcketng platorm of choice. The combinaton of our Vivid Seats Rewards program, increasing brand awareness and ongoing product improvements will drive a more personalized and engaging experience and will result in greater afnity towards our marketplace. As tcket buyers gain a full appreciaton of our value propositon relatve to other tcketng marketplaces, we antcipate they will increasingly choose us over other marketplaces and make purchases more frequently. We typically incur lower marketng costs from repeat customers that go directly to our website and mobile applicaton to browse and place orders.</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Increase Customer Engagement</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want to connect with our customers and we want our customers to connect with us. Such engagement allows us to know our customers beter, fosters brand afnity and ultmately drives higher repeat purchase actvity. We aim to close the awareness gap to ensure that our tcket buyers know when their favorite artsts or sports teams are performing or playing near them. Accordingly, we strive to improve the discovery process to help our tcket buyers atend more of their favorite events.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provide customized content to our customers to enhance their experience while driving contnued engagement. We provide a broad selecton of compettvely priced tckets and personalized recommendatons, blog content, and industry news. Additonally, with Vivid Picks we provide an adjacent opportunity for our sports fans to partake in a fun, interactve gamifcaton experience where they can play and win real money.</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Develop Additonal Seller Tools and Services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enable our tcket sellers to thrive by ofering products and services that support their business needs. Our proprietary Skybox platorm helps tcket sellers manage their inventory, set pricing, fulfll orders, and track sales. We have a proud history of innovatng to support our tcket sellers and contnue to develop additonal tools and service oferings that address existng problems or add efciency to the sales and fulfllment process. As we increase the quality and depth of our seller tools and service oferings, we will atract additonal sellers and listngs to our platorm, reinforce our existng seller relatonships and help sellers improve the efciency of their business processes. We antcipate this will result in more transactons in our marketplace.</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Expand our Partnerships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Partnerships are an important and additve part of our ecosystem. They help generate tcket sales, drive trafc to our website and mobile applicatons and build brand recogniton. Our partner ecosystem includes:</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9" w:name="page10"/>
    <w:bookmarkEnd w:id="9"/>
    <w:p>
      <w:pPr>
        <w:jc w:val="both"/>
        <w:ind w:left="1020" w:hanging="503"/>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Media Partners</w:t>
      </w:r>
      <w:r>
        <w:rPr>
          <w:rFonts w:ascii="Calibri" w:cs="Calibri" w:eastAsia="Calibri" w:hAnsi="Calibri"/>
          <w:sz w:val="18"/>
          <w:szCs w:val="18"/>
          <w:color w:val="auto"/>
        </w:rPr>
        <w:t>. We have partnered with well-known media companies to integrate our branding, promotons and links to allow their users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access and purchase tckets from us. By working with media partners, we broaden our reach and cultvate brand awareness with high-value live event fans. We enhance their users' experiences by providing a wide variety of tckets at compettve prices. Our partnership with ESPN, for example, exposes our tckets sellers’ inventory to new audiences with high interest in atending a variety of live sportng events.</w:t>
      </w:r>
    </w:p>
    <w:p>
      <w:pPr>
        <w:spacing w:after="0" w:line="151"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Product and Service Partners</w:t>
      </w:r>
      <w:r>
        <w:rPr>
          <w:rFonts w:ascii="Calibri" w:cs="Calibri" w:eastAsia="Calibri" w:hAnsi="Calibri"/>
          <w:sz w:val="18"/>
          <w:szCs w:val="18"/>
          <w:color w:val="auto"/>
        </w:rPr>
        <w:t>. We partner with providers of related products and services when they are additve to our customers'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experiences. For example, we ofer tcket buyers the opton to purchase tcket insurance and are exploring several relevant adjacencies that seek to add value to the customer experience.</w:t>
      </w:r>
    </w:p>
    <w:p>
      <w:pPr>
        <w:spacing w:after="0" w:line="164" w:lineRule="exact"/>
        <w:rPr>
          <w:rFonts w:ascii="Times New Roman" w:cs="Times New Roman" w:eastAsia="Times New Roman" w:hAnsi="Times New Roman"/>
          <w:sz w:val="18"/>
          <w:szCs w:val="18"/>
          <w:color w:val="auto"/>
        </w:rPr>
      </w:pPr>
    </w:p>
    <w:p>
      <w:pPr>
        <w:ind w:left="1020" w:right="20" w:hanging="503"/>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Distributon Partners</w:t>
      </w:r>
      <w:r>
        <w:rPr>
          <w:rFonts w:ascii="Calibri" w:cs="Calibri" w:eastAsia="Calibri" w:hAnsi="Calibri"/>
          <w:sz w:val="18"/>
          <w:szCs w:val="18"/>
          <w:color w:val="auto"/>
        </w:rPr>
        <w:t>. We allow our distributon partners to ofer event tckets to their existng customers by leveraging our technology,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fulfllment and customer service capabilites.</w:t>
      </w:r>
    </w:p>
    <w:p>
      <w:pPr>
        <w:spacing w:after="0" w:line="163"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Content Rights Holders Partners</w:t>
      </w:r>
      <w:r>
        <w:rPr>
          <w:rFonts w:ascii="Calibri" w:cs="Calibri" w:eastAsia="Calibri" w:hAnsi="Calibri"/>
          <w:sz w:val="18"/>
          <w:szCs w:val="18"/>
          <w:color w:val="auto"/>
        </w:rPr>
        <w:t>. Teams, leagues and venues engage with us in partnerships in which we receive certain marketng 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advertsing rights in exchange for a monetary commitment. We may also receive tcket allotments, or the right to purchase tckets, from these partners.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will contnue to seek out mutually benefcial partnerships in our existng ecosystem and other categories that improve the experience for our customers while leveraging our existng brand, trafc and reputaton.</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Platorm</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Modern Technology that Delivers a Seamless Experience</w:t>
      </w:r>
    </w:p>
    <w:p>
      <w:pPr>
        <w:spacing w:after="0" w:line="136"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Our “built in the cloud” technology platorm supports all elements of the customer experience. Customers can search for an event, buy or sell a tcket, engage with curated content, and contact customer support. Our technology mission is to contnually innovate and deliver market-leading products and services that support the evolving needs and preferences of tcket buyers, tcket sellers and daily fantasy sports users. Our scalable, reliable and performant systems power a consumer and partner-facing platorm that supports tcket buyers while our tools power inventory management and tcket fulfllment for tcket sellers.</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Buyer Technology and Products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consumer systems are designed to respond to the dynamic, fast-paced landscape of the live events industry. Our marketplace, supported by proprietary digital marketng technology, is adept at capitalizing on demand opportunites by bringing tcket buyers to our platorm for their desired event and seamlessly supportng their shopping and checkout experience. We contnually invest in optmizing our consumer-facing technology across our website and mobile applicatons. We see opportunites to create engaging and delightul experiences through a wide range of event tcket listngs, relevant content, curated recommendatons and a seamless checkout process. We power that experience through a host of technology systems that consider historical transactonal and engagement behavior, proximity and tcket buyer preferences. We leverage the latest technologies in search, customer relatonship management and data analytcs and incorporate these capabilites into our advanced and fexible infrastructure.</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Seller Technology and Products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Skybox, our premier ERP, enables tcket sellers to manage, price and fulfll their inventory. Utlizing a cloud-based technology infrastructure and a web-based applicaton interface, Skybox serves as an asset to the entre tcket seller ecosystem. We invest in building capabilites that serve the needs of small, medium and large tcket sellers alike, including ofering free integratons to other inventory distributon channels and third-party tools. Skybox allows tcket sellers to more efectvely move their inventory, which in turn helps to increase the number of orders transacted in our marketplace.</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Partner Technology and Products</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0" w:name="page11"/>
    <w:bookmarkEnd w:id="10"/>
    <w:p>
      <w:pPr>
        <w:jc w:val="both"/>
        <w:spacing w:after="0" w:line="235" w:lineRule="auto"/>
        <w:rPr>
          <w:sz w:val="20"/>
          <w:szCs w:val="20"/>
          <w:color w:val="auto"/>
        </w:rPr>
      </w:pPr>
      <w:r>
        <w:rPr>
          <w:rFonts w:ascii="Calibri" w:cs="Calibri" w:eastAsia="Calibri" w:hAnsi="Calibri"/>
          <w:sz w:val="18"/>
          <w:szCs w:val="18"/>
          <w:color w:val="auto"/>
        </w:rPr>
        <w:t>Our platorm allows distributon partners to bring additonal tcket buyer demand into our ecosystem. Distributon partners can integrate our event feeds and tcket listngs into their online propertes through applicaton programming interfaces (“APIs”) or fully-managed web sites. We also provide turn-key checkout, customer service and fulfllment. This ofering increases the number of tcket buyers and sellers accessing our platorm, allowing us to leverage our scale to drive operatonal and marketplace efciencies while enabling our partners to ofer additonal products to their customers.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Technology Infrastructure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platorm is extensible and fexible. We can integrate with new partners, target new customer channels, access new supply bases, and connect with complementary technologies.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scalable and reliable systems. We contnue to build and modernize our technology infrastructure to support the growth of our marketplace. We can handle increases from unpredictable surges in site trafc across our tcket buyer, seller and partner platorm. We utlize a host of technology availability, monitoring and scaling solutons to respond to rapid changes for a business that operates around the clock.</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technology architecture is service-oriented, cloud-based, and modular. Each individual component of our architecture is independent. We can innovate quickly, increase development velocity and leverage new development technologies available in the market. We can also scale our platorm to meet changing levels of tcket buyer demand and evolving tcket seller needs.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Third-Party Developers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APIs allow a broad ecosystem of third-party tools and systems to integrate with our platorm. Third-party tools integrate with our marketplace tcket broker API and tcket broker portal to streamline and automate the sales and fulfllment process. Our Skybox ERP integrates with numerous third-party automaton and workfow management solutons. Thus, tcket sellers can leverage other applicatons and functons to support the specifc needs of their business.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Values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Our passion and excitement for live events drives us to provide memorable experiences and services to our customers and partners.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Our values ground us in all that we do:</w:t>
      </w:r>
    </w:p>
    <w:p>
      <w:pPr>
        <w:spacing w:after="0" w:line="150" w:lineRule="exact"/>
        <w:rPr>
          <w:sz w:val="20"/>
          <w:szCs w:val="20"/>
          <w:color w:val="auto"/>
        </w:rPr>
      </w:pPr>
    </w:p>
    <w:p>
      <w:pPr>
        <w:ind w:left="1020" w:hanging="503"/>
        <w:spacing w:after="0" w:line="235" w:lineRule="auto"/>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We Create Exceptonal Experiences. </w:t>
      </w:r>
      <w:r>
        <w:rPr>
          <w:rFonts w:ascii="Calibri" w:cs="Calibri" w:eastAsia="Calibri" w:hAnsi="Calibri"/>
          <w:sz w:val="18"/>
          <w:szCs w:val="18"/>
          <w:color w:val="auto"/>
        </w:rPr>
        <w:t>Whether we are engaging with a customer, partner or teammate, we do not compromise when it comes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their experience. We hold ourselves accountable and lean into every connecton to make the moment count.</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We Raise the Bar. </w:t>
      </w:r>
      <w:r>
        <w:rPr>
          <w:rFonts w:ascii="Calibri" w:cs="Calibri" w:eastAsia="Calibri" w:hAnsi="Calibri"/>
          <w:sz w:val="18"/>
          <w:szCs w:val="18"/>
          <w:color w:val="auto"/>
        </w:rPr>
        <w:t>We shape our industry. We are ambitous and disciplined teammates who make smart plays and get beter every day.</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We Commit as a Team. </w:t>
      </w:r>
      <w:r>
        <w:rPr>
          <w:rFonts w:ascii="Calibri" w:cs="Calibri" w:eastAsia="Calibri" w:hAnsi="Calibri"/>
          <w:sz w:val="18"/>
          <w:szCs w:val="18"/>
          <w:color w:val="auto"/>
        </w:rPr>
        <w:t>We are one team that trusts and supports each other, and we are ready to tackle the most difcult challenges.</w:t>
      </w:r>
    </w:p>
    <w:p>
      <w:pPr>
        <w:spacing w:after="0" w:line="149"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We Embrace Change. </w:t>
      </w:r>
      <w:r>
        <w:rPr>
          <w:rFonts w:ascii="Calibri" w:cs="Calibri" w:eastAsia="Calibri" w:hAnsi="Calibri"/>
          <w:sz w:val="18"/>
          <w:szCs w:val="18"/>
          <w:color w:val="auto"/>
        </w:rPr>
        <w:t>The only constant is change; we are ready for it. As a team, we are energized by working with speed and agility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antcipate both the known and unknown.</w:t>
      </w:r>
    </w:p>
    <w:p>
      <w:pPr>
        <w:spacing w:after="0" w:line="163"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We Enhance Communites. </w:t>
      </w:r>
      <w:r>
        <w:rPr>
          <w:rFonts w:ascii="Calibri" w:cs="Calibri" w:eastAsia="Calibri" w:hAnsi="Calibri"/>
          <w:sz w:val="18"/>
          <w:szCs w:val="18"/>
          <w:color w:val="auto"/>
        </w:rPr>
        <w:t>We invest in our communites. We are united in raising awareness around causes close to our hearts and are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passionate about giving back. We are proud to partner with natonal and local community organizatons including Make-A-Wish®, MusiCares, Chicago’s Lurie Children’s Hospital and Ronald McDonald house where our employees have provided care packages, donated wish list gifs, and hosted patents and families at live events. We, and our tcket buyers, have been proud to support MusiCares, the Recording Academy’s charity, and their eforts to provide relief for the live events community which is vital in bringing to life those events that are cherished by fans across the</w:t>
      </w:r>
    </w:p>
    <w:p>
      <w:pPr>
        <w:spacing w:after="0" w:line="10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1" w:name="page12"/>
    <w:bookmarkEnd w:id="11"/>
    <w:p>
      <w:pPr>
        <w:jc w:val="both"/>
        <w:ind w:left="1020"/>
        <w:spacing w:after="0" w:line="239" w:lineRule="auto"/>
        <w:rPr>
          <w:sz w:val="20"/>
          <w:szCs w:val="20"/>
          <w:color w:val="auto"/>
        </w:rPr>
      </w:pPr>
      <w:r>
        <w:rPr>
          <w:rFonts w:ascii="Calibri" w:cs="Calibri" w:eastAsia="Calibri" w:hAnsi="Calibri"/>
          <w:sz w:val="18"/>
          <w:szCs w:val="18"/>
          <w:color w:val="auto"/>
        </w:rPr>
        <w:t>country. We have donated more than $2 million since the start of the COVID-19 pandemic to help strengthen MusiCares’ relief eforts. In 2022, through our charitable foundaton Vivid Cheers, we launched a partnership with Make-A-Wish®, the global organizaton responsible for creatng life-changing wishes for children with critcal illnesses. Through this partnership we have pledged $250,000 to share once in a lifetme experiences with children and families in their tme of need.</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Employees and Human Capital</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passionate about facilitatng amazing experiences for our customers and we are similarly intent on providing compelling experiences for our employees. In 2022 we were named to Built In Chicago’s Best Places to Work and Fast Company’s Best Workplaces for Innovators lists. Our employees give us a compettve advantage. To support our employees, we have built a company culture that empowers them to embrace challenges, collaborate freely and seek to constantly evolve. We strive to hire talented, dedicated and diverse team members. As of December 31, 2022, we had 575 full-tme employees, with most of our employees based at one of our three ofce locatons in Chicago, Illinois; Coppell, Texas; and Toronto, Canada.</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main objectves of our human capital resources are identfying, recruitng, developing, incentvizing and retaining our existng and new employees. Our talent management team identfes key positons based on current and future business strategies and creates robust programs for talent development, including evaluatng bench strength, building redundancy, and identfying potental successors. In additon to providing an engaging work environment, we provide a robust assortment of benefts including healthcare and retrement programs, fexible paid tme of, paid parental leave, wellness programs, in-ofce and remote working perks, and tcket discounts.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Competton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faces signifcant competton from other primary and secondary tcketng service providers to acquire new and retain existng tcket buyers and sellers. Our main compettve factors are:</w:t>
      </w:r>
    </w:p>
    <w:p>
      <w:pPr>
        <w:spacing w:after="0" w:line="159"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availability and variety of tcket oferings;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pricing, including pricing in the primary tcket market;</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acquiring customer trafc by way of internet search engines impactng customer acquisiton and marketng costs;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brand recogniton;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technology, including functonality and ease of use to search for oferings and complete a purchase.</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several compettve advantages that enable us to maintain and grow our positon as a leading secondary tcket provider:</w:t>
      </w:r>
    </w:p>
    <w:p>
      <w:pPr>
        <w:spacing w:after="0" w:line="15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wide selecton of listngs and tcketng optons;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compettve pricing;</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Vivid Seats Rewards, the most comprehensive loyalty program among our key compettors;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full-service marketplace with excellent customer service;</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proprietary performance marketng algorithms supported by frst-party and real-tme data;</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scale, proftable unit economics and strong balance sheet;</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close relatonships with, and excellent customer service provided to, our professional tcket sellers and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free-to-use Skybox ERP for professional tcket sellers, the most widely adopted in the industry.</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Our key compettors are StubHub, Ticketmaster, SeatGeek and TicketNetwork.</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2" w:name="page13"/>
    <w:bookmarkEnd w:id="12"/>
    <w:p>
      <w:pPr>
        <w:jc w:val="both"/>
        <w:spacing w:after="0" w:line="239" w:lineRule="auto"/>
        <w:rPr>
          <w:sz w:val="20"/>
          <w:szCs w:val="20"/>
          <w:color w:val="auto"/>
        </w:rPr>
      </w:pPr>
      <w:r>
        <w:rPr>
          <w:rFonts w:ascii="Calibri" w:cs="Calibri" w:eastAsia="Calibri" w:hAnsi="Calibri"/>
          <w:sz w:val="18"/>
          <w:szCs w:val="18"/>
          <w:color w:val="auto"/>
        </w:rPr>
        <w:t>With our real money daily fantasy sports ofering on our Vivid Picks app, we face a highly compettve gaming market, including other free-to-play and real money online gaming and daily fantasy sports providers. We provide a diferentated product and experience to users with an easy-to-use app with simple player props. The app is enhanced by social and gamifcaton features, the opportunity to play and win real money and the availability to purchase tckets directly in the app.</w:t>
      </w:r>
    </w:p>
    <w:p>
      <w:pPr>
        <w:spacing w:after="0" w:line="13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We also face competton from other avenues for entertainment. Consumers have a wide array of entertainment optons including restaurants, movies and television and we compete for the discretonary spend of our tcket buyers and daily fantasy sports users.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Government Regulaton</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Government regulaton impacts key aspects of our business. These laws and regulatons involve:</w:t>
      </w:r>
    </w:p>
    <w:p>
      <w:pPr>
        <w:spacing w:after="0" w:line="14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privacy,</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data protecton,</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intellectual property,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competton,</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consumer protecton,</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tcketng,</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payments,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export taxaton, and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sports gaming.</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example, we are required to comply with federal, state and internatonal laws regarding privacy and the storing, sharing, use, disclosure and protecton of personally identfable informaton and user data, an area that is increasingly subject to legislaton and regulatons in numerous jurisdictons, including the California Consumer Privacy Act.</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tme to tme, federal, state, local and internatonal authorites and/or consumers commence investgatons, inquiries or litgaton with respect to our compliance with applicable consumer protecton, advertsing, unfair business practce, anttrust (and similar or related laws) and other laws, partcularly as related to tcket resale services. Some jurisdictons prohibit the resale of event tckets at prices above the face value of the tckets or at all, or highly regulate the resale of tckets. New laws and regulatons or changes to existng laws and regulatons could limit or inhibit our ability to operate, or our tcket buyers’ and sellers’ ability to contnue to use, our tcket marketplace. For example, New York amended its Arts and Cultural Afairs Law to require additonal disclosures by tcket marketplaces and restricted a tcket marketplace’s ability to charge fees for the e-delivery of tckets.</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result of the COVID-19 pandemic, we experienced a high volume of event reschedules, postponements, and cancellatons and made certain changes to our refund practces. Although we have restored our refund policies to be consistent with our policies pre-pandemic, such changes to our refund practces have drawn the atenton of, and inquiry from, various atorneys general and other regulators.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laws and regulatons that afect companies conductng business on the Internet in many jurisdictons where we operate. With the contnued state adopton of internet sales tax laws and marketplace facilitator laws, more buyers across the United States will encounter sales tax on our platorm in the future. Tax collecton responsibility and the additonal costs associated with complex sales and use tax collecton, remitance and audit requirements could create additonal burdens for tcket buyers and sellers on our website and mobile applicatons.</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3" w:name="page14"/>
    <w:bookmarkEnd w:id="13"/>
    <w:p>
      <w:pPr>
        <w:jc w:val="both"/>
        <w:spacing w:after="0" w:line="235" w:lineRule="auto"/>
        <w:rPr>
          <w:sz w:val="20"/>
          <w:szCs w:val="20"/>
          <w:color w:val="auto"/>
        </w:rPr>
      </w:pPr>
      <w:r>
        <w:rPr>
          <w:rFonts w:ascii="Calibri" w:cs="Calibri" w:eastAsia="Calibri" w:hAnsi="Calibri"/>
          <w:sz w:val="18"/>
          <w:szCs w:val="18"/>
          <w:color w:val="auto"/>
        </w:rPr>
        <w:t>Many of the laws and regulatons to which we are subject are stll evolving and being tested in courts and could be interpreted in ways that could harm our business. In additon, the applicaton and interpretaton of these laws and regulatons ofen are uncertain, partcularly in the rapidly evolving industry in which we operate. Compliance with these laws, regulatons, and similar requirements may be onerous and expensive, and variances and inconsistencies from jurisdicton to jurisdicton may further increase the cost of compliance and doing business.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Intellectual Property</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relies substantally on the creaton, use and protecton of intellectual property related to our platorm and services. We protect our intellectual property through a combinaton of trademarks, domain names, copyrights and trade secrets, and we are currently pursuing patent protecton in connecton with certain technology developments. We further protect our intellectual property through contractual provisions with employees, customers, suppliers, partners, afliates and others, including, but not limited to, employee confdentality and intellectual property assignment agreements, and commercial contracts that protect our intellectual property and other confdental informaton.</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Seasonality</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fnancial results can be impacted by seasonality, with increased actvity in the fourth quarter when all major sports leagues are in season and we experience an increase in order volume for theater events during the holiday season and concert on-sales for the subsequent year.</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Corporate Informaton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Vivid Seats was founded in 2001, and in 2004, we launched our website www.vividseats.com. In 2010, we launched our marketplace platorm, which we scaled rapidly while we developed and refned our proprietary systems to enable us to best serve our customers. We launched Skybox in 2014, a free-to-use cloud-based ERP tool for sellers to manage their business, and frst deployed our mobile applicaton in 2015 to capture the increasing volume of tckets purchased through mobile channels. In 2019, we launched our loyalty program, and have since focused on building long-term customer value thorough brand afnity and a diferentated value propositon.</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color w:val="auto"/>
        </w:rPr>
        <w:t>In March of 2021, we incorporated an entty in Delaware for the purpose of completng the transactons contemplated by the transacton agreement dated</w:t>
      </w:r>
    </w:p>
    <w:p>
      <w:pPr>
        <w:spacing w:after="0" w:line="235" w:lineRule="auto"/>
        <w:rPr>
          <w:sz w:val="20"/>
          <w:szCs w:val="20"/>
          <w:color w:val="auto"/>
        </w:rPr>
      </w:pPr>
      <w:r>
        <w:rPr>
          <w:rFonts w:ascii="Calibri" w:cs="Calibri" w:eastAsia="Calibri" w:hAnsi="Calibri"/>
          <w:sz w:val="18"/>
          <w:szCs w:val="18"/>
          <w:color w:val="auto"/>
        </w:rPr>
        <w:t>April 21, 2021 (the “Transacton Agreement”) among Horizon Acquisiton Corporaton (“Horizon”), a publicly traded special purpose acquisiton company,</w:t>
      </w:r>
    </w:p>
    <w:p>
      <w:pPr>
        <w:spacing w:after="0" w:line="236" w:lineRule="auto"/>
        <w:rPr>
          <w:sz w:val="20"/>
          <w:szCs w:val="20"/>
          <w:color w:val="auto"/>
        </w:rPr>
      </w:pPr>
      <w:r>
        <w:rPr>
          <w:rFonts w:ascii="Calibri" w:cs="Calibri" w:eastAsia="Calibri" w:hAnsi="Calibri"/>
          <w:sz w:val="18"/>
          <w:szCs w:val="18"/>
          <w:color w:val="auto"/>
        </w:rPr>
        <w:t>Horizon Sponsor, LLC, a Delaware limited liability company (“Horizon Sponsor”), Hoya Intermediate, LLC, a Delaware limited liability company (“Hoya</w:t>
      </w:r>
    </w:p>
    <w:p>
      <w:pPr>
        <w:spacing w:after="0" w:line="236" w:lineRule="auto"/>
        <w:rPr>
          <w:sz w:val="20"/>
          <w:szCs w:val="20"/>
          <w:color w:val="auto"/>
        </w:rPr>
      </w:pPr>
      <w:r>
        <w:rPr>
          <w:rFonts w:ascii="Calibri" w:cs="Calibri" w:eastAsia="Calibri" w:hAnsi="Calibri"/>
          <w:sz w:val="18"/>
          <w:szCs w:val="18"/>
          <w:color w:val="auto"/>
        </w:rPr>
        <w:t>Intermediate”), and Hoya Topco, LLC, a Delaware limited liability company (“Hoya Topco”).</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October 2021, as contemplated by the Transacton Agreement, Horizon merged with us (the “Merger Transacton”), upon which the separate corporate existence of Horizon ended and we remained as the surviving entty. At the same tme, we became a publicly traded company listed on the Nasdaq Global Select Market (“Nasdaq”) with our Class A common stock trading under the symbol "SEAT" and warrants trading under the symbol "SEATW."</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internet address is www.vividseats.com. At our Investor Relatons website, investors.vividseats.com, we make available free of charge a variety of informaton for investors, including our annual report on Form 10-K, quarterly reports on Form 10-Q, current reports on Form 8-K and any amendments to those reports, as soon as reasonably practcable afer we electronically fle that material with or furnish it to the SEC. Material contained on our internet site is not incorporated by reference into this Annual Report on Form 10-K.</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Directors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summary informaton about each of our directors as of December 31, 2022:</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0"/>
        </w:trPr>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620" w:type="dxa"/>
            <w:vAlign w:val="bottom"/>
            <w:gridSpan w:val="4"/>
          </w:tcPr>
          <w:p>
            <w:pPr>
              <w:ind w:left="100"/>
              <w:spacing w:after="0"/>
              <w:rPr>
                <w:sz w:val="20"/>
                <w:szCs w:val="20"/>
                <w:color w:val="auto"/>
              </w:rPr>
            </w:pPr>
            <w:r>
              <w:rPr>
                <w:rFonts w:ascii="Calibri" w:cs="Calibri" w:eastAsia="Calibri" w:hAnsi="Calibri"/>
                <w:sz w:val="18"/>
                <w:szCs w:val="18"/>
                <w:b w:val="1"/>
                <w:bCs w:val="1"/>
                <w:color w:val="auto"/>
              </w:rPr>
              <w:t>Commitees of the Board of Directors</w:t>
            </w:r>
          </w:p>
        </w:tc>
      </w:tr>
      <w:tr>
        <w:trPr>
          <w:trHeight w:val="37"/>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r>
      <w:tr>
        <w:trPr>
          <w:trHeight w:val="201"/>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Calibri" w:cs="Calibri" w:eastAsia="Calibri" w:hAnsi="Calibri"/>
                <w:sz w:val="18"/>
                <w:szCs w:val="18"/>
                <w:b w:val="1"/>
                <w:bCs w:val="1"/>
                <w:color w:val="auto"/>
              </w:rPr>
              <w:t>Compensaton</w:t>
            </w:r>
          </w:p>
        </w:tc>
        <w:tc>
          <w:tcPr>
            <w:tcW w:w="180" w:type="dxa"/>
            <w:vAlign w:val="bottom"/>
          </w:tcPr>
          <w:p>
            <w:pPr>
              <w:spacing w:after="0"/>
              <w:rPr>
                <w:sz w:val="17"/>
                <w:szCs w:val="17"/>
                <w:color w:val="auto"/>
              </w:rPr>
            </w:pPr>
          </w:p>
        </w:tc>
        <w:tc>
          <w:tcPr>
            <w:tcW w:w="2680" w:type="dxa"/>
            <w:vAlign w:val="bottom"/>
          </w:tcPr>
          <w:p>
            <w:pPr>
              <w:jc w:val="center"/>
              <w:spacing w:after="0" w:line="201" w:lineRule="exact"/>
              <w:rPr>
                <w:sz w:val="20"/>
                <w:szCs w:val="20"/>
                <w:color w:val="auto"/>
              </w:rPr>
            </w:pPr>
            <w:r>
              <w:rPr>
                <w:rFonts w:ascii="Calibri" w:cs="Calibri" w:eastAsia="Calibri" w:hAnsi="Calibri"/>
                <w:sz w:val="18"/>
                <w:szCs w:val="18"/>
                <w:b w:val="1"/>
                <w:bCs w:val="1"/>
                <w:color w:val="auto"/>
                <w:w w:val="99"/>
              </w:rPr>
              <w:t>Nominatng and Corporate</w:t>
            </w:r>
          </w:p>
        </w:tc>
      </w:tr>
      <w:tr>
        <w:trPr>
          <w:trHeight w:val="215"/>
        </w:trPr>
        <w:tc>
          <w:tcPr>
            <w:tcW w:w="2300" w:type="dxa"/>
            <w:vAlign w:val="bottom"/>
            <w:gridSpan w:val="3"/>
          </w:tcPr>
          <w:p>
            <w:pPr>
              <w:ind w:left="720"/>
              <w:spacing w:after="0" w:line="215" w:lineRule="exact"/>
              <w:rPr>
                <w:sz w:val="20"/>
                <w:szCs w:val="20"/>
                <w:color w:val="auto"/>
              </w:rPr>
            </w:pPr>
            <w:r>
              <w:rPr>
                <w:rFonts w:ascii="Calibri" w:cs="Calibri" w:eastAsia="Calibri" w:hAnsi="Calibri"/>
                <w:sz w:val="18"/>
                <w:szCs w:val="18"/>
                <w:b w:val="1"/>
                <w:bCs w:val="1"/>
                <w:color w:val="auto"/>
              </w:rPr>
              <w:t>Name</w:t>
            </w:r>
          </w:p>
        </w:tc>
        <w:tc>
          <w:tcPr>
            <w:tcW w:w="860" w:type="dxa"/>
            <w:vAlign w:val="bottom"/>
          </w:tcPr>
          <w:p>
            <w:pPr>
              <w:jc w:val="center"/>
              <w:ind w:right="170"/>
              <w:spacing w:after="0" w:line="215" w:lineRule="exact"/>
              <w:rPr>
                <w:sz w:val="20"/>
                <w:szCs w:val="20"/>
                <w:color w:val="auto"/>
              </w:rPr>
            </w:pPr>
            <w:r>
              <w:rPr>
                <w:rFonts w:ascii="Calibri" w:cs="Calibri" w:eastAsia="Calibri" w:hAnsi="Calibri"/>
                <w:sz w:val="18"/>
                <w:szCs w:val="18"/>
                <w:b w:val="1"/>
                <w:bCs w:val="1"/>
                <w:color w:val="auto"/>
                <w:w w:val="98"/>
              </w:rPr>
              <w:t>Age</w:t>
            </w:r>
          </w:p>
        </w:tc>
        <w:tc>
          <w:tcPr>
            <w:tcW w:w="180" w:type="dxa"/>
            <w:vAlign w:val="bottom"/>
          </w:tcPr>
          <w:p>
            <w:pPr>
              <w:spacing w:after="0"/>
              <w:rPr>
                <w:sz w:val="18"/>
                <w:szCs w:val="18"/>
                <w:color w:val="auto"/>
              </w:rPr>
            </w:pPr>
          </w:p>
        </w:tc>
        <w:tc>
          <w:tcPr>
            <w:tcW w:w="1580" w:type="dxa"/>
            <w:vAlign w:val="bottom"/>
            <w:gridSpan w:val="2"/>
          </w:tcPr>
          <w:p>
            <w:pPr>
              <w:jc w:val="center"/>
              <w:ind w:right="180"/>
              <w:spacing w:after="0" w:line="215" w:lineRule="exact"/>
              <w:rPr>
                <w:sz w:val="20"/>
                <w:szCs w:val="20"/>
                <w:color w:val="auto"/>
              </w:rPr>
            </w:pPr>
            <w:r>
              <w:rPr>
                <w:rFonts w:ascii="Calibri" w:cs="Calibri" w:eastAsia="Calibri" w:hAnsi="Calibri"/>
                <w:sz w:val="18"/>
                <w:szCs w:val="18"/>
                <w:b w:val="1"/>
                <w:bCs w:val="1"/>
                <w:color w:val="auto"/>
                <w:w w:val="95"/>
              </w:rPr>
              <w:t>Director Since</w:t>
            </w:r>
          </w:p>
        </w:tc>
        <w:tc>
          <w:tcPr>
            <w:tcW w:w="17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Audit Commitee</w:t>
            </w:r>
          </w:p>
        </w:tc>
        <w:tc>
          <w:tcPr>
            <w:tcW w:w="200" w:type="dxa"/>
            <w:vAlign w:val="bottom"/>
          </w:tcPr>
          <w:p>
            <w:pPr>
              <w:spacing w:after="0"/>
              <w:rPr>
                <w:sz w:val="18"/>
                <w:szCs w:val="18"/>
                <w:color w:val="auto"/>
              </w:rPr>
            </w:pPr>
          </w:p>
        </w:tc>
        <w:tc>
          <w:tcPr>
            <w:tcW w:w="15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Commitee</w:t>
            </w:r>
          </w:p>
        </w:tc>
        <w:tc>
          <w:tcPr>
            <w:tcW w:w="180" w:type="dxa"/>
            <w:vAlign w:val="bottom"/>
          </w:tcPr>
          <w:p>
            <w:pPr>
              <w:spacing w:after="0"/>
              <w:rPr>
                <w:sz w:val="18"/>
                <w:szCs w:val="18"/>
                <w:color w:val="auto"/>
              </w:rPr>
            </w:pPr>
          </w:p>
        </w:tc>
        <w:tc>
          <w:tcPr>
            <w:tcW w:w="26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Governance Commitee</w:t>
            </w:r>
          </w:p>
        </w:tc>
      </w:tr>
      <w:tr>
        <w:trPr>
          <w:trHeight w:val="37"/>
        </w:trPr>
        <w:tc>
          <w:tcPr>
            <w:tcW w:w="20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80" w:type="dxa"/>
            <w:vAlign w:val="bottom"/>
          </w:tcPr>
          <w:p>
            <w:pPr>
              <w:spacing w:after="0"/>
              <w:rPr>
                <w:sz w:val="3"/>
                <w:szCs w:val="3"/>
                <w:color w:val="auto"/>
              </w:rPr>
            </w:pPr>
          </w:p>
        </w:tc>
      </w:tr>
      <w:tr>
        <w:trPr>
          <w:trHeight w:val="217"/>
        </w:trPr>
        <w:tc>
          <w:tcPr>
            <w:tcW w:w="1880" w:type="dxa"/>
            <w:vAlign w:val="bottom"/>
            <w:tcBorders>
              <w:top w:val="single" w:sz="8" w:color="auto"/>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Stanley Chia</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CFF0FC"/>
            </w:tcBorders>
            <w:shd w:val="clear" w:color="auto" w:fill="CFF0FC"/>
          </w:tcPr>
          <w:p>
            <w:pPr>
              <w:jc w:val="center"/>
              <w:ind w:right="150"/>
              <w:spacing w:after="0" w:line="208" w:lineRule="exact"/>
              <w:rPr>
                <w:sz w:val="20"/>
                <w:szCs w:val="20"/>
                <w:color w:val="auto"/>
              </w:rPr>
            </w:pPr>
            <w:r>
              <w:rPr>
                <w:rFonts w:ascii="Calibri" w:cs="Calibri" w:eastAsia="Calibri" w:hAnsi="Calibri"/>
                <w:sz w:val="18"/>
                <w:szCs w:val="18"/>
                <w:color w:val="auto"/>
                <w:w w:val="98"/>
              </w:rPr>
              <w:t>41</w:t>
            </w:r>
          </w:p>
        </w:tc>
        <w:tc>
          <w:tcPr>
            <w:tcW w:w="1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CFF0FC"/>
            </w:tcBorders>
            <w:shd w:val="clear" w:color="auto" w:fill="CFF0FC"/>
          </w:tcPr>
          <w:p>
            <w:pPr>
              <w:jc w:val="center"/>
              <w:spacing w:after="0" w:line="208" w:lineRule="exact"/>
              <w:rPr>
                <w:sz w:val="20"/>
                <w:szCs w:val="20"/>
                <w:color w:val="auto"/>
              </w:rPr>
            </w:pPr>
            <w:r>
              <w:rPr>
                <w:rFonts w:ascii="Calibri" w:cs="Calibri" w:eastAsia="Calibri" w:hAnsi="Calibri"/>
                <w:sz w:val="18"/>
                <w:szCs w:val="18"/>
                <w:color w:val="auto"/>
                <w:w w:val="98"/>
              </w:rPr>
              <w:t>2021</w:t>
            </w:r>
          </w:p>
        </w:tc>
        <w:tc>
          <w:tcPr>
            <w:tcW w:w="18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80" w:type="dxa"/>
            <w:vAlign w:val="bottom"/>
            <w:tcBorders>
              <w:top w:val="single" w:sz="8" w:color="auto"/>
              <w:bottom w:val="single" w:sz="8" w:color="CFF0FC"/>
            </w:tcBorders>
            <w:shd w:val="clear" w:color="auto" w:fill="CFF0FC"/>
          </w:tcPr>
          <w:p>
            <w:pPr>
              <w:spacing w:after="0"/>
              <w:rPr>
                <w:sz w:val="18"/>
                <w:szCs w:val="18"/>
                <w:color w:val="auto"/>
              </w:rPr>
            </w:pPr>
          </w:p>
        </w:tc>
      </w:tr>
      <w:tr>
        <w:trPr>
          <w:trHeight w:val="215"/>
        </w:trPr>
        <w:tc>
          <w:tcPr>
            <w:tcW w:w="230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Mark Anderson</w:t>
            </w:r>
          </w:p>
        </w:tc>
        <w:tc>
          <w:tcPr>
            <w:tcW w:w="860" w:type="dxa"/>
            <w:vAlign w:val="bottom"/>
          </w:tcPr>
          <w:p>
            <w:pPr>
              <w:jc w:val="center"/>
              <w:ind w:right="150"/>
              <w:spacing w:after="0" w:line="215" w:lineRule="exact"/>
              <w:rPr>
                <w:sz w:val="20"/>
                <w:szCs w:val="20"/>
                <w:color w:val="auto"/>
              </w:rPr>
            </w:pPr>
            <w:r>
              <w:rPr>
                <w:rFonts w:ascii="Calibri" w:cs="Calibri" w:eastAsia="Calibri" w:hAnsi="Calibri"/>
                <w:sz w:val="18"/>
                <w:szCs w:val="18"/>
                <w:color w:val="auto"/>
                <w:w w:val="98"/>
              </w:rPr>
              <w:t>47</w:t>
            </w:r>
          </w:p>
        </w:tc>
        <w:tc>
          <w:tcPr>
            <w:tcW w:w="1580" w:type="dxa"/>
            <w:vAlign w:val="bottom"/>
            <w:gridSpan w:val="2"/>
          </w:tcPr>
          <w:p>
            <w:pPr>
              <w:jc w:val="center"/>
              <w:ind w:left="90"/>
              <w:spacing w:after="0" w:line="215" w:lineRule="exact"/>
              <w:rPr>
                <w:sz w:val="20"/>
                <w:szCs w:val="20"/>
                <w:color w:val="auto"/>
              </w:rPr>
            </w:pPr>
            <w:r>
              <w:rPr>
                <w:rFonts w:ascii="Calibri" w:cs="Calibri" w:eastAsia="Calibri" w:hAnsi="Calibri"/>
                <w:sz w:val="18"/>
                <w:szCs w:val="18"/>
                <w:color w:val="auto"/>
                <w:w w:val="98"/>
              </w:rPr>
              <w:t>2021</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Pr>
          <w:p>
            <w:pPr>
              <w:jc w:val="center"/>
              <w:spacing w:after="0" w:line="215" w:lineRule="exact"/>
              <w:rPr>
                <w:sz w:val="20"/>
                <w:szCs w:val="20"/>
                <w:color w:val="auto"/>
              </w:rPr>
            </w:pPr>
            <w:r>
              <w:rPr>
                <w:rFonts w:ascii="Calibri" w:cs="Calibri" w:eastAsia="Calibri" w:hAnsi="Calibri"/>
                <w:sz w:val="18"/>
                <w:szCs w:val="18"/>
                <w:color w:val="auto"/>
                <w:w w:val="82"/>
              </w:rPr>
              <w:t>C</w:t>
            </w:r>
          </w:p>
        </w:tc>
      </w:tr>
      <w:tr>
        <w:trPr>
          <w:trHeight w:val="28"/>
        </w:trPr>
        <w:tc>
          <w:tcPr>
            <w:tcW w:w="230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3"/>
        </w:trPr>
        <w:tc>
          <w:tcPr>
            <w:tcW w:w="2300" w:type="dxa"/>
            <w:vAlign w:val="bottom"/>
            <w:tcBorders>
              <w:bottom w:val="single" w:sz="8" w:color="CFF0FC"/>
            </w:tcBorders>
            <w:gridSpan w:val="3"/>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Todd Boehly</w:t>
            </w:r>
          </w:p>
        </w:tc>
        <w:tc>
          <w:tcPr>
            <w:tcW w:w="860" w:type="dxa"/>
            <w:vAlign w:val="bottom"/>
            <w:tcBorders>
              <w:bottom w:val="single" w:sz="8" w:color="CFF0FC"/>
            </w:tcBorders>
            <w:shd w:val="clear" w:color="auto" w:fill="CFF0FC"/>
          </w:tcPr>
          <w:p>
            <w:pPr>
              <w:jc w:val="center"/>
              <w:ind w:right="150"/>
              <w:spacing w:after="0" w:line="215" w:lineRule="exact"/>
              <w:rPr>
                <w:sz w:val="20"/>
                <w:szCs w:val="20"/>
                <w:color w:val="auto"/>
              </w:rPr>
            </w:pPr>
            <w:r>
              <w:rPr>
                <w:rFonts w:ascii="Calibri" w:cs="Calibri" w:eastAsia="Calibri" w:hAnsi="Calibri"/>
                <w:sz w:val="18"/>
                <w:szCs w:val="18"/>
                <w:color w:val="auto"/>
                <w:w w:val="98"/>
              </w:rPr>
              <w:t>49</w:t>
            </w:r>
          </w:p>
        </w:tc>
        <w:tc>
          <w:tcPr>
            <w:tcW w:w="1580" w:type="dxa"/>
            <w:vAlign w:val="bottom"/>
            <w:tcBorders>
              <w:bottom w:val="single" w:sz="8" w:color="CFF0FC"/>
            </w:tcBorders>
            <w:gridSpan w:val="2"/>
            <w:shd w:val="clear" w:color="auto" w:fill="CFF0FC"/>
          </w:tcPr>
          <w:p>
            <w:pPr>
              <w:jc w:val="center"/>
              <w:ind w:left="90"/>
              <w:spacing w:after="0" w:line="215" w:lineRule="exact"/>
              <w:rPr>
                <w:sz w:val="20"/>
                <w:szCs w:val="20"/>
                <w:color w:val="auto"/>
              </w:rPr>
            </w:pPr>
            <w:r>
              <w:rPr>
                <w:rFonts w:ascii="Calibri" w:cs="Calibri" w:eastAsia="Calibri" w:hAnsi="Calibri"/>
                <w:sz w:val="18"/>
                <w:szCs w:val="18"/>
                <w:color w:val="auto"/>
                <w:w w:val="98"/>
              </w:rPr>
              <w:t>2021</w:t>
            </w:r>
          </w:p>
        </w:tc>
        <w:tc>
          <w:tcPr>
            <w:tcW w:w="18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M</w:t>
            </w:r>
          </w:p>
        </w:tc>
      </w:tr>
      <w:tr>
        <w:trPr>
          <w:trHeight w:val="215"/>
        </w:trPr>
        <w:tc>
          <w:tcPr>
            <w:tcW w:w="230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Jane DeFlorio</w:t>
            </w:r>
          </w:p>
        </w:tc>
        <w:tc>
          <w:tcPr>
            <w:tcW w:w="860" w:type="dxa"/>
            <w:vAlign w:val="bottom"/>
          </w:tcPr>
          <w:p>
            <w:pPr>
              <w:jc w:val="center"/>
              <w:ind w:right="150"/>
              <w:spacing w:after="0" w:line="215" w:lineRule="exact"/>
              <w:rPr>
                <w:sz w:val="20"/>
                <w:szCs w:val="20"/>
                <w:color w:val="auto"/>
              </w:rPr>
            </w:pPr>
            <w:r>
              <w:rPr>
                <w:rFonts w:ascii="Calibri" w:cs="Calibri" w:eastAsia="Calibri" w:hAnsi="Calibri"/>
                <w:sz w:val="18"/>
                <w:szCs w:val="18"/>
                <w:color w:val="auto"/>
                <w:w w:val="98"/>
              </w:rPr>
              <w:t>52</w:t>
            </w:r>
          </w:p>
        </w:tc>
        <w:tc>
          <w:tcPr>
            <w:tcW w:w="1580" w:type="dxa"/>
            <w:vAlign w:val="bottom"/>
            <w:gridSpan w:val="2"/>
          </w:tcPr>
          <w:p>
            <w:pPr>
              <w:jc w:val="center"/>
              <w:ind w:left="90"/>
              <w:spacing w:after="0" w:line="215" w:lineRule="exact"/>
              <w:rPr>
                <w:sz w:val="20"/>
                <w:szCs w:val="20"/>
                <w:color w:val="auto"/>
              </w:rPr>
            </w:pPr>
            <w:r>
              <w:rPr>
                <w:rFonts w:ascii="Calibri" w:cs="Calibri" w:eastAsia="Calibri" w:hAnsi="Calibri"/>
                <w:sz w:val="18"/>
                <w:szCs w:val="18"/>
                <w:color w:val="auto"/>
                <w:w w:val="98"/>
              </w:rPr>
              <w:t>2021</w:t>
            </w:r>
          </w:p>
        </w:tc>
        <w:tc>
          <w:tcPr>
            <w:tcW w:w="180" w:type="dxa"/>
            <w:vAlign w:val="bottom"/>
          </w:tcPr>
          <w:p>
            <w:pPr>
              <w:spacing w:after="0"/>
              <w:rPr>
                <w:sz w:val="18"/>
                <w:szCs w:val="18"/>
                <w:color w:val="auto"/>
              </w:rPr>
            </w:pPr>
          </w:p>
        </w:tc>
        <w:tc>
          <w:tcPr>
            <w:tcW w:w="1700" w:type="dxa"/>
            <w:vAlign w:val="bottom"/>
          </w:tcPr>
          <w:p>
            <w:pPr>
              <w:jc w:val="center"/>
              <w:spacing w:after="0" w:line="215" w:lineRule="exact"/>
              <w:rPr>
                <w:sz w:val="20"/>
                <w:szCs w:val="20"/>
                <w:color w:val="auto"/>
              </w:rPr>
            </w:pPr>
            <w:r>
              <w:rPr>
                <w:rFonts w:ascii="Calibri" w:cs="Calibri" w:eastAsia="Calibri" w:hAnsi="Calibri"/>
                <w:sz w:val="18"/>
                <w:szCs w:val="18"/>
                <w:color w:val="auto"/>
              </w:rPr>
              <w:t>C</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8"/>
        </w:trPr>
        <w:tc>
          <w:tcPr>
            <w:tcW w:w="230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3"/>
        </w:trPr>
        <w:tc>
          <w:tcPr>
            <w:tcW w:w="2300" w:type="dxa"/>
            <w:vAlign w:val="bottom"/>
            <w:tcBorders>
              <w:bottom w:val="single" w:sz="8" w:color="CFF0FC"/>
            </w:tcBorders>
            <w:gridSpan w:val="3"/>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Craig Dixon</w:t>
            </w:r>
          </w:p>
        </w:tc>
        <w:tc>
          <w:tcPr>
            <w:tcW w:w="860" w:type="dxa"/>
            <w:vAlign w:val="bottom"/>
            <w:tcBorders>
              <w:bottom w:val="single" w:sz="8" w:color="CFF0FC"/>
            </w:tcBorders>
            <w:shd w:val="clear" w:color="auto" w:fill="CFF0FC"/>
          </w:tcPr>
          <w:p>
            <w:pPr>
              <w:jc w:val="center"/>
              <w:ind w:right="150"/>
              <w:spacing w:after="0" w:line="215" w:lineRule="exact"/>
              <w:rPr>
                <w:sz w:val="20"/>
                <w:szCs w:val="20"/>
                <w:color w:val="auto"/>
              </w:rPr>
            </w:pPr>
            <w:r>
              <w:rPr>
                <w:rFonts w:ascii="Calibri" w:cs="Calibri" w:eastAsia="Calibri" w:hAnsi="Calibri"/>
                <w:sz w:val="18"/>
                <w:szCs w:val="18"/>
                <w:color w:val="auto"/>
                <w:w w:val="98"/>
              </w:rPr>
              <w:t>47</w:t>
            </w:r>
          </w:p>
        </w:tc>
        <w:tc>
          <w:tcPr>
            <w:tcW w:w="1580" w:type="dxa"/>
            <w:vAlign w:val="bottom"/>
            <w:tcBorders>
              <w:bottom w:val="single" w:sz="8" w:color="CFF0FC"/>
            </w:tcBorders>
            <w:gridSpan w:val="2"/>
            <w:shd w:val="clear" w:color="auto" w:fill="CFF0FC"/>
          </w:tcPr>
          <w:p>
            <w:pPr>
              <w:jc w:val="center"/>
              <w:ind w:left="90"/>
              <w:spacing w:after="0" w:line="215" w:lineRule="exact"/>
              <w:rPr>
                <w:sz w:val="20"/>
                <w:szCs w:val="20"/>
                <w:color w:val="auto"/>
              </w:rPr>
            </w:pPr>
            <w:r>
              <w:rPr>
                <w:rFonts w:ascii="Calibri" w:cs="Calibri" w:eastAsia="Calibri" w:hAnsi="Calibri"/>
                <w:sz w:val="18"/>
                <w:szCs w:val="18"/>
                <w:color w:val="auto"/>
                <w:w w:val="98"/>
              </w:rPr>
              <w:t>2021</w:t>
            </w:r>
          </w:p>
        </w:tc>
        <w:tc>
          <w:tcPr>
            <w:tcW w:w="18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M</w:t>
            </w:r>
          </w:p>
        </w:tc>
        <w:tc>
          <w:tcPr>
            <w:tcW w:w="20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80" w:type="dxa"/>
            <w:vAlign w:val="bottom"/>
            <w:tcBorders>
              <w:bottom w:val="single" w:sz="8" w:color="CFF0FC"/>
            </w:tcBorders>
            <w:shd w:val="clear" w:color="auto" w:fill="CFF0FC"/>
          </w:tcPr>
          <w:p>
            <w:pPr>
              <w:spacing w:after="0"/>
              <w:rPr>
                <w:sz w:val="19"/>
                <w:szCs w:val="19"/>
                <w:color w:val="auto"/>
              </w:rPr>
            </w:pPr>
          </w:p>
        </w:tc>
      </w:tr>
      <w:tr>
        <w:trPr>
          <w:trHeight w:val="215"/>
        </w:trPr>
        <w:tc>
          <w:tcPr>
            <w:tcW w:w="230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David Donnini</w:t>
            </w:r>
          </w:p>
        </w:tc>
        <w:tc>
          <w:tcPr>
            <w:tcW w:w="860" w:type="dxa"/>
            <w:vAlign w:val="bottom"/>
          </w:tcPr>
          <w:p>
            <w:pPr>
              <w:jc w:val="center"/>
              <w:ind w:right="150"/>
              <w:spacing w:after="0" w:line="215" w:lineRule="exact"/>
              <w:rPr>
                <w:sz w:val="20"/>
                <w:szCs w:val="20"/>
                <w:color w:val="auto"/>
              </w:rPr>
            </w:pPr>
            <w:r>
              <w:rPr>
                <w:rFonts w:ascii="Calibri" w:cs="Calibri" w:eastAsia="Calibri" w:hAnsi="Calibri"/>
                <w:sz w:val="18"/>
                <w:szCs w:val="18"/>
                <w:color w:val="auto"/>
                <w:w w:val="98"/>
              </w:rPr>
              <w:t>57</w:t>
            </w:r>
          </w:p>
        </w:tc>
        <w:tc>
          <w:tcPr>
            <w:tcW w:w="1580" w:type="dxa"/>
            <w:vAlign w:val="bottom"/>
            <w:gridSpan w:val="2"/>
          </w:tcPr>
          <w:p>
            <w:pPr>
              <w:jc w:val="center"/>
              <w:ind w:left="90"/>
              <w:spacing w:after="0" w:line="215" w:lineRule="exact"/>
              <w:rPr>
                <w:sz w:val="20"/>
                <w:szCs w:val="20"/>
                <w:color w:val="auto"/>
              </w:rPr>
            </w:pPr>
            <w:r>
              <w:rPr>
                <w:rFonts w:ascii="Calibri" w:cs="Calibri" w:eastAsia="Calibri" w:hAnsi="Calibri"/>
                <w:sz w:val="18"/>
                <w:szCs w:val="18"/>
                <w:color w:val="auto"/>
                <w:w w:val="98"/>
              </w:rPr>
              <w:t>2021</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center"/>
              <w:spacing w:after="0" w:line="215" w:lineRule="exact"/>
              <w:rPr>
                <w:sz w:val="20"/>
                <w:szCs w:val="20"/>
                <w:color w:val="auto"/>
              </w:rPr>
            </w:pPr>
            <w:r>
              <w:rPr>
                <w:rFonts w:ascii="Calibri" w:cs="Calibri" w:eastAsia="Calibri" w:hAnsi="Calibri"/>
                <w:sz w:val="18"/>
                <w:szCs w:val="18"/>
                <w:color w:val="auto"/>
              </w:rPr>
              <w:t>C</w:t>
            </w:r>
          </w:p>
        </w:tc>
        <w:tc>
          <w:tcPr>
            <w:tcW w:w="180" w:type="dxa"/>
            <w:vAlign w:val="bottom"/>
          </w:tcPr>
          <w:p>
            <w:pPr>
              <w:spacing w:after="0"/>
              <w:rPr>
                <w:sz w:val="18"/>
                <w:szCs w:val="18"/>
                <w:color w:val="auto"/>
              </w:rPr>
            </w:pPr>
          </w:p>
        </w:tc>
        <w:tc>
          <w:tcPr>
            <w:tcW w:w="2680" w:type="dxa"/>
            <w:vAlign w:val="bottom"/>
          </w:tcPr>
          <w:p>
            <w:pPr>
              <w:jc w:val="center"/>
              <w:spacing w:after="0" w:line="215" w:lineRule="exact"/>
              <w:rPr>
                <w:sz w:val="20"/>
                <w:szCs w:val="20"/>
                <w:color w:val="auto"/>
              </w:rPr>
            </w:pPr>
            <w:r>
              <w:rPr>
                <w:rFonts w:ascii="Calibri" w:cs="Calibri" w:eastAsia="Calibri" w:hAnsi="Calibri"/>
                <w:sz w:val="18"/>
                <w:szCs w:val="18"/>
                <w:color w:val="auto"/>
              </w:rPr>
              <w:t>M</w:t>
            </w:r>
          </w:p>
        </w:tc>
      </w:tr>
      <w:tr>
        <w:trPr>
          <w:trHeight w:val="28"/>
        </w:trPr>
        <w:tc>
          <w:tcPr>
            <w:tcW w:w="230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3"/>
        </w:trPr>
        <w:tc>
          <w:tcPr>
            <w:tcW w:w="2300" w:type="dxa"/>
            <w:vAlign w:val="bottom"/>
            <w:tcBorders>
              <w:bottom w:val="single" w:sz="8" w:color="CFF0FC"/>
            </w:tcBorders>
            <w:gridSpan w:val="3"/>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Tom Ehrhart</w:t>
            </w:r>
          </w:p>
        </w:tc>
        <w:tc>
          <w:tcPr>
            <w:tcW w:w="860" w:type="dxa"/>
            <w:vAlign w:val="bottom"/>
            <w:tcBorders>
              <w:bottom w:val="single" w:sz="8" w:color="CFF0FC"/>
            </w:tcBorders>
            <w:shd w:val="clear" w:color="auto" w:fill="CFF0FC"/>
          </w:tcPr>
          <w:p>
            <w:pPr>
              <w:jc w:val="center"/>
              <w:ind w:right="150"/>
              <w:spacing w:after="0" w:line="215" w:lineRule="exact"/>
              <w:rPr>
                <w:sz w:val="20"/>
                <w:szCs w:val="20"/>
                <w:color w:val="auto"/>
              </w:rPr>
            </w:pPr>
            <w:r>
              <w:rPr>
                <w:rFonts w:ascii="Calibri" w:cs="Calibri" w:eastAsia="Calibri" w:hAnsi="Calibri"/>
                <w:sz w:val="18"/>
                <w:szCs w:val="18"/>
                <w:color w:val="auto"/>
                <w:w w:val="98"/>
              </w:rPr>
              <w:t>35</w:t>
            </w:r>
          </w:p>
        </w:tc>
        <w:tc>
          <w:tcPr>
            <w:tcW w:w="1580" w:type="dxa"/>
            <w:vAlign w:val="bottom"/>
            <w:tcBorders>
              <w:bottom w:val="single" w:sz="8" w:color="CFF0FC"/>
            </w:tcBorders>
            <w:gridSpan w:val="2"/>
            <w:shd w:val="clear" w:color="auto" w:fill="CFF0FC"/>
          </w:tcPr>
          <w:p>
            <w:pPr>
              <w:jc w:val="center"/>
              <w:ind w:left="90"/>
              <w:spacing w:after="0" w:line="215" w:lineRule="exact"/>
              <w:rPr>
                <w:sz w:val="20"/>
                <w:szCs w:val="20"/>
                <w:color w:val="auto"/>
              </w:rPr>
            </w:pPr>
            <w:r>
              <w:rPr>
                <w:rFonts w:ascii="Calibri" w:cs="Calibri" w:eastAsia="Calibri" w:hAnsi="Calibri"/>
                <w:sz w:val="18"/>
                <w:szCs w:val="18"/>
                <w:color w:val="auto"/>
                <w:w w:val="98"/>
              </w:rPr>
              <w:t>2021</w:t>
            </w:r>
          </w:p>
        </w:tc>
        <w:tc>
          <w:tcPr>
            <w:tcW w:w="18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M</w:t>
            </w:r>
          </w:p>
        </w:tc>
        <w:tc>
          <w:tcPr>
            <w:tcW w:w="180" w:type="dxa"/>
            <w:vAlign w:val="bottom"/>
            <w:tcBorders>
              <w:bottom w:val="single" w:sz="8" w:color="CFF0FC"/>
            </w:tcBorders>
            <w:shd w:val="clear" w:color="auto" w:fill="CFF0FC"/>
          </w:tcPr>
          <w:p>
            <w:pPr>
              <w:spacing w:after="0"/>
              <w:rPr>
                <w:sz w:val="19"/>
                <w:szCs w:val="19"/>
                <w:color w:val="auto"/>
              </w:rPr>
            </w:pPr>
          </w:p>
        </w:tc>
        <w:tc>
          <w:tcPr>
            <w:tcW w:w="2680" w:type="dxa"/>
            <w:vAlign w:val="bottom"/>
            <w:tcBorders>
              <w:bottom w:val="single" w:sz="8" w:color="CFF0FC"/>
            </w:tcBorders>
            <w:shd w:val="clear" w:color="auto" w:fill="CFF0FC"/>
          </w:tcPr>
          <w:p>
            <w:pPr>
              <w:spacing w:after="0"/>
              <w:rPr>
                <w:sz w:val="19"/>
                <w:szCs w:val="19"/>
                <w:color w:val="auto"/>
              </w:rPr>
            </w:pPr>
          </w:p>
        </w:tc>
      </w:tr>
      <w:tr>
        <w:trPr>
          <w:trHeight w:val="215"/>
        </w:trPr>
        <w:tc>
          <w:tcPr>
            <w:tcW w:w="230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Julie Masino</w:t>
            </w:r>
          </w:p>
        </w:tc>
        <w:tc>
          <w:tcPr>
            <w:tcW w:w="860" w:type="dxa"/>
            <w:vAlign w:val="bottom"/>
          </w:tcPr>
          <w:p>
            <w:pPr>
              <w:jc w:val="center"/>
              <w:ind w:right="150"/>
              <w:spacing w:after="0" w:line="215" w:lineRule="exact"/>
              <w:rPr>
                <w:sz w:val="20"/>
                <w:szCs w:val="20"/>
                <w:color w:val="auto"/>
              </w:rPr>
            </w:pPr>
            <w:r>
              <w:rPr>
                <w:rFonts w:ascii="Calibri" w:cs="Calibri" w:eastAsia="Calibri" w:hAnsi="Calibri"/>
                <w:sz w:val="18"/>
                <w:szCs w:val="18"/>
                <w:color w:val="auto"/>
                <w:w w:val="98"/>
              </w:rPr>
              <w:t>52</w:t>
            </w:r>
          </w:p>
        </w:tc>
        <w:tc>
          <w:tcPr>
            <w:tcW w:w="1580" w:type="dxa"/>
            <w:vAlign w:val="bottom"/>
            <w:gridSpan w:val="2"/>
          </w:tcPr>
          <w:p>
            <w:pPr>
              <w:jc w:val="center"/>
              <w:ind w:left="90"/>
              <w:spacing w:after="0" w:line="215" w:lineRule="exact"/>
              <w:rPr>
                <w:sz w:val="20"/>
                <w:szCs w:val="20"/>
                <w:color w:val="auto"/>
              </w:rPr>
            </w:pPr>
            <w:r>
              <w:rPr>
                <w:rFonts w:ascii="Calibri" w:cs="Calibri" w:eastAsia="Calibri" w:hAnsi="Calibri"/>
                <w:sz w:val="18"/>
                <w:szCs w:val="18"/>
                <w:color w:val="auto"/>
                <w:w w:val="98"/>
              </w:rPr>
              <w:t>2021</w:t>
            </w:r>
          </w:p>
        </w:tc>
        <w:tc>
          <w:tcPr>
            <w:tcW w:w="180" w:type="dxa"/>
            <w:vAlign w:val="bottom"/>
          </w:tcPr>
          <w:p>
            <w:pPr>
              <w:spacing w:after="0"/>
              <w:rPr>
                <w:sz w:val="18"/>
                <w:szCs w:val="18"/>
                <w:color w:val="auto"/>
              </w:rPr>
            </w:pPr>
          </w:p>
        </w:tc>
        <w:tc>
          <w:tcPr>
            <w:tcW w:w="1700" w:type="dxa"/>
            <w:vAlign w:val="bottom"/>
          </w:tcPr>
          <w:p>
            <w:pPr>
              <w:jc w:val="center"/>
              <w:spacing w:after="0" w:line="215" w:lineRule="exact"/>
              <w:rPr>
                <w:sz w:val="20"/>
                <w:szCs w:val="20"/>
                <w:color w:val="auto"/>
              </w:rPr>
            </w:pPr>
            <w:r>
              <w:rPr>
                <w:rFonts w:ascii="Calibri" w:cs="Calibri" w:eastAsia="Calibri" w:hAnsi="Calibri"/>
                <w:sz w:val="18"/>
                <w:szCs w:val="18"/>
                <w:color w:val="auto"/>
              </w:rPr>
              <w:t>M</w:t>
            </w:r>
          </w:p>
        </w:tc>
        <w:tc>
          <w:tcPr>
            <w:tcW w:w="200" w:type="dxa"/>
            <w:vAlign w:val="bottom"/>
          </w:tcPr>
          <w:p>
            <w:pPr>
              <w:spacing w:after="0"/>
              <w:rPr>
                <w:sz w:val="18"/>
                <w:szCs w:val="18"/>
                <w:color w:val="auto"/>
              </w:rPr>
            </w:pPr>
          </w:p>
        </w:tc>
        <w:tc>
          <w:tcPr>
            <w:tcW w:w="1560" w:type="dxa"/>
            <w:vAlign w:val="bottom"/>
          </w:tcPr>
          <w:p>
            <w:pPr>
              <w:jc w:val="center"/>
              <w:spacing w:after="0" w:line="215" w:lineRule="exact"/>
              <w:rPr>
                <w:sz w:val="20"/>
                <w:szCs w:val="20"/>
                <w:color w:val="auto"/>
              </w:rPr>
            </w:pPr>
            <w:r>
              <w:rPr>
                <w:rFonts w:ascii="Calibri" w:cs="Calibri" w:eastAsia="Calibri" w:hAnsi="Calibri"/>
                <w:sz w:val="18"/>
                <w:szCs w:val="18"/>
                <w:color w:val="auto"/>
              </w:rPr>
              <w:t>M</w:t>
            </w:r>
          </w:p>
        </w:tc>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8"/>
        </w:trPr>
        <w:tc>
          <w:tcPr>
            <w:tcW w:w="230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3"/>
        </w:trPr>
        <w:tc>
          <w:tcPr>
            <w:tcW w:w="2300" w:type="dxa"/>
            <w:vAlign w:val="bottom"/>
            <w:tcBorders>
              <w:bottom w:val="single" w:sz="8" w:color="CFF0FC"/>
            </w:tcBorders>
            <w:gridSpan w:val="3"/>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Martn Taylor</w:t>
            </w:r>
          </w:p>
        </w:tc>
        <w:tc>
          <w:tcPr>
            <w:tcW w:w="860" w:type="dxa"/>
            <w:vAlign w:val="bottom"/>
            <w:tcBorders>
              <w:bottom w:val="single" w:sz="8" w:color="CFF0FC"/>
            </w:tcBorders>
            <w:shd w:val="clear" w:color="auto" w:fill="CFF0FC"/>
          </w:tcPr>
          <w:p>
            <w:pPr>
              <w:jc w:val="center"/>
              <w:ind w:right="150"/>
              <w:spacing w:after="0" w:line="215" w:lineRule="exact"/>
              <w:rPr>
                <w:sz w:val="20"/>
                <w:szCs w:val="20"/>
                <w:color w:val="auto"/>
              </w:rPr>
            </w:pPr>
            <w:r>
              <w:rPr>
                <w:rFonts w:ascii="Calibri" w:cs="Calibri" w:eastAsia="Calibri" w:hAnsi="Calibri"/>
                <w:sz w:val="18"/>
                <w:szCs w:val="18"/>
                <w:color w:val="auto"/>
                <w:w w:val="98"/>
              </w:rPr>
              <w:t>53</w:t>
            </w:r>
          </w:p>
        </w:tc>
        <w:tc>
          <w:tcPr>
            <w:tcW w:w="1580" w:type="dxa"/>
            <w:vAlign w:val="bottom"/>
            <w:tcBorders>
              <w:bottom w:val="single" w:sz="8" w:color="CFF0FC"/>
            </w:tcBorders>
            <w:gridSpan w:val="2"/>
            <w:shd w:val="clear" w:color="auto" w:fill="CFF0FC"/>
          </w:tcPr>
          <w:p>
            <w:pPr>
              <w:jc w:val="center"/>
              <w:ind w:left="90"/>
              <w:spacing w:after="0" w:line="215" w:lineRule="exact"/>
              <w:rPr>
                <w:sz w:val="20"/>
                <w:szCs w:val="20"/>
                <w:color w:val="auto"/>
              </w:rPr>
            </w:pPr>
            <w:r>
              <w:rPr>
                <w:rFonts w:ascii="Calibri" w:cs="Calibri" w:eastAsia="Calibri" w:hAnsi="Calibri"/>
                <w:sz w:val="18"/>
                <w:szCs w:val="18"/>
                <w:color w:val="auto"/>
                <w:w w:val="98"/>
              </w:rPr>
              <w:t>2021</w:t>
            </w:r>
          </w:p>
        </w:tc>
        <w:tc>
          <w:tcPr>
            <w:tcW w:w="18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80" w:type="dxa"/>
            <w:vAlign w:val="bottom"/>
            <w:tcBorders>
              <w:bottom w:val="single" w:sz="8" w:color="CFF0FC"/>
            </w:tcBorders>
            <w:shd w:val="clear" w:color="auto" w:fill="CFF0FC"/>
          </w:tcPr>
          <w:p>
            <w:pPr>
              <w:spacing w:after="0"/>
              <w:rPr>
                <w:sz w:val="19"/>
                <w:szCs w:val="19"/>
                <w:color w:val="auto"/>
              </w:rPr>
            </w:pPr>
          </w:p>
        </w:tc>
      </w:tr>
      <w:tr>
        <w:trPr>
          <w:trHeight w:val="215"/>
        </w:trPr>
        <w:tc>
          <w:tcPr>
            <w:tcW w:w="2300" w:type="dxa"/>
            <w:vAlign w:val="bottom"/>
            <w:gridSpan w:val="3"/>
          </w:tcPr>
          <w:p>
            <w:pPr>
              <w:spacing w:after="0" w:line="215" w:lineRule="exact"/>
              <w:rPr>
                <w:sz w:val="20"/>
                <w:szCs w:val="20"/>
                <w:color w:val="auto"/>
              </w:rPr>
            </w:pPr>
            <w:r>
              <w:rPr>
                <w:rFonts w:ascii="Calibri" w:cs="Calibri" w:eastAsia="Calibri" w:hAnsi="Calibri"/>
                <w:sz w:val="18"/>
                <w:szCs w:val="18"/>
                <w:color w:val="auto"/>
              </w:rPr>
              <w:t>C – Chairperson; M - Member</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r>
    </w:tbl>
    <w:p>
      <w:pPr>
        <w:spacing w:after="0" w:line="127"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i w:val="1"/>
          <w:iCs w:val="1"/>
          <w:color w:val="auto"/>
        </w:rPr>
        <w:t>Stanley Chia</w:t>
      </w:r>
      <w:r>
        <w:rPr>
          <w:rFonts w:ascii="Calibri" w:cs="Calibri" w:eastAsia="Calibri" w:hAnsi="Calibri"/>
          <w:sz w:val="17"/>
          <w:szCs w:val="17"/>
          <w:color w:val="auto"/>
        </w:rPr>
        <w:t>. From April 2015 untl November 2018, Mr. Chia served as Chief Operatng Ofcer at Grubhub Inc. He serves on the Board and Nominatng</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Commitee of 1871 and on the President’s Advisory Board of the Georgia Insttute of Technology. Mr. Chia graduated from the Georgia Insttute of Technology and Emory University Goizueta Business School. Mr. Chia also served in the Singapore Armed Forces as an Armored Infantry Platoon Commander.</w:t>
      </w:r>
    </w:p>
    <w:p>
      <w:pPr>
        <w:spacing w:after="0" w:line="12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Mark M. Anderson</w:t>
      </w:r>
      <w:r>
        <w:rPr>
          <w:rFonts w:ascii="Calibri" w:cs="Calibri" w:eastAsia="Calibri" w:hAnsi="Calibri"/>
          <w:sz w:val="18"/>
          <w:szCs w:val="18"/>
          <w:color w:val="auto"/>
        </w:rPr>
        <w:t>. Since 2000, Mr. Anderson has worked at GTCR, most recently as a Managing Director. Mr. Anderson has served on the board of Gogo Inc.</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(NASDAQ: GOGO) since March 2021, where he is a member of Nominatng and Corporate Governance Commitee and also serves on the boards of CommerceHub and Jet Support Services Inc. Mr. Anderson graduated from the University of Virginia and Harvard Business School.</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Todd Boehly</w:t>
      </w:r>
      <w:r>
        <w:rPr>
          <w:rFonts w:ascii="Calibri" w:cs="Calibri" w:eastAsia="Calibri" w:hAnsi="Calibri"/>
          <w:sz w:val="18"/>
          <w:szCs w:val="18"/>
          <w:color w:val="auto"/>
        </w:rPr>
        <w:t>. From June 2020 to October 2021, Mr. Boehly served as the Chief Executve Ofcer and member of the Board of Directors of Horizon Acquisiton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Corporaton (“Horizon”) and from July 2020 to October 2021, he served as Horizon’s Chief Financial Ofcer and Chairman. Mr. Boehly has also served as the Chief Executve Ofcer, Chief Financial Ofcer and Director of Horizon Acquisiton Corporaton II (NYSE: HZON) since August 2020 and of Horizon Acquisiton Corporaton III (NYSE: HZNA) since November 2020. In 2015, Mr. Boehly co-founded Eldridge, a holding company with a unique network of businesses across fnance, technology, real estate and entertainment, and since then has served as the Chairman and Chief Executve Ofcer. From 2002 to 2015, Mr. Boehly worked at Guggenheim Partners, most recently as president. Mr. Boehly serves on the board of directors of Kennedy-Wilson Holdings (NYSE: KW), the Los Angeles Lakers, Flexjet, PayActv, CAIS, and Cain Internatonal. Mr. Boehly graduated from the College of William &amp; Mary. He also studied at the London School of Economics.</w:t>
      </w:r>
    </w:p>
    <w:p>
      <w:pPr>
        <w:spacing w:after="0" w:line="155"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i w:val="1"/>
          <w:iCs w:val="1"/>
          <w:color w:val="auto"/>
        </w:rPr>
        <w:t>Jane DeFlorio</w:t>
      </w:r>
      <w:r>
        <w:rPr>
          <w:rFonts w:ascii="Calibri" w:cs="Calibri" w:eastAsia="Calibri" w:hAnsi="Calibri"/>
          <w:sz w:val="17"/>
          <w:szCs w:val="17"/>
          <w:color w:val="auto"/>
        </w:rPr>
        <w:t>. Ms. DeFlorio was Managing Director of Deutsche Bank AG Retail/Consumer Sector Investment Banking Coverage from 2007 to 2013. From</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2002 to 2007, Ms. DeFlorio was an Executve Director in the Investment Banking Consumer and Retail Group at UBS Investment Bank. Ms. DeFlorio has served on the Board of SITE Centers Corp. (NYSE: SITC) since 2017, where she is Chair of the Audit Commitee and a member of the Compensaton and Pricing Commitees. Ms. DeFlorio served as a Director of Perry Ellis Internatonal from 2014 to 2018. Ms. DeFlorio is a member of the Board of Trustees and Chairman of the Audit and Risk Commitee at The New School University in New York City. She also serves on the Boards of Directors for The Parsons School of Design and the Museum at Fashion Insttute of Technology. Ms. DeFlorio graduated from the University of Notre Dame and Harvard Business School.</w:t>
      </w:r>
    </w:p>
    <w:p>
      <w:pPr>
        <w:spacing w:after="0" w:line="12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Craig Dixon</w:t>
      </w:r>
      <w:r>
        <w:rPr>
          <w:rFonts w:ascii="Calibri" w:cs="Calibri" w:eastAsia="Calibri" w:hAnsi="Calibri"/>
          <w:sz w:val="18"/>
          <w:szCs w:val="18"/>
          <w:color w:val="auto"/>
        </w:rPr>
        <w:t>. Mr. Dixon is the Co-Founder and Co-Chief Executve Ofcer of The St. James, a leading developer and operator of premium performance,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wellness and lifestyle brands, technology experiences and destnatons. From 2006 to 2013, Mr. Dixon was Senior Counsel and Assistant Corporate Secretary at Smithfeld Foods, a global food business. Mr. Dixon began his legal career at McGuireWoods LLP and Cooley LLP, and as a Law Clerk to the Honorable James R. Spencer, United States District Court for the Eastern District of Virginia. He is a member of the Board of Trustees of Episcopal High School. Mr. Dixon graduated from the College of William &amp; Mary and William &amp; Mary School of Law.</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David Donnini</w:t>
      </w:r>
      <w:r>
        <w:rPr>
          <w:rFonts w:ascii="Calibri" w:cs="Calibri" w:eastAsia="Calibri" w:hAnsi="Calibri"/>
          <w:sz w:val="18"/>
          <w:szCs w:val="18"/>
          <w:color w:val="auto"/>
        </w:rPr>
        <w:t>. Mr. Donnini joined GTCR in 1991 and is currently a Managing Director. Prior to joining GTCR, Mr. Donnini worked at Bain &amp; Company. Mr.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Donnini is currently a Director of AssuredPartners, Consumer Cellular, Park</w:t>
      </w:r>
    </w:p>
    <w:p>
      <w:pPr>
        <w:spacing w:after="0" w:line="10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 w:name="page16"/>
    <w:bookmarkEnd w:id="15"/>
    <w:p>
      <w:pPr>
        <w:jc w:val="both"/>
        <w:spacing w:after="0" w:line="235" w:lineRule="auto"/>
        <w:rPr>
          <w:sz w:val="20"/>
          <w:szCs w:val="20"/>
          <w:color w:val="auto"/>
        </w:rPr>
      </w:pPr>
      <w:r>
        <w:rPr>
          <w:rFonts w:ascii="Calibri" w:cs="Calibri" w:eastAsia="Calibri" w:hAnsi="Calibri"/>
          <w:sz w:val="18"/>
          <w:szCs w:val="18"/>
          <w:color w:val="auto"/>
        </w:rPr>
        <w:t>Place Technologies and Sotera (NYSE: SHC), where he serves on the Nominatng and Corporate Governance Commitee. Mr. Donnini graduated from Yale University and Stanford Graduate School of Business.</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Tom Ehrhart</w:t>
      </w:r>
      <w:r>
        <w:rPr>
          <w:rFonts w:ascii="Calibri" w:cs="Calibri" w:eastAsia="Calibri" w:hAnsi="Calibri"/>
          <w:sz w:val="18"/>
          <w:szCs w:val="18"/>
          <w:color w:val="auto"/>
        </w:rPr>
        <w:t>. Mr. Ehrhart joined GTCR in 2012 and is currently a Director. Prior to joining GTCR, Mr. Ehrhart worked as an Analyst in the Financial Insttutons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group at Credit Suisse. Mr. Ehrhart serves on the Board of Directors of AssuredPartners and Consumer Cellular. He was previously a Director of GreatCall and Park Place Technologies. Mr. Ehrhart graduated from Georgetown University.</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Julie Masino</w:t>
      </w:r>
      <w:r>
        <w:rPr>
          <w:rFonts w:ascii="Calibri" w:cs="Calibri" w:eastAsia="Calibri" w:hAnsi="Calibri"/>
          <w:sz w:val="18"/>
          <w:szCs w:val="18"/>
          <w:color w:val="auto"/>
        </w:rPr>
        <w:t>. Since January 2020, Ms. Masino has served as the President, Internatonal of Taco Bell, a subsidiary of Yum! Brands (NYSE: YUM). From January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2018 to December 2019, Ms. Masino served as President, North America of Taco Bell. Ms. Masino held senior positons at Matel (NASDAQ: MAT) from April 2017 to January 2018 and at Sprinkles Cupcakes from 2014 to 2017. Ms. Masino serves on the board of PhysicianOne Urgent Care. Ms. Masino graduated from Miami University.</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Martn Taylor</w:t>
      </w:r>
      <w:r>
        <w:rPr>
          <w:rFonts w:ascii="Calibri" w:cs="Calibri" w:eastAsia="Calibri" w:hAnsi="Calibri"/>
          <w:sz w:val="18"/>
          <w:szCs w:val="18"/>
          <w:color w:val="auto"/>
        </w:rPr>
        <w:t>. Mr. Taylor has been an Operatng Managing Director at Vista Equity Partners since 2006. Prior to joining Vista, Mr. Taylor spent over 13 years at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Microsof Corporaton, including in roles managing corporate strategy, sales, product marketng and segment focused teams in North America and Latn America. Mr. Taylor has served on the board of Jamf Holding Corp. (NASDAQ: JAMF) since 2017 and Integral Ad Science (NASDAQ: IAS) since 2018, where he serves on the Compensaton, Nominatng and Governance Commitees. He served on the board of Ping Identty Holding Corp. (NYSE: PING) from November 2016 untl October 2022 when it was acquired. Mr. Taylor graduated from George Mason University.</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Executve Ofcers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Below are the names, ages and principal occupatons of each of our current executve ofcers. All such persons have been elected to serve untl their successors are elected and qualifed or untl their earlier resignaton or removal.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00" w:type="dxa"/>
            <w:vAlign w:val="bottom"/>
          </w:tcPr>
          <w:p>
            <w:pPr>
              <w:ind w:left="900"/>
              <w:spacing w:after="0"/>
              <w:rPr>
                <w:sz w:val="20"/>
                <w:szCs w:val="20"/>
                <w:color w:val="auto"/>
              </w:rPr>
            </w:pPr>
            <w:r>
              <w:rPr>
                <w:rFonts w:ascii="Calibri" w:cs="Calibri" w:eastAsia="Calibri" w:hAnsi="Calibri"/>
                <w:sz w:val="18"/>
                <w:szCs w:val="18"/>
                <w:b w:val="1"/>
                <w:bCs w:val="1"/>
                <w:color w:val="auto"/>
              </w:rPr>
              <w:t>Name</w:t>
            </w:r>
          </w:p>
        </w:tc>
        <w:tc>
          <w:tcPr>
            <w:tcW w:w="3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Age</w:t>
            </w:r>
          </w:p>
        </w:tc>
        <w:tc>
          <w:tcPr>
            <w:tcW w:w="3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Calibri" w:cs="Calibri" w:eastAsia="Calibri" w:hAnsi="Calibri"/>
                <w:sz w:val="18"/>
                <w:szCs w:val="18"/>
                <w:b w:val="1"/>
                <w:bCs w:val="1"/>
                <w:color w:val="auto"/>
              </w:rPr>
              <w:t>Executve Ofcer Since</w:t>
            </w:r>
          </w:p>
        </w:tc>
        <w:tc>
          <w:tcPr>
            <w:tcW w:w="300" w:type="dxa"/>
            <w:vAlign w:val="bottom"/>
          </w:tcPr>
          <w:p>
            <w:pPr>
              <w:spacing w:after="0"/>
              <w:rPr>
                <w:sz w:val="19"/>
                <w:szCs w:val="19"/>
                <w:color w:val="auto"/>
              </w:rPr>
            </w:pPr>
          </w:p>
        </w:tc>
        <w:tc>
          <w:tcPr>
            <w:tcW w:w="5400" w:type="dxa"/>
            <w:vAlign w:val="bottom"/>
          </w:tcPr>
          <w:p>
            <w:pPr>
              <w:ind w:left="2400"/>
              <w:spacing w:after="0"/>
              <w:rPr>
                <w:sz w:val="20"/>
                <w:szCs w:val="20"/>
                <w:color w:val="auto"/>
              </w:rPr>
            </w:pPr>
            <w:r>
              <w:rPr>
                <w:rFonts w:ascii="Calibri" w:cs="Calibri" w:eastAsia="Calibri" w:hAnsi="Calibri"/>
                <w:sz w:val="18"/>
                <w:szCs w:val="18"/>
                <w:b w:val="1"/>
                <w:bCs w:val="1"/>
                <w:color w:val="auto"/>
              </w:rPr>
              <w:t>Positon</w:t>
            </w:r>
          </w:p>
        </w:tc>
      </w:tr>
      <w:tr>
        <w:trPr>
          <w:trHeight w:val="37"/>
        </w:trPr>
        <w:tc>
          <w:tcPr>
            <w:tcW w:w="22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400" w:type="dxa"/>
            <w:vAlign w:val="bottom"/>
            <w:tcBorders>
              <w:bottom w:val="single" w:sz="8" w:color="auto"/>
            </w:tcBorders>
          </w:tcPr>
          <w:p>
            <w:pPr>
              <w:spacing w:after="0"/>
              <w:rPr>
                <w:sz w:val="3"/>
                <w:szCs w:val="3"/>
                <w:color w:val="auto"/>
              </w:rPr>
            </w:pPr>
          </w:p>
        </w:tc>
      </w:tr>
      <w:tr>
        <w:trPr>
          <w:trHeight w:val="216"/>
        </w:trPr>
        <w:tc>
          <w:tcPr>
            <w:tcW w:w="22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Stanley Chia</w:t>
            </w:r>
          </w:p>
        </w:tc>
        <w:tc>
          <w:tcPr>
            <w:tcW w:w="3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center"/>
              <w:spacing w:after="0" w:line="208" w:lineRule="exact"/>
              <w:rPr>
                <w:sz w:val="20"/>
                <w:szCs w:val="20"/>
                <w:color w:val="auto"/>
              </w:rPr>
            </w:pPr>
            <w:r>
              <w:rPr>
                <w:rFonts w:ascii="Calibri" w:cs="Calibri" w:eastAsia="Calibri" w:hAnsi="Calibri"/>
                <w:sz w:val="18"/>
                <w:szCs w:val="18"/>
                <w:color w:val="auto"/>
                <w:w w:val="98"/>
              </w:rPr>
              <w:t>41</w:t>
            </w:r>
          </w:p>
        </w:tc>
        <w:tc>
          <w:tcPr>
            <w:tcW w:w="32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center"/>
              <w:spacing w:after="0" w:line="208" w:lineRule="exact"/>
              <w:rPr>
                <w:sz w:val="20"/>
                <w:szCs w:val="20"/>
                <w:color w:val="auto"/>
              </w:rPr>
            </w:pPr>
            <w:r>
              <w:rPr>
                <w:rFonts w:ascii="Calibri" w:cs="Calibri" w:eastAsia="Calibri" w:hAnsi="Calibri"/>
                <w:sz w:val="18"/>
                <w:szCs w:val="18"/>
                <w:color w:val="auto"/>
                <w:w w:val="98"/>
              </w:rPr>
              <w:t>2018</w:t>
            </w:r>
          </w:p>
        </w:tc>
        <w:tc>
          <w:tcPr>
            <w:tcW w:w="300" w:type="dxa"/>
            <w:vAlign w:val="bottom"/>
            <w:tcBorders>
              <w:bottom w:val="single" w:sz="8" w:color="CFF0FC"/>
            </w:tcBorders>
            <w:shd w:val="clear" w:color="auto" w:fill="CFF0FC"/>
          </w:tcPr>
          <w:p>
            <w:pPr>
              <w:spacing w:after="0"/>
              <w:rPr>
                <w:sz w:val="18"/>
                <w:szCs w:val="18"/>
                <w:color w:val="auto"/>
              </w:rPr>
            </w:pPr>
          </w:p>
        </w:tc>
        <w:tc>
          <w:tcPr>
            <w:tcW w:w="54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Chief Executve Ofcer and Director</w:t>
            </w: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Lawrence Fey</w:t>
            </w:r>
          </w:p>
        </w:tc>
        <w:tc>
          <w:tcPr>
            <w:tcW w:w="1060" w:type="dxa"/>
            <w:vAlign w:val="bottom"/>
            <w:gridSpan w:val="2"/>
          </w:tcPr>
          <w:p>
            <w:pPr>
              <w:jc w:val="center"/>
              <w:ind w:left="230"/>
              <w:spacing w:after="0" w:line="215" w:lineRule="exact"/>
              <w:rPr>
                <w:sz w:val="20"/>
                <w:szCs w:val="20"/>
                <w:color w:val="auto"/>
              </w:rPr>
            </w:pPr>
            <w:r>
              <w:rPr>
                <w:rFonts w:ascii="Calibri" w:cs="Calibri" w:eastAsia="Calibri" w:hAnsi="Calibri"/>
                <w:sz w:val="18"/>
                <w:szCs w:val="18"/>
                <w:color w:val="auto"/>
                <w:w w:val="98"/>
              </w:rPr>
              <w:t>42</w:t>
            </w:r>
          </w:p>
        </w:tc>
        <w:tc>
          <w:tcPr>
            <w:tcW w:w="2280" w:type="dxa"/>
            <w:vAlign w:val="bottom"/>
            <w:gridSpan w:val="2"/>
          </w:tcPr>
          <w:p>
            <w:pPr>
              <w:jc w:val="center"/>
              <w:ind w:left="230"/>
              <w:spacing w:after="0" w:line="215" w:lineRule="exact"/>
              <w:rPr>
                <w:sz w:val="20"/>
                <w:szCs w:val="20"/>
                <w:color w:val="auto"/>
              </w:rPr>
            </w:pPr>
            <w:r>
              <w:rPr>
                <w:rFonts w:ascii="Calibri" w:cs="Calibri" w:eastAsia="Calibri" w:hAnsi="Calibri"/>
                <w:sz w:val="18"/>
                <w:szCs w:val="18"/>
                <w:color w:val="auto"/>
                <w:w w:val="98"/>
              </w:rPr>
              <w:t>2020</w:t>
            </w:r>
          </w:p>
        </w:tc>
        <w:tc>
          <w:tcPr>
            <w:tcW w:w="300" w:type="dxa"/>
            <w:vAlign w:val="bottom"/>
          </w:tcPr>
          <w:p>
            <w:pPr>
              <w:spacing w:after="0"/>
              <w:rPr>
                <w:sz w:val="18"/>
                <w:szCs w:val="18"/>
                <w:color w:val="auto"/>
              </w:rPr>
            </w:pPr>
          </w:p>
        </w:tc>
        <w:tc>
          <w:tcPr>
            <w:tcW w:w="5400" w:type="dxa"/>
            <w:vAlign w:val="bottom"/>
          </w:tcPr>
          <w:p>
            <w:pPr>
              <w:ind w:left="20"/>
              <w:spacing w:after="0" w:line="215" w:lineRule="exact"/>
              <w:rPr>
                <w:sz w:val="20"/>
                <w:szCs w:val="20"/>
                <w:color w:val="auto"/>
              </w:rPr>
            </w:pPr>
            <w:r>
              <w:rPr>
                <w:rFonts w:ascii="Calibri" w:cs="Calibri" w:eastAsia="Calibri" w:hAnsi="Calibri"/>
                <w:sz w:val="18"/>
                <w:szCs w:val="18"/>
                <w:color w:val="auto"/>
              </w:rPr>
              <w:t>Chief Financial Ofcer</w:t>
            </w:r>
          </w:p>
        </w:tc>
      </w:tr>
      <w:tr>
        <w:trPr>
          <w:trHeight w:val="28"/>
        </w:trPr>
        <w:tc>
          <w:tcPr>
            <w:tcW w:w="2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5400" w:type="dxa"/>
            <w:vAlign w:val="bottom"/>
          </w:tcPr>
          <w:p>
            <w:pPr>
              <w:spacing w:after="0"/>
              <w:rPr>
                <w:sz w:val="2"/>
                <w:szCs w:val="2"/>
                <w:color w:val="auto"/>
              </w:rPr>
            </w:pPr>
          </w:p>
        </w:tc>
      </w:tr>
      <w:tr>
        <w:trPr>
          <w:trHeight w:val="223"/>
        </w:trPr>
        <w:tc>
          <w:tcPr>
            <w:tcW w:w="22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Riva Bakal</w:t>
            </w:r>
          </w:p>
        </w:tc>
        <w:tc>
          <w:tcPr>
            <w:tcW w:w="1060" w:type="dxa"/>
            <w:vAlign w:val="bottom"/>
            <w:tcBorders>
              <w:bottom w:val="single" w:sz="8" w:color="CFF0FC"/>
            </w:tcBorders>
            <w:gridSpan w:val="2"/>
            <w:shd w:val="clear" w:color="auto" w:fill="CFF0FC"/>
          </w:tcPr>
          <w:p>
            <w:pPr>
              <w:jc w:val="center"/>
              <w:ind w:left="230"/>
              <w:spacing w:after="0" w:line="215" w:lineRule="exact"/>
              <w:rPr>
                <w:sz w:val="20"/>
                <w:szCs w:val="20"/>
                <w:color w:val="auto"/>
              </w:rPr>
            </w:pPr>
            <w:r>
              <w:rPr>
                <w:rFonts w:ascii="Calibri" w:cs="Calibri" w:eastAsia="Calibri" w:hAnsi="Calibri"/>
                <w:sz w:val="18"/>
                <w:szCs w:val="18"/>
                <w:color w:val="auto"/>
                <w:w w:val="98"/>
              </w:rPr>
              <w:t>38</w:t>
            </w:r>
          </w:p>
        </w:tc>
        <w:tc>
          <w:tcPr>
            <w:tcW w:w="2280" w:type="dxa"/>
            <w:vAlign w:val="bottom"/>
            <w:tcBorders>
              <w:bottom w:val="single" w:sz="8" w:color="CFF0FC"/>
            </w:tcBorders>
            <w:gridSpan w:val="2"/>
            <w:shd w:val="clear" w:color="auto" w:fill="CFF0FC"/>
          </w:tcPr>
          <w:p>
            <w:pPr>
              <w:jc w:val="center"/>
              <w:ind w:left="230"/>
              <w:spacing w:after="0" w:line="215" w:lineRule="exact"/>
              <w:rPr>
                <w:sz w:val="20"/>
                <w:szCs w:val="20"/>
                <w:color w:val="auto"/>
              </w:rPr>
            </w:pPr>
            <w:r>
              <w:rPr>
                <w:rFonts w:ascii="Calibri" w:cs="Calibri" w:eastAsia="Calibri" w:hAnsi="Calibri"/>
                <w:sz w:val="18"/>
                <w:szCs w:val="18"/>
                <w:color w:val="auto"/>
                <w:w w:val="98"/>
              </w:rPr>
              <w:t>2021</w:t>
            </w:r>
          </w:p>
        </w:tc>
        <w:tc>
          <w:tcPr>
            <w:tcW w:w="300" w:type="dxa"/>
            <w:vAlign w:val="bottom"/>
            <w:tcBorders>
              <w:bottom w:val="single" w:sz="8" w:color="CFF0FC"/>
            </w:tcBorders>
            <w:shd w:val="clear" w:color="auto" w:fill="CFF0FC"/>
          </w:tcPr>
          <w:p>
            <w:pPr>
              <w:spacing w:after="0"/>
              <w:rPr>
                <w:sz w:val="19"/>
                <w:szCs w:val="19"/>
                <w:color w:val="auto"/>
              </w:rPr>
            </w:pPr>
          </w:p>
        </w:tc>
        <w:tc>
          <w:tcPr>
            <w:tcW w:w="54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Chief Product and Strategy Ofcer</w:t>
            </w: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Emily Epstein</w:t>
            </w:r>
          </w:p>
        </w:tc>
        <w:tc>
          <w:tcPr>
            <w:tcW w:w="1060" w:type="dxa"/>
            <w:vAlign w:val="bottom"/>
            <w:gridSpan w:val="2"/>
          </w:tcPr>
          <w:p>
            <w:pPr>
              <w:jc w:val="center"/>
              <w:ind w:left="230"/>
              <w:spacing w:after="0" w:line="215" w:lineRule="exact"/>
              <w:rPr>
                <w:sz w:val="20"/>
                <w:szCs w:val="20"/>
                <w:color w:val="auto"/>
              </w:rPr>
            </w:pPr>
            <w:r>
              <w:rPr>
                <w:rFonts w:ascii="Calibri" w:cs="Calibri" w:eastAsia="Calibri" w:hAnsi="Calibri"/>
                <w:sz w:val="18"/>
                <w:szCs w:val="18"/>
                <w:color w:val="auto"/>
                <w:w w:val="98"/>
              </w:rPr>
              <w:t>45</w:t>
            </w:r>
          </w:p>
        </w:tc>
        <w:tc>
          <w:tcPr>
            <w:tcW w:w="2280" w:type="dxa"/>
            <w:vAlign w:val="bottom"/>
            <w:gridSpan w:val="2"/>
          </w:tcPr>
          <w:p>
            <w:pPr>
              <w:jc w:val="center"/>
              <w:ind w:left="230"/>
              <w:spacing w:after="0" w:line="215" w:lineRule="exact"/>
              <w:rPr>
                <w:sz w:val="20"/>
                <w:szCs w:val="20"/>
                <w:color w:val="auto"/>
              </w:rPr>
            </w:pPr>
            <w:r>
              <w:rPr>
                <w:rFonts w:ascii="Calibri" w:cs="Calibri" w:eastAsia="Calibri" w:hAnsi="Calibri"/>
                <w:sz w:val="18"/>
                <w:szCs w:val="18"/>
                <w:color w:val="auto"/>
                <w:w w:val="98"/>
              </w:rPr>
              <w:t>2022</w:t>
            </w:r>
          </w:p>
        </w:tc>
        <w:tc>
          <w:tcPr>
            <w:tcW w:w="300" w:type="dxa"/>
            <w:vAlign w:val="bottom"/>
          </w:tcPr>
          <w:p>
            <w:pPr>
              <w:spacing w:after="0"/>
              <w:rPr>
                <w:sz w:val="18"/>
                <w:szCs w:val="18"/>
                <w:color w:val="auto"/>
              </w:rPr>
            </w:pPr>
          </w:p>
        </w:tc>
        <w:tc>
          <w:tcPr>
            <w:tcW w:w="5400" w:type="dxa"/>
            <w:vAlign w:val="bottom"/>
          </w:tcPr>
          <w:p>
            <w:pPr>
              <w:ind w:left="20"/>
              <w:spacing w:after="0" w:line="215" w:lineRule="exact"/>
              <w:rPr>
                <w:sz w:val="20"/>
                <w:szCs w:val="20"/>
                <w:color w:val="auto"/>
              </w:rPr>
            </w:pPr>
            <w:r>
              <w:rPr>
                <w:rFonts w:ascii="Calibri" w:cs="Calibri" w:eastAsia="Calibri" w:hAnsi="Calibri"/>
                <w:sz w:val="18"/>
                <w:szCs w:val="18"/>
                <w:color w:val="auto"/>
              </w:rPr>
              <w:t>General Counsel</w:t>
            </w:r>
          </w:p>
        </w:tc>
      </w:tr>
      <w:tr>
        <w:trPr>
          <w:trHeight w:val="28"/>
        </w:trPr>
        <w:tc>
          <w:tcPr>
            <w:tcW w:w="2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5400" w:type="dxa"/>
            <w:vAlign w:val="bottom"/>
          </w:tcPr>
          <w:p>
            <w:pPr>
              <w:spacing w:after="0"/>
              <w:rPr>
                <w:sz w:val="2"/>
                <w:szCs w:val="2"/>
                <w:color w:val="auto"/>
              </w:rPr>
            </w:pPr>
          </w:p>
        </w:tc>
      </w:tr>
      <w:tr>
        <w:trPr>
          <w:trHeight w:val="215"/>
        </w:trPr>
        <w:tc>
          <w:tcPr>
            <w:tcW w:w="22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Jon Wagner</w:t>
            </w:r>
          </w:p>
        </w:tc>
        <w:tc>
          <w:tcPr>
            <w:tcW w:w="1060" w:type="dxa"/>
            <w:vAlign w:val="bottom"/>
            <w:gridSpan w:val="2"/>
            <w:shd w:val="clear" w:color="auto" w:fill="CFF0FC"/>
          </w:tcPr>
          <w:p>
            <w:pPr>
              <w:jc w:val="center"/>
              <w:ind w:left="230"/>
              <w:spacing w:after="0" w:line="215" w:lineRule="exact"/>
              <w:rPr>
                <w:sz w:val="20"/>
                <w:szCs w:val="20"/>
                <w:color w:val="auto"/>
              </w:rPr>
            </w:pPr>
            <w:r>
              <w:rPr>
                <w:rFonts w:ascii="Calibri" w:cs="Calibri" w:eastAsia="Calibri" w:hAnsi="Calibri"/>
                <w:sz w:val="18"/>
                <w:szCs w:val="18"/>
                <w:color w:val="auto"/>
                <w:w w:val="98"/>
              </w:rPr>
              <w:t>50</w:t>
            </w:r>
          </w:p>
        </w:tc>
        <w:tc>
          <w:tcPr>
            <w:tcW w:w="2280" w:type="dxa"/>
            <w:vAlign w:val="bottom"/>
            <w:gridSpan w:val="2"/>
            <w:shd w:val="clear" w:color="auto" w:fill="CFF0FC"/>
          </w:tcPr>
          <w:p>
            <w:pPr>
              <w:jc w:val="center"/>
              <w:ind w:left="230"/>
              <w:spacing w:after="0" w:line="215" w:lineRule="exact"/>
              <w:rPr>
                <w:sz w:val="20"/>
                <w:szCs w:val="20"/>
                <w:color w:val="auto"/>
              </w:rPr>
            </w:pPr>
            <w:r>
              <w:rPr>
                <w:rFonts w:ascii="Calibri" w:cs="Calibri" w:eastAsia="Calibri" w:hAnsi="Calibri"/>
                <w:sz w:val="18"/>
                <w:szCs w:val="18"/>
                <w:color w:val="auto"/>
                <w:w w:val="98"/>
              </w:rPr>
              <w:t>2018</w:t>
            </w:r>
          </w:p>
        </w:tc>
        <w:tc>
          <w:tcPr>
            <w:tcW w:w="300" w:type="dxa"/>
            <w:vAlign w:val="bottom"/>
            <w:shd w:val="clear" w:color="auto" w:fill="CFF0FC"/>
          </w:tcPr>
          <w:p>
            <w:pPr>
              <w:spacing w:after="0"/>
              <w:rPr>
                <w:sz w:val="18"/>
                <w:szCs w:val="18"/>
                <w:color w:val="auto"/>
              </w:rPr>
            </w:pPr>
          </w:p>
        </w:tc>
        <w:tc>
          <w:tcPr>
            <w:tcW w:w="54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Chief Technology Ofcer</w:t>
            </w:r>
          </w:p>
        </w:tc>
      </w:tr>
      <w:tr>
        <w:trPr>
          <w:trHeight w:val="28"/>
        </w:trPr>
        <w:tc>
          <w:tcPr>
            <w:tcW w:w="22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9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5400" w:type="dxa"/>
            <w:vAlign w:val="bottom"/>
            <w:shd w:val="clear" w:color="auto" w:fill="CFF0FC"/>
          </w:tcPr>
          <w:p>
            <w:pPr>
              <w:spacing w:after="0"/>
              <w:rPr>
                <w:sz w:val="2"/>
                <w:szCs w:val="2"/>
                <w:color w:val="auto"/>
              </w:rPr>
            </w:pPr>
          </w:p>
        </w:tc>
      </w:tr>
    </w:tbl>
    <w:p>
      <w:pPr>
        <w:spacing w:after="0" w:line="12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Lawrence Fey. </w:t>
      </w:r>
      <w:r>
        <w:rPr>
          <w:rFonts w:ascii="Calibri" w:cs="Calibri" w:eastAsia="Calibri" w:hAnsi="Calibri"/>
          <w:sz w:val="18"/>
          <w:szCs w:val="18"/>
          <w:color w:val="auto"/>
        </w:rPr>
        <w:t>Mr. Fey joined Vivid Seats in April 2020 and served as a member of our Board from July 2017 through February 2020. From 2005 untl 2020, 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worked at GTCR, a private equity frm, most recently serving as a Managing Director. While at GTCR, Mr. Fey was a member of the Board of many successful investments, including Six3 Systems, CAMP Systems, Zayo Group, Cision, Park Place Technologies, GreatCall, Simpli.f and EaglePicher. Mr. Fey graduated from Dartmouth College.</w:t>
      </w:r>
    </w:p>
    <w:p>
      <w:pPr>
        <w:spacing w:after="0" w:line="138"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i w:val="1"/>
          <w:iCs w:val="1"/>
          <w:color w:val="auto"/>
        </w:rPr>
        <w:t xml:space="preserve">Riva Bakal. </w:t>
      </w:r>
      <w:r>
        <w:rPr>
          <w:rFonts w:ascii="Calibri" w:cs="Calibri" w:eastAsia="Calibri" w:hAnsi="Calibri"/>
          <w:sz w:val="17"/>
          <w:szCs w:val="17"/>
          <w:color w:val="auto"/>
        </w:rPr>
        <w:t>Ms. Bakal joined Vivid Seats in February 2019 as our Vice President of Strategy and Corporate Development and was promoted to Chief Product</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and Strategy Ofcer in March 2022. From August 2016 to December 2018, Ms. Bakal held a variety of senior positons across functons at Grubhub, most recently serving as Vice President of Market Operatons. Ms. Bakal is a graduate of the Massachusets Insttute of Technology and Harvard Business School.</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Emily Epstein. </w:t>
      </w:r>
      <w:r>
        <w:rPr>
          <w:rFonts w:ascii="Calibri" w:cs="Calibri" w:eastAsia="Calibri" w:hAnsi="Calibri"/>
          <w:sz w:val="18"/>
          <w:szCs w:val="18"/>
          <w:color w:val="auto"/>
        </w:rPr>
        <w:t>Ms. Epstein joined Vivid Seats in October 2022. From January 2022 to July 2022, Ms. Epstein was General Counsel at Dato, Inc. From</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December 2020 to January 2022, she was Deputy General Counsel &amp; Corporate Secretary for Coupang, Inc. From November 2016 to December 2020, she served in various leadership positons at Nielsen Holdings Inc., including Deputy Chief Legal Ofcer. Prior to that, Ms. Epstein worked in the legal department at American Express Company. She began her legal career at Simpson Thacher &amp; Bartlet LLP. Ms. Epstein is a graduate of Harvard University and the University of Virginia School of Law.</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Jon Wagner. </w:t>
      </w:r>
      <w:r>
        <w:rPr>
          <w:rFonts w:ascii="Calibri" w:cs="Calibri" w:eastAsia="Calibri" w:hAnsi="Calibri"/>
          <w:sz w:val="18"/>
          <w:szCs w:val="18"/>
          <w:color w:val="auto"/>
        </w:rPr>
        <w:t>Mr. Wagner joined Vivid Seats in December 2018 with over 25 years of experience in the technology sector, including most recently as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freelance Decision Engineering Consultant from January 2018 to December 2018.</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6" w:name="page17"/>
    <w:bookmarkEnd w:id="16"/>
    <w:p>
      <w:pPr>
        <w:jc w:val="both"/>
        <w:spacing w:after="0" w:line="235" w:lineRule="auto"/>
        <w:rPr>
          <w:sz w:val="20"/>
          <w:szCs w:val="20"/>
          <w:color w:val="auto"/>
        </w:rPr>
      </w:pPr>
      <w:r>
        <w:rPr>
          <w:rFonts w:ascii="Calibri" w:cs="Calibri" w:eastAsia="Calibri" w:hAnsi="Calibri"/>
          <w:sz w:val="18"/>
          <w:szCs w:val="18"/>
          <w:color w:val="auto"/>
        </w:rPr>
        <w:t>From June 2017 to January 2018, Mr. Wagner served as Co-Founder of Aidan.ai, a start-up specializing in applied artfcial intelligence, from February 2017 to May 2017, he served as Vice President of Systems and Decision Engineering at Grubhub, and from March 2015 to February 2017, he served as Chief Operatng Ofcer of Zoomer, a B2B food delivery company. Mr. Wagner graduated from La Salle University.</w:t>
      </w:r>
    </w:p>
    <w:p>
      <w:pPr>
        <w:spacing w:after="0" w:line="13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1A. Risk Factors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Set forth below, elsewhere in this Annual Report on Form 10-K and in other documents we fle with the SEC are risks and uncertaintes that could cause actual results to difer materially from the results contemplated by the forward-looking statements contained in this Annual Report on Form 10-K. We note that factors set forth below, individually or in the aggregate, as well as additonal risks and uncertaintes either not presently known or that are currently believed to not be material to the business, may cause our actual results to difer materially from expected and historical results. You should understand that it is not possible to predict or identfy all such factors. Consequently, you should not consider the following to be a complete discussion of all potental risks or uncertaintes and the risks described below should be carefully considered together with the other informaton set forth in this report and in future documents we fle with the SEC.</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Relatng to Our Business and the Live Events and Ticketng Industries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success depends on the supply and demand of concert, sportng and theater events and if either declines, it could have a material adverse efect on our business, fnancial conditon and results of operatons.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reducton in the number of live concert, sportng and theater events will have an adverse efect on our revenue and operatng income. Many of the factors afectng the number and availability of live concert, sportng and theater events are beyond our control. For instance, certain sports leagues have experienced labor disputes leading to threatened or actual player lockouts. Any such lockouts that result in shortened or cancelled seasons will adversely impact our business due to fewer events and increased event cancellatons as well as the possibility of decreased atendance following such a lockout due to adverse fan reacton.</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decline in atendance at live concert, sportng and theater events may also have an adverse efect on our revenue and operatng income. Our business depends on discretonary consumer and corporate spending. Many factors related to corporate spending and discretonary consumer spending, including economic conditons afectng disposable consumer income such as unemployment levels, fuel prices, interest rates, changes in tax rates and tax laws that impact companies or individuals, and rising infaton can signifcantly impact our operatng results. Business conditons, as well as various industry conditons, can also signifcantly impact our operatng results as these factors can afect premium seat sales. Negatve factors such as challenging economic conditons and public concerns over terrorism and security incidents, partcularly when combined, can also impact corporate and consumer spending. During periods of economic slowdown and recession, many consumers have historically reduced their discretonary spending. The risks associated with our business will become more acute in periods of a slowing economy or recession, which may be accompanied by a decrease in atendance at live concert, sportng and theater events.</w:t>
      </w:r>
    </w:p>
    <w:p>
      <w:pPr>
        <w:spacing w:after="0" w:line="14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impact of economic slowdowns could result in reductons in tcket sales and could have an adverse efect on our ability to generate revenue. We have limited operatng history during economic slowdowns as our marketplace developed subsequent to the last signifcant fnancial crisis (startng in 2008 and 2009). The impact of the COVID-19 pandemic startng in 2020 and related economic slowdown impacted our business through event cancellatons and restrictons but may not be representatve of an economic slowdown or recession not induced by a pandemic. Despite slowing economic actvity in 2022, demand for live events remained strong. However, there can be no assurance that consumer and corporate spending will not subsequently be adversely impacted by any future deterioraton in economic conditons, which could have a material adverse efect on our business, fnancial conditon and results of operatons.</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business is dependent on the contnued occurrence of large-scale sportng events, concerts and theater shows and any decrease in the number of such events will result in decreased demand for our services.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Ticket sales are sensitve to fuctuatons in the number of entertainment, sportng and theater events and actvites ofered by promoters, teams and facilites, and adverse trends in the entertainment, sportng and leisure event</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7" w:name="page18"/>
    <w:bookmarkEnd w:id="17"/>
    <w:p>
      <w:pPr>
        <w:jc w:val="both"/>
        <w:spacing w:after="0" w:line="235" w:lineRule="auto"/>
        <w:rPr>
          <w:sz w:val="20"/>
          <w:szCs w:val="20"/>
          <w:color w:val="auto"/>
        </w:rPr>
      </w:pPr>
      <w:r>
        <w:rPr>
          <w:rFonts w:ascii="Calibri" w:cs="Calibri" w:eastAsia="Calibri" w:hAnsi="Calibri"/>
          <w:sz w:val="18"/>
          <w:szCs w:val="18"/>
          <w:color w:val="auto"/>
        </w:rPr>
        <w:t>industries could adversely afect our business, fnancial conditon and results of operatons. We rely on artsts, entertainers and teams to create and perform at live music, sportng and theater events, and any unwillingness to tour, lack of availability of popular artsts or decrease in the number of games or performances held could limit our ability to generate revenue. Accordingly, our success depends upon the ability of these promoters, teams and facilites to correctly antcipate public demand for partcular events, as well as the availability of popular artsts, entertainers and teams, and any decrease in availability or failure to antcipate public demand could result in reduced demand for our services, which would adversely afect our business, fnancial conditon and results of operatons.</w:t>
      </w: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business depends on relatonships with tcket buyers, sellers and distributon partners, and any adverse changes in these relatonships will adversely afect our business, fnancial conditon and results of operatons.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is dependent on maintaining our deep and longstanding relatonships with the partes that use our platorm to buy and sell tckets, including tcket buyers, sellers, and distributon partners. We cannot provide assurance that we will be able to maintain existng relatonships, or enter into new relatonships, on acceptable terms, if at all, and the failure to do so could have a material adverse efect on our business, fnancial conditon and results of operatons.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Changes in internet search engine algorithms and dynamics, or search engine disintermediaton, or changes in marketplace rules could have a negatve impact on trafc for our sites and ultmately, our business and results of operatons.</w:t>
      </w:r>
    </w:p>
    <w:p>
      <w:pPr>
        <w:spacing w:after="0" w:line="13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rely heavily on internet search engines, such as Google, to generate trafc to our website, through a combinaton of organic and paid searches. Search engines frequently update and change the logic that determines the placement and display of results of a user’s search, such that the purchased or algorithmic placement of links to our website can be negatvely afected. In additon, a search engine could, for compettve or other purposes, alter its search algorithms or results causing our website to be placed lower in organic search query results. If a major search engine changes its algorithms in a manner that negatvely afects the search engine ranking of our website or those of our partners, our business, results of operatons and fnancial conditon would be harmed. Furthermore, our failure to successfully manage our search engine optmizaton could result in a substantal decrease in trafc to our website, as well as increased costs if we were to replace free trafc with paid trafc, which may harm our business, results of operatons and fnancial conditon.</w:t>
      </w:r>
    </w:p>
    <w:p>
      <w:pPr>
        <w:spacing w:after="0" w:line="14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also rely on applicaton marketplaces, such as Apple’s App Store and Google’s Play, to enable downloads of our applicatons. Such marketplaces have in the past made, and may in the future make, changes that make access to our products more difcult or limit the features we are able to ofer. For example, our applicatons may receive unfavorable treatment compared to the promoton and placement of competng applicatons, such as the order in which they appear within marketplaces. Further, iOS and Android apps are an important distributon channel for sales of our tckets. If Apple or Google choose to charge commissions or fees on our revenue from App-based purchases, and we fail to negotate favorable terms, it may harm our business, results of operatons and fnancial conditon. Similarly, if problems arise in our relatonships with providers of applicaton marketplaces, our user growth could be harmed.</w:t>
      </w:r>
    </w:p>
    <w:p>
      <w:pPr>
        <w:spacing w:after="0" w:line="14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face intense competton in the tcketng industry, and we may not be able to maintain or increase our tcket listngs and sales, which could adversely afect our business, fnancial conditon and results of operatons.</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faces signifcant competton from other natonal, regional and local primary and secondary tcketng service providers to secure new and retain existng tcket buyers, sellers, and distributon partners on a contnuous basis. We also face competton in the resale of tckets from other professional tcket resellers. The intense competton that we face in the tcketng industry could cause the volume of our tcketng business to decline, which could adversely afect our business, fnancial conditon and results of operatons.</w:t>
      </w:r>
    </w:p>
    <w:p>
      <w:pPr>
        <w:spacing w:after="0" w:line="15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Other compettve variables that could lead to a decrease in orders, tcket prices, fees and/or proft margins that could adversely afect our fnancial performance include:</w:t>
      </w:r>
    </w:p>
    <w:p>
      <w:pPr>
        <w:spacing w:after="0" w:line="164" w:lineRule="exact"/>
        <w:rPr>
          <w:sz w:val="20"/>
          <w:szCs w:val="20"/>
          <w:color w:val="auto"/>
        </w:rPr>
      </w:pPr>
    </w:p>
    <w:p>
      <w:pPr>
        <w:ind w:left="5540" w:right="5080" w:hanging="5023"/>
        <w:spacing w:after="0" w:line="383" w:lineRule="auto"/>
        <w:tabs>
          <w:tab w:leader="none" w:pos="1031" w:val="left"/>
        </w:tabs>
        <w:numPr>
          <w:ilvl w:val="0"/>
          <w:numId w:val="18"/>
        </w:numPr>
        <w:rPr>
          <w:rFonts w:ascii="Times New Roman" w:cs="Times New Roman" w:eastAsia="Times New Roman" w:hAnsi="Times New Roman"/>
          <w:sz w:val="17"/>
          <w:szCs w:val="17"/>
          <w:color w:val="auto"/>
        </w:rPr>
      </w:pPr>
      <w:r>
        <w:rPr>
          <w:rFonts w:ascii="Calibri" w:cs="Calibri" w:eastAsia="Calibri" w:hAnsi="Calibri"/>
          <w:sz w:val="17"/>
          <w:szCs w:val="17"/>
          <w:color w:val="auto"/>
        </w:rPr>
        <w:t>compettors’ oferings that may include more favorable terms or pricing;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8" w:name="page19"/>
    <w:bookmarkEnd w:id="18"/>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compettors' increase in marketng spending;</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technological changes and innovatons that we are unable to adopt or are late in adoptng that ofer more atractve alternatves;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 entertainment optons or tcket inventory selecton and variety that we do not ofer;</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increased pricing in the primary tcket marketplace, which could result in reduced profts for secondary tcket sellers;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primary tcket marketplaces trying to restrict tcket sales by secondary marketplaces; and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increased search engine marketng costs as compettors increase bid prices.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competton within the gaming and fantasy sports industry is signifcant, and our existng and potental users may elect to use competng daily fantasy sports products.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we do not contnue to maintain and improve our platorm or develop successful new solutons and enhancements, our business will sufer.</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ability to atract and retain tcket buyers, sellers, and distributon partners depends in large part on our ability to provide a user-friendly and efectve platorm, develop and improve our platorm and introduce compelling new solutons and enhancements. Our industry is characterized by rapidly changing technology, service and product introductons and changing demands of tcket buyers, sellers, and distributon partners. We spend substantal tme and resources understanding such partes’ needs and responding to them. Building new solutons is costly and complex, and the tmetable for commercial release is difcult to predict and may vary from our historical experience. In additon, afer development, tcket buyers, sellers, and distributon partners may not be satsfed with our enhancements or perceive that the enhancements do not adequately meet their needs. The success of a new soluton or enhancement to our platorm can depend on several factors, including tmely completon and delivery, compettve pricing, adequate quality testng, integraton with our platorm, user awareness and overall market acceptance and adopton. If we do not contnue to maintain and improve our platorm or develop successful new solutons and enhancements or improve existng ones, our business, results of operatons and fnancial conditon could be harmed.</w:t>
      </w:r>
    </w:p>
    <w:p>
      <w:pPr>
        <w:spacing w:after="0" w:line="15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The reputaton and brand of our marketplace is important to our success, and if we are not able to maintain and enhance our brand, our business, fnancial conditon and results of operaton may be adversely afected.</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Maintaining and enhancing our reputaton and brand as a diferentated tcketng marketplace serving tcket buyers, sellers and distributon partners is critcal in retaining our relatonships with our existng tcket buyers, sellers and distributon partners and to our ability to atract new tcketng buyers, sellers and distributon partners. The successful promoton of our brand atributes will depend on a number of factors that we control and some factors outside of our control.</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promoton of our brand requires us to make substantal expenditures and management investment, which will increase as our market becomes more compettve and as we seek to expand our marketplace. To the extent these actvites yield increased revenue, this revenue may not ofset the increased expenses we incur. If we do not successfully maintain and enhance our brand and successfully diferentate our marketplace from compettve products and services, our business may not grow, we may not be able to compete efectvely and we could lose tcket buyers, sellers or distributon partners or fail to atract potental new tcket buyers, sellers and distributon partners, all of which would adversely afect our business, results of operatons and fnancial conditon.</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are also factors outside of our control, which could undermine our reputaton and harm our brand. Negatve percepton of our marketplace may harm our business, including as a result of complaints or negatve publicity about us; the promoton on our platorm of events that are deemed to be COVID-19 “superspreader” events by the media; our inability to tmely comply with local laws, regulatons and/or consumer protecton related guidance; the use of our platorm to sell fraudulent tckets; responsiveness to issues or complaints and tming of refunds and/or reversal</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9" w:name="page20"/>
    <w:bookmarkEnd w:id="19"/>
    <w:p>
      <w:pPr>
        <w:jc w:val="both"/>
        <w:spacing w:after="0" w:line="235" w:lineRule="auto"/>
        <w:rPr>
          <w:sz w:val="20"/>
          <w:szCs w:val="20"/>
          <w:color w:val="auto"/>
        </w:rPr>
      </w:pPr>
      <w:r>
        <w:rPr>
          <w:rFonts w:ascii="Calibri" w:cs="Calibri" w:eastAsia="Calibri" w:hAnsi="Calibri"/>
          <w:sz w:val="18"/>
          <w:szCs w:val="18"/>
          <w:color w:val="auto"/>
        </w:rPr>
        <w:t>of payments through our platorm; actual or perceived disruptons or defects in our platorm; security incidents; or lack of awareness of our policies or changes to our policies that sellers, buyers or others perceive as overly restrictve, unclear or inconsistent with our values.</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we are unable to maintain a reputable platorm that provides valuable solutons and desirable events, then our ability to atract and retain sellers, buyers and distributon partners could be impaired and our reputaton, brand and business could be harmed.</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be adversely afected by the occurrence of extraordinary events, such as terrorist atacks, disease epidemics or pandemics, severe weather events and natural disasters.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occurrence and threat of extraordinary events, such as terrorist atacks, intentonal or unintentonal mass-casualty incidents, public health concerns such as contagious disease epidemics or pandemics, public safety incidents such as Astroworld, and natural disasters or similar severe weather events, may deter artsts from touring and teams from holding games and/or substantally decrease the use of and demand for our services, which may decrease our revenue or expose us to substantal liability.</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Terrorism and security incidents, military actons and wars, periodic elevated terrorism alerts and fears related to contagious disease epidemics and pandemics have, among other things, resulted in public concerns regarding air travel and regional or natonwide disruptons of commercial and leisure actvites. The occurrence of any such events may deter buyers from atending and purchasing tckets to live concerts, sportng or theater events, which will negatvely impact our business and fnancial performance. Moreover, performers, venues, teams or promoters may as a result decide to cancel concert, sportng and theater events, including due to security concerns or security-related disruptons, social distancing requirements, such as those imposed in response to the COVID-19 pandemic, or severe weather events or natural disasters. Atendance at events may decline or events may be cancelled due to these extraordinary events, which could adversely impact our operatng results. Cancellatons of such events could adversely afect our fnancial performance, as we are obligated to issue refunds or credits for tckets purchased for those events that are not rescheduled.</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enter into agreements to acquire certain businesses and take actons in connecton with such acquisitons that could afect our business and results of operatons; if we are unsuccessful in our future acquisitons, our business could be adversely impacted.</w:t>
      </w:r>
    </w:p>
    <w:p>
      <w:pPr>
        <w:spacing w:after="0" w:line="15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Our strategy involves, and our future growth rate may depend in part on, our selectve acquisiton of additonal businesses. For example, we acquired Fanxchange Limited in 2019 and Betcha Sports, Inc. (“Betcha”) in 2021. However, we may be unable to identfy other suitable targets for acquisiton or make acquisitons at favorable prices. Even if we identfy a suitable acquisiton candidate, our ability to successfully complete the acquisiton depends on a variety of factors and may include our ability to obtain fnancing on acceptable terms and requisite government approvals. In additon, our credit facility restricts our ability to make certain acquisitons. In connecton with future acquisitons, we could take certain actons that could adversely afect our business, including:</w:t>
      </w:r>
    </w:p>
    <w:p>
      <w:pPr>
        <w:spacing w:after="0" w:line="139"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using a signifcant porton of our available cash;</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issuing equity securites, which would dilute current stockholders’ percentage ownership;</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incurring substantal debt;</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incurring or assuming contngent liabilites, known or unknown; and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incurring large accountng write-ofs, impairments or amortzaton expenses.</w:t>
      </w:r>
    </w:p>
    <w:p>
      <w:pPr>
        <w:spacing w:after="0" w:line="150" w:lineRule="exact"/>
        <w:rPr>
          <w:sz w:val="20"/>
          <w:szCs w:val="20"/>
          <w:color w:val="auto"/>
        </w:rPr>
      </w:pPr>
    </w:p>
    <w:p>
      <w:pPr>
        <w:spacing w:after="0"/>
        <w:rPr>
          <w:sz w:val="20"/>
          <w:szCs w:val="20"/>
          <w:color w:val="auto"/>
        </w:rPr>
      </w:pPr>
      <w:r>
        <w:rPr>
          <w:rFonts w:ascii="Calibri" w:cs="Calibri" w:eastAsia="Calibri" w:hAnsi="Calibri"/>
          <w:sz w:val="17"/>
          <w:szCs w:val="17"/>
          <w:color w:val="auto"/>
        </w:rPr>
        <w:t>In additon, acquisitons involve inherent risks which, if realized, could adversely afect our business and results of operatons, including those associated with:</w:t>
      </w:r>
    </w:p>
    <w:p>
      <w:pPr>
        <w:spacing w:after="0" w:line="157" w:lineRule="exact"/>
        <w:rPr>
          <w:sz w:val="20"/>
          <w:szCs w:val="20"/>
          <w:color w:val="auto"/>
        </w:rPr>
      </w:pPr>
    </w:p>
    <w:p>
      <w:pPr>
        <w:ind w:left="5540" w:right="3220" w:hanging="5023"/>
        <w:spacing w:after="0" w:line="348" w:lineRule="auto"/>
        <w:tabs>
          <w:tab w:leader="none" w:pos="1031"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integratng the operatons, fnancial reportng, technologies and personnel of acquired companies;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0" w:name="page21"/>
    <w:bookmarkEnd w:id="20"/>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scaling of operatons, system and infrastructure and achieving synergies to meet the needs of the combined or acquired company;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managing geographically dispersed operatons;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diversion of management’s atenton from other business concerns;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inherent risks in entering markets or lines of business in which we have either limited or no direct experience;</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potental loss of key employees, customers and strategic partners of acquired companies; and</w:t>
      </w:r>
    </w:p>
    <w:p>
      <w:pPr>
        <w:spacing w:after="0" w:line="163"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 of laws and regulatons at the state, federal and internatonal levels when entering new markets or business, which could signifcantly afect our ability to complete acquisitons and expand our business.</w:t>
      </w:r>
    </w:p>
    <w:p>
      <w:pPr>
        <w:spacing w:after="0" w:line="15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For example, we acquired Betcha, a real money daily fantasy sports app with social and gamifcaton features that enhance fans’ connecton with their favorite live sports in December 2021. This acquisiton involves inherent risks, including those associated with integratng a new line of business and adhering to a new regulatory regime. The success of this acquisiton is based, in part, on our ability to overcome these risks.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fnancial performance in certain quarters and years may not be indicatve of, or comparable to, our fnancial performance in subsequent fnancial quarters or years due to seasonality and other operatonal factors.</w:t>
      </w:r>
    </w:p>
    <w:p>
      <w:pPr>
        <w:spacing w:after="0" w:line="150"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Our fnancial results and cash needs will vary greatly from quarter to quarter and year to year depending on, among other things, sports teams’ performances, the tming of tours, tour cancellatons, event tcket sales, weather, seasonal and other fuctuatons in our operatng results, the tming of guaranteed payments, fnancing actvites, compettve dynamics, acquisitons and investments and receivables management. Because our results may vary signifcantly from quarter to quarter and year to year, our fnancial results for one quarter or year cannot necessarily be compared to another quarter or year and may not be indicatve of our future fnancial performance in subsequent quarters or years. Typically, we experience lower fnancial performance in the frst, second, and third quarters of the calendar year due to the tming of large-scale events and concert onsales and we experience increased actvity in the fourth quarter when all major sports leagues are in season and there is an increase in order volume for theater events during the holiday season and concert on-sales for the following year. In additon, the tming of tours of top grossing acts can impact comparability of quarterly results year over year and potentally annual results. Similarly, the number of games in playof series and the teams involved can vary year over year and impact our results. The seasonality of our business could create cash fow management risks if we do not adequately antcipate and plan for periods of decreased actvity, which could negatvely impact our ability to execute on our strategy, which in turn could harm our results of operatons. Due to the unprecedented stoppage of concert, sportng and theater events globally in mid-March of 2020, and the gradual reopening of live events, we did not experience our typical seasonality trends in 2020 or 2021.</w:t>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rely on the experience and expertse of our senior management team, key technical employees and other highly skilled personnel and the failure to retain, motvate or integrate any of these individuals could have an adverse efect on our business, fnancial conditon or results of operatons.</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success depends upon the contnued service of our senior management team and key technical employees, as well as our ability to contnue to atract and retain additonal highly qualifed personnel. Our success depends on our contnuing ability to identfy, hire, develop, motvate, retain and integrate highly skilled personnel for all areas of our organizaton. Each of our executve ofcers, key technical personnel and other employees could terminate his or her relatonship with us at any tme. The loss of any member of our senior management team or key personnel might signifcantly delay or prevent the achievement of our business objectves and could harm our business and our relatonships. Competton in our industry for qualifed employees is intense. In additon, our compensaton arrangements, such as our equity award programs, may not always be successful in atractng new employees and retaining and motvatng our existng employees.</w:t>
      </w:r>
    </w:p>
    <w:p>
      <w:pPr>
        <w:spacing w:after="0" w:line="1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1" w:name="page22"/>
    <w:bookmarkEnd w:id="21"/>
    <w:p>
      <w:pPr>
        <w:jc w:val="both"/>
        <w:spacing w:after="0" w:line="235" w:lineRule="auto"/>
        <w:rPr>
          <w:sz w:val="20"/>
          <w:szCs w:val="20"/>
          <w:color w:val="auto"/>
        </w:rPr>
      </w:pPr>
      <w:r>
        <w:rPr>
          <w:rFonts w:ascii="Calibri" w:cs="Calibri" w:eastAsia="Calibri" w:hAnsi="Calibri"/>
          <w:sz w:val="18"/>
          <w:szCs w:val="18"/>
          <w:color w:val="auto"/>
        </w:rPr>
        <w:t>We face signifcant competton for personnel, partcularly in Chicago, Illinois, Dallas, Texas and Toronto, Ontario. To atract top talent, we have had to ofer, and we will need to contnue to ofer, compettve compensaton and benefts packages. We may also need to increase our employee compensaton levels in response to competton and rising infaton. In 2020, as a result of the COVID-19 pandemic, we reduced our workforce by approximately 50%. In 2021, as the economy recovered from the COVID-19 pandemic, we made extraordinary eforts to atract and secure top talent, which resulted in our workforce reaching approximately 85% of our pre-COVID number. In 2022, we surpassed our pre-COVID headcount by approximately 10%. However, the market for talent contnues to be compettve. If we fail to efectvely manage our hiring needs or successfully integrate new hires, our efciency, ability to meet forecasts and our employee morale, productvity and retenton could sufer, which may harm our business.</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Impairment of our goodwill could negatvely impact our fnancial results and fnancial conditon.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accordance with accountng principles generally accepted in the United States of America, we test goodwill and indefnite-lived intangible assets for impairment annually, or more frequently if events or changes in circumstances indicate that the assets might be impaired. If the carrying amount of our goodwill exceeds its implied fair value, an impairment loss equal to the excess is recorded. During the year ended December 31, 2020, we recognized a total non-cash impairment charge of $573.8 million, including an impairment of goodwill of $377.1 million. As of December 31, 2021, we had goodwill of approximately $718.2 million, which consttuted approximately 51% of our total assets at that date. As of December 31, 2022, we had goodwill of approximately $715.3 million, which consttuted approximately 62% of our total assets at that date. Due to stock market volatlity, economic uncertainty and the contnued impact of the COVID-19 pandemic on our business, we cannot provide assurance that remaining goodwill will not be further impaired in future periods. Impairment may result from, among other things, a signifcant decline in our expected cash fows, an adverse change in the business climate and slower growth rates in our industry. If we are required to record an impairment charge for goodwill in the future, this would adversely impact our fnancial results.</w:t>
      </w:r>
    </w:p>
    <w:p>
      <w:pPr>
        <w:spacing w:after="0" w:line="15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be adversely afected by the efects of infaton.</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Infaton has the potental to adversely afect our liquidity, business, fnancial conditon and results of operatons by increasing our overall cost structure, partcularly if we are unable to achieve commensurate increases in the revenues we earn from our customers. The existence of infaton in the economy has resulted in, and may contnue to result in, higher interest rates and capital costs, increased costs of labor, weakening exchange rates and other similar efects. As a result of infaton, we have experienced and may contnue to experience cost increases. Although we may take measures to mitgate the impact of infaton, these measures may not be efectve and our business, fnancial conditon, results of operatons and liquidity could be materially adversely afected. Even if such measures are efectve, there could be a diference in tming between the impact of infaton and efects of the mitgatng actons we take.</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Relatng to Government Regulaton and Litgaton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The processing, storage, use and disclosure of personal data could give rise to liabilites as a result of governmental regulaton, confictng legal requirements or difering applicatons of privacy regulatons.</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receive, transmit and store a large volume of personal data and other user data. Numerous federal, state and internatonal laws address privacy, data protecton and the collecton, storage, sharing, usage, disclosure and protecton of personal data and other user data. In the United States, numerous states already have, and a number of states are looking to adopt or expand, data protecton legislaton requiring companies like ours to consider solutons to meet difering rights, needs and expectatons of buyers and sellers. For example, California enacted the California Consumer Privacy Act (“CCPA”), which took efect on January 1, 2020. The CCPA established a new privacy framework for covered businesses such as ours and may require us to further modify our data processing practces and policies and incur additonal compliance-related costs and expenses. The CCPA requires companies that process informaton on California residents to disclose to consumers their data collecton, use and sharing practces and grants consumers certain rights, including to opt out of certain data sharing with third partes. The CCPA provides for statutory penaltes, and a private right of acton for data breaches resultng from a failure to implement</w:t>
      </w:r>
    </w:p>
    <w:p>
      <w:pPr>
        <w:spacing w:after="0" w:line="11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2" w:name="page23"/>
    <w:bookmarkEnd w:id="22"/>
    <w:p>
      <w:pPr>
        <w:jc w:val="both"/>
        <w:spacing w:after="0" w:line="235" w:lineRule="auto"/>
        <w:rPr>
          <w:sz w:val="20"/>
          <w:szCs w:val="20"/>
          <w:color w:val="auto"/>
        </w:rPr>
      </w:pPr>
      <w:r>
        <w:rPr>
          <w:rFonts w:ascii="Calibri" w:cs="Calibri" w:eastAsia="Calibri" w:hAnsi="Calibri"/>
          <w:sz w:val="18"/>
          <w:szCs w:val="18"/>
          <w:color w:val="auto"/>
        </w:rPr>
        <w:t>reasonable security procedures and practces. In additon, in November 2020, California voters approved the California Privacy Rights Act (“CPRA”) ballot initatve which introduced signifcant amendments to the CCPA and established and funded a dedicated California privacy regulator, the California Privacy Protecton Agency (“CPPA”). The amendments introduced by the CPRA go into efect on January 1, 2023, and new implementng regulatons are expected to be introduced by the CPPA, which may require further modifcatons to our data processing practces and policies and to incur additonal compliance-related costs and expenses. Further, in March 2021, Virginia enacted the Virginia Consumer Data Protecton Act, and in July 2021, Colorado enacted the Colorado Privacy Act. In additon, Connectcut has passed the Personal Data Privacy and Online Monitoring Act, which is efectve on July 1, 2023 and Utah has passed the Utah Consumer Privacy Act, which is efectve on December 31, 2023. These are all comprehensive privacy statutes that share similarites with the CCPA and CPRA. Similar laws have been proposed in other states and at the federal level, refectng a trend toward more stringent privacy legislaton in the United States, which could increase our potental liability. The enactment of such laws could have potentally confictng requirements that would make compliance challenging and necessitate further modifcaton of our data processing practces and policies. In additon to new regulaton, courts around the country contnue to evolve their interpretaton of applicable data privacy and protecton laws, including the CCPA.</w:t>
      </w:r>
    </w:p>
    <w:p>
      <w:pPr>
        <w:spacing w:after="0" w:line="1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Outside the United States, personal data and other user data is increasingly subject to legislaton and regulatons in numerous jurisdictons in which we operate, the intent of which is to protect the privacy of informaton that is collected, processed and transmited in or from the governing jurisdicton. Foreign data protecton, privacy, informaton security, user protecton and other laws and regulatons are ofen more restrictve and complex than those in the United States. For example, the Canadian Personal Informaton Protecton and Electronic Documents Act (“PIPEDA”) is a comprehensive privacy and security law for organizatons collectng, using, or disclosing informaton about identfed individuals for commercial purposes, and may impose obligatons upon organizatons subject to that law that are greater than what is commonplace in the United States. Certain Canadian provinces have their own data protecton regulatons as well. Similarly, the United Kingdom, the European Union, and countries in the European Economic Area (“EEA”) traditonally have taken broader views as to types of data that are subject to privacy and data protecton laws and regulatons, and have imposed diferent legal obligatons on companies in this regard. For example, the European Union General Data Protecton Regulaton (“GDPR”) became efectve May 25, 2018. The GDPR applies to any company established in the EEA as well as to those outside the EEA if they collect and use personal data in connecton with the ofering of goods or services to individuals in the EEA or the monitoring of their behavior. Although we do not currently trigger the applicaton of the GDPR, if we materially alter our operatons such that we become established in the EU/UK (e.g., by employing individuals in those locatons), begin monitoring individuals in the EU/UK or demonstrate an intenton to ofer goods and services to individuals in the EU/UK, we may be required to comply with data protecton laws in the EEA or the UK, such as the GDPR and the UK GDPR. If we are required to comply with PIPEDA or EEA or UK data privacy laws, this may signifcantly increase our operatonal costs and our overall risk exposure. In additon, the Canadian Parliament has debated a new privacy and security law, proposed to replace PIPEDA, which may impose new or additonal obligatons upon companies subject to it. The proposed new privacy and security bill was introduced on June 18, 2022 and is subject to further debate and amendment. If PIPEDA is replaced with a new privacy and security law in the future, it may require us to further modify our data processing practces and policies and incur additonal compliance-related costs and expenses.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interpretaton and applicaton of many privacy and data protecton laws are, and will likely remain, uncertain, and it is possible that these laws may be interpreted and applied in a manner that is inconsistent with our existng data management practces or product features. If so, in additon to the possibility of fnes, lawsuits and other claims and penaltes, we could be required to fundamentally change our business actvites and practces or modify our products, which could harm our business. In additon to government regulaton, privacy advocacy and industry groups may propose new and diferent self-regulatory standards that legally or contractually apply to us. Any inability to adequately address privacy, data protecton and data security concerns or comply with applicable privacy, data protecton or data security laws, regulatons, policies and other obligatons could result in additonal cost and liability to us, damage our reputaton, inhibit sales and harm our business.</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failure, and/or the failure by our various service providers and partners, to comply with applicable privacy policies or federal, state or similar internatonal laws and regulatons or any other obligatons relatng to privacy, data protecton or informaton security, or any compromise of security that results in the unauthorized access,</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3" w:name="page24"/>
    <w:bookmarkEnd w:id="23"/>
    <w:p>
      <w:pPr>
        <w:jc w:val="both"/>
        <w:spacing w:after="0" w:line="235" w:lineRule="auto"/>
        <w:rPr>
          <w:sz w:val="20"/>
          <w:szCs w:val="20"/>
          <w:color w:val="auto"/>
        </w:rPr>
      </w:pPr>
      <w:r>
        <w:rPr>
          <w:rFonts w:ascii="Calibri" w:cs="Calibri" w:eastAsia="Calibri" w:hAnsi="Calibri"/>
          <w:sz w:val="18"/>
          <w:szCs w:val="18"/>
          <w:color w:val="auto"/>
        </w:rPr>
        <w:t>acquisiton, or release of personal data or other user data, or the percepton that any such failure or compromise has occurred, could negatvely harm our brand and reputaton, result in a loss of sellers, buyers or distributon partners, discourage potental sellers or buyers from trying our platorm and/or result in fnes and/or proceedings by governmental agencies and/or users, any of which could have a material adverse efect on our business, practces, results of operatons and fnancial conditon.</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U.S. and internatonal law may in certain circumstances require businesses to notfy afected individuals, governmental enttes, and/or credit reportng agencies of certain security incidents afectng personal informaton. Such laws are inconsistent, and compliance in the event of a widespread security incident is complex and costly and may be difcult to implement. Our existng general liability and cyber liability insurance policies may not cover, or may cover only a porton of, any response costs, remediaton, and potental claims related to security breaches to which we are exposed or may not be adequate to indemnify us for all or any porton of liabilites that may be imposed. We also cannot be certain that our existng insurance coverage will contnue to be available on acceptable terms or in amounts sufcient to cover the potentally signifcant losses that may result from a security incident or breach or that the insurer will not deny coverage of any future claim.</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Unfavorable outcomes in legal proceedings in which we may be involved may adversely afect our business and operatng results.</w:t>
      </w:r>
    </w:p>
    <w:p>
      <w:pPr>
        <w:spacing w:after="0" w:line="150"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We may be called on to defend ourselves against lawsuits relatng to our business operatons. Some of these claims may seek signifcant damage amounts due to the nature of our business. Due to the inherent uncertaintes of litgaton, we cannot accurately predict the ultmate outcome of any such proceedings.</w:t>
      </w:r>
    </w:p>
    <w:p>
      <w:pPr>
        <w:spacing w:after="0" w:line="1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results may be afected by the outcome of future litgaton. Unfavorable rulings in our legal proceedings may have a negatve impact on us that may be greater or smaller depending on the nature of the rulings. In additon, we are currently, and from tme to tme in the future may be, subject to various other claims, investgatons, legal and administratve cases and proceedings (whether civil or criminal) or lawsuits by governmental agencies or private partes. If the results of these investgatons, proceedings or suits are unfavorable to us or if we are unable to successfully defend against third-party lawsuits, we may be required to pay monetary damages or may be subject to fnes, penaltes, injunctons or other censure that could have a material adverse efect on our business, fnancial conditon and results of operatons. Even if we adequately address the issues raised by an investgaton or proceeding or successfully defend a third-party lawsuit or counterclaim, we may have to devote signifcant fnancial and management resources to address these issues, which could harm our business, fnancial conditon and results of operatons.</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Unfavorable legislatve outcomes may adversely afect our industry, our business and our operatng results.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Approximately 40 states regulate the secondary tcket market, such as by requiring certain disclosures, refunding practces or other consumer afairs obligatons. It is possible that further regulaton or unfavorable legislatve outcomes imposing additonal restrictons on tcket resales, such as maximum resale price caps and bans on transferability, may adversely afect our industry, our business and our operatng results.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Various jurisdictons have enacted, and others may enact, rules and regulatons, including tax and license requirements for daily fantasy sports operators that may make the entry process cumbersome, expensive, and lengthy. Our growth potental depends on the legal status of real-money daily fantasy sports in various jurisdictons and our ability to obtain licenses to operate in jurisdictons where licenses are required. We currently ofer our fantasy sports contests in the District of Columbia and 24 states that either do not require a license or where we have obtained the required license. Any change in existng daily fantasy sports rules and regulatons or their interpretaton related to our daily fantasy sports product, or the regulatory climate applicable to daily fantasy sports, could adversely impact our ability to operate our business as currently conducted or as we seek to operate in the future.</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business may be subject to sales tax and other indirect taxes in various jurisdictons.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applicaton of indirect taxes, such as sales and use, amusement, value-added, goods and services, business and gross receipts, to businesses like ours, and to tcket buyers and sellers in our marketplace, is a complex and evolving</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4" w:name="page25"/>
    <w:bookmarkEnd w:id="24"/>
    <w:p>
      <w:pPr>
        <w:jc w:val="both"/>
        <w:spacing w:after="0" w:line="235" w:lineRule="auto"/>
        <w:rPr>
          <w:sz w:val="20"/>
          <w:szCs w:val="20"/>
          <w:color w:val="auto"/>
        </w:rPr>
      </w:pPr>
      <w:r>
        <w:rPr>
          <w:rFonts w:ascii="Calibri" w:cs="Calibri" w:eastAsia="Calibri" w:hAnsi="Calibri"/>
          <w:sz w:val="18"/>
          <w:szCs w:val="18"/>
          <w:color w:val="auto"/>
        </w:rPr>
        <w:t>issue. Signifcant judgment is required to evaluate applicable tax obligatons and as a result, amounts recorded are subject to adjustment. In many cases, the ultmate tax determinaton is uncertain because it is unclear how new and existng statutes might apply to our business. One or more states, localites, the federal government or other countries may seek to impose additonal reportng, record-keeping or indirect tax collecton obligatons on businesses like ours that facilitate online marketplaces. Impositon of an informaton reportng or tax collecton requirement could decrease seller actvity on our platorm, which would harm our business. New legislaton could require us, or sellers on our marketplace, to incur substantal costs in order to comply, including costs associated with tax calculaton, collecton and remitance and audit requirements, which could adversely afect our business and results of operatons.</w:t>
      </w: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It is possible that we could face sales and use tax and value-added tax audits in the future and that state or internatonal tax authorites could assert that we are obligated to collect additonal amounts as taxes on behalf of sellers and remit those taxes to those authorites. We could also be subject to audits and assessments with respect to states and internatonal jurisdictons for which we have not accrued tax liabilites. A successful asserton that we should be collectng additonal sales or other taxes in jurisdictons where we have not historically done so, and do not accrue for sales or other taxes, could result in substantal tax liabilites for past sales and otherwise harm our business and results of operatons.</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business is dependent on the ability for sellers to sell tckets on the secondary market unencumbered.</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is dependent upon sellers having the ability to list tckets for sale on the secondary tcket market for events put on by artsts, teams and promoters. Any actons taken by federal, state or local governments, rights holders or companies that issue tckets (i.e., the primary tcketng companies), such as enactng restrictons regarding resale policies, using technology to limit where and how tckets are sold on the secondary market, charging incremental fees for the ability to sell tckets on the secondary market or partnering with other resale marketplaces on an exclusive basis, could result in reduced demand for our services, which would adversely afect our business, fnancial conditon and results of operatons.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Relatng to Informaton Technology, Cybersecurity and Intellectual Property</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The success of our operatons depends, in part, on the integrity of our systems and infrastructure, as well as afliate and third-party computer systems, computer networks and other communicaton systems. System interrupton and the lack of integraton and redundancy in these systems and infrastructure may have an adverse impact on our business, fnancial conditon and results of operatons.</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System interrupton and the lack of integraton and redundancy in the informaton systems and infrastructure, both of our own tcketng systems and other computer systems and of afliate and third-party sofware, computer networks and other communicatons systems service providers on which we rely, may adversely afect our ability to operate websites, process and fulfll transactons, respond to customer inquiries and generally maintain cost-efcient operatons. Similarly, due to our reliance on a network of technology systems, many of which are outside of our control, changes to interfaces upon which we rely or a reluctance of our counterpartes to contnue supportng our systems could lead to technology interruptons. Such interruptons could occur by virtue of natural disaster, malicious actons such as cyber atacks or intrusions, or acts of terrorism or war, or human error. In additon, the loss of some or all of certain key personnel could require us to expend additonal resources to contnue to maintain our sofware and systems and could subject us to systems interruptons. The large infrastructure footprint that is required to operate our systems requires an ongoing investment of tme, money and efort to maintain or refresh hardware and sofware and to ensure it remains at a level capable of servicing the demand and volume of business that we receive. Failure to do so may result in system instability, degradaton in performance, or unfxable security vulnerabilites that could adversely impact both the business and the consumers utlizing our services.</w:t>
      </w:r>
    </w:p>
    <w:p>
      <w:pPr>
        <w:spacing w:after="0" w:line="1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we have backup systems for certain aspects of our operatons, disaster recovery planning by its nature may not be sufcient for all eventualites. In additon, we may not have adequate insurance coverage to compensate for losses from an extended interrupton. If any of these adverse events were to occur, it could adversely afect our business, fnancial conditon and results of operatons.</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5" w:name="page26"/>
    <w:bookmarkEnd w:id="25"/>
    <w:p>
      <w:pPr>
        <w:jc w:val="both"/>
        <w:spacing w:after="0" w:line="235" w:lineRule="auto"/>
        <w:rPr>
          <w:sz w:val="20"/>
          <w:szCs w:val="20"/>
          <w:color w:val="auto"/>
        </w:rPr>
      </w:pPr>
      <w:r>
        <w:rPr>
          <w:rFonts w:ascii="Calibri" w:cs="Calibri" w:eastAsia="Calibri" w:hAnsi="Calibri"/>
          <w:sz w:val="18"/>
          <w:szCs w:val="18"/>
          <w:b w:val="1"/>
          <w:bCs w:val="1"/>
          <w:i w:val="1"/>
          <w:iCs w:val="1"/>
          <w:color w:val="auto"/>
        </w:rPr>
        <w:t>Cyber security risks, data loss or other breaches of our network security could materially harm our business and results of operatons, and the processing, storage, use and disclosure of personal or sensitve informaton could give rise to liabilites and additonal costs as a result of governmental regulaton, litgaton and confictng legal requirements, including obligatons relatng to personal privacy rights.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the nature of our business, we process, store, use, transfer and disclose certain personal or sensitve informaton about our customers and employees. Penetraton of our network or other misappropriaton or misuse of personal or sensitve informaton and data, including credit card informaton and other personally identfable informaton, could cause interruptons in our operatons and subject us to increased costs, litgaton, inquiries and actons from governmental authorites, and fnancial or other liabilites. In additon, security breaches, incidents or the inability to protect informaton could lead to increased incidents of tcketng fraud and counterfeit tckets. Security breaches and incidents could also signifcantly damage our reputaton with sellers, buyers, distributon partners and other third partes, and could result in signifcant costs related to remediaton eforts, such as credit or identty thef monitoring. Such incidents may occur in the future, resultng in unauthorized, unlawful, or inappropriate access to, inability to access, disclosure of, or loss of the sensitve, proprietary and confdental informaton that we handle.</w:t>
      </w:r>
    </w:p>
    <w:p>
      <w:pPr>
        <w:spacing w:after="0" w:line="155"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Although we have developed systems and processes that are designed to protect customer and employee informaton and to prevent security breaches or incidents (which could result in data loss or other harm or loss), such measures cannot provide absolute security or certainty. It is possible that advances in computer and threat actor capabilites, new variants of malware, the development of new penetraton methods and tools, inadvertent violatons of company policies or procedures or other developments could result in a compromise of customer or employee informaton or a breach of the technology and security processes that are used to protect customer and employee informaton. The techniques used to obtain unauthorized access, disable or degrade service, or sabotage systems may change frequently and as a result, may be difcult for our business to detect for long periods of tme. We have expended signifcant capital and other resources to protect against and remedy such potental security breaches, incidents and their consequences and will contnue to do so in the future. However, despite our eforts, we may be unaware of or unable to antcipate these techniques or implement adequate preventatve measures.</w:t>
      </w: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face risks associated with security breaches and incidents afectng third partes with which we are afliated or with which we otherwise conduct business. In partcular, hardware, sofware or applicatons we develop or procure from third partes may contain defects in design or manufacture and/or may pose a security risk that could unexpectedly compromise informaton security. Sellers, buyers and distributon partners are generally concerned with the security and privacy of the Internet, and any publicized security problems afectng our businesses and/or third partes may discourage sellers, buyers or distributon partners from doing business with us, which could have an adverse efect on our business, fnancial conditon and results of operatons.</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Canadian law and laws in all states and U.S. territories require businesses to notfy afected individuals, governmental enttes, and/or credit reportng agencies of certain security incidents afectng personal informaton. Such laws are inconsistent, and compliance in the event of a widespread security incident is complex and costly and may be difcult to implement. Our existng general liability and cyber liability insurance policies may not cover, or may cover only a porton of, any potental claims related to security breaches to which we are exposed or may not be adequate to indemnify us for all or any porton of liabilites that may be imposed. We also cannot be certain that our existng insurance coverage will contnue to be available on acceptable terms or in amounts sufcient to cover the potentally signifcant losses that may result from a security incident or breach or that the insurer will not deny coverage of any future claim.</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If we fail to adequately protect or enforce our intellectual property rights, our compettve positon and our business could be materially adversely afected.</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proprietary technologies and informaton, including our sofware, informatonal databases, and other components that make our products and services are critcal to our success, and we seek to protect our technologies, products and services through a combinaton of intellectual property rights, including trademarks, domain names, copyrights and trade secrets, as well as through contractual restrictons with employees, customers, suppliers, afliates and others. Despite our eforts, it may be possible for a third-party to copy or otherwise obtain and use our</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6" w:name="page27"/>
    <w:bookmarkEnd w:id="26"/>
    <w:p>
      <w:pPr>
        <w:jc w:val="both"/>
        <w:spacing w:after="0" w:line="235" w:lineRule="auto"/>
        <w:rPr>
          <w:sz w:val="20"/>
          <w:szCs w:val="20"/>
          <w:color w:val="auto"/>
        </w:rPr>
      </w:pPr>
      <w:r>
        <w:rPr>
          <w:rFonts w:ascii="Calibri" w:cs="Calibri" w:eastAsia="Calibri" w:hAnsi="Calibri"/>
          <w:sz w:val="18"/>
          <w:szCs w:val="18"/>
          <w:color w:val="auto"/>
        </w:rPr>
        <w:t>intellectual property without authorizaton which, if discovered, might require legal acton to correct. In additon, third partes may independently and lawfully develop products or services substantally similar to ours. While we do not currently hold patents over our technology, we do have ten pending patent applicatons in the United States, Canada and the United Kingdom and we may fle additonal patent applicatons in the future. We seek to protect our trade secrets and proprietary know-how and technology methods through confdentality agreements and other access control measures. Failure of such strategies to protect our technology or our inability to protect patents in the future to the extent we obtain them could have a materially adverse impact on our business, fnancial conditon and results of operatons.</w:t>
      </w: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been granted trademark registratons with the United States Patent and Trademark Ofce and/or various foreign authorites for certain of our brands. Our existng or future trademarks may be adjudicated invalid by a court or may not aford us adequate protecton against compettors.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cannot be certain that the measures we implement will prevent infringement, misappropriaton, diluton or other violatons of our intellectual property rights, partcularly in foreign countries where the laws may not protect our proprietary rights as fully as they do in the United States. Our failure to protect our intellectual property rights in a meaningful manner or challenges to our related contractual rights could result in erosion of our brand names or other intellectual property and could adversely afect our business, fnancial conditon and results of operatons. Litgaton may be necessary in the future to enforce our intellectual property rights, protect our trade secrets or determine the validity and scope of proprietary rights claimed by others. Any litgaton of this nature, regardless of outcome or merit, could result in substantal costs and diversion of management and technical resources, any of which could adversely afect our business, fnancial conditon and results of operatons.</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face potental liability and expense for legal claims alleging that the operaton of our business infringes intellectual property rights of third partes, who may assert claims against us for unauthorized use of such rights.</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cannot be certain that the operaton of our business does not, or will not, infringe or otherwise violate the intellectual property rights of third partes. From tme to tme, we have been and may in the future be, subject to legal proceedings and claims alleging that we infringe or otherwise violate the intellectual property rights of third partes. These claims, whether or not successful, could divert management's tme and atenton away from our business and harm our reputaton and fnancial conditon. In additon, the outcome of litgaton is uncertain, and third partes assertng claims could secure a judgment awarding substantal damages, as well as injunctve or other equitable relief against us, which could require us to rebrand, redesign, or reengineer our platorm, products or services, and/or efectvely block our ability to distribute, market or sell our products and services.</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payments system depends on third-party providers and is subject to risks that may harm our business.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rely on third-party providers to support our payment methods, as our tcket buyers primarily use credit or debit cards to purchase tckets on our marketplace. Nearly all our revenue is associated with payments processed through a single provider, which relies on banks and payment card networks to process transactons. If this provider or any of its vendors do not operate well with our platorm or sufer any failures, our payments systems and our business could be adversely afected. If this provider does not perform adequately or determines certain types of transactons are prohibited, if this provider’s technology does not interoperate well with our platorm, or if our relatonships with this provider, the bank or the payment card networks on which it relies were to terminate or be suspended unexpectedly, tcket buyers may fnd our platorm more difcult to use. Such an outcome could harm the ability of sellers to use our platorm, which could cause them to use our platorm less.</w:t>
      </w:r>
    </w:p>
    <w:p>
      <w:pPr>
        <w:spacing w:after="0" w:line="1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payment processing partner requires us to comply with payment card network operatng rules, which are set and interpreted by the payment card networks. The payment card networks could adopt new operatng rules or interpret or re-interpret existng rules in ways that might prohibit us from providing certain services to some tcket buyers or sellers, be costly to implement or difcult to follow. We are required to reimburse our payment processor for fnes assessed by payment card networks if we, or tcket buyers or sellers using our platorm, violate these rules, such as our processing of various types of transactons that may be interpreted as a violaton of certain payment card network operatng rules. Changes to these rules and requirements, or any change in our designaton by</w:t>
      </w:r>
    </w:p>
    <w:p>
      <w:pPr>
        <w:spacing w:after="0" w:line="10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7" w:name="page28"/>
    <w:bookmarkEnd w:id="27"/>
    <w:p>
      <w:pPr>
        <w:jc w:val="both"/>
        <w:spacing w:after="0" w:line="235" w:lineRule="auto"/>
        <w:rPr>
          <w:sz w:val="20"/>
          <w:szCs w:val="20"/>
          <w:color w:val="auto"/>
        </w:rPr>
      </w:pPr>
      <w:r>
        <w:rPr>
          <w:rFonts w:ascii="Calibri" w:cs="Calibri" w:eastAsia="Calibri" w:hAnsi="Calibri"/>
          <w:sz w:val="18"/>
          <w:szCs w:val="18"/>
          <w:color w:val="auto"/>
        </w:rPr>
        <w:t>payment card networks, could require a change in our business operatons and could result in limitatons on or loss of our ability to accept payment cards, any of which could negatvely impact our business.</w:t>
      </w:r>
    </w:p>
    <w:p>
      <w:pPr>
        <w:spacing w:after="0" w:line="137"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We are also subject to the Payment Card Industry (“PCI”) Data Security Standard, which is a standard designed to protect credit card account data as mandated by payment card industry enttes. We rely on vendors to handle PCI maters and to ensure PCI compliance. Despite our compliance eforts, we may become subject to claims that we have violated the PCI Data Security Standard based on past, present, and future business practces. Our actual or perceived failure to comply with the PCI Data Security Standard can subject us to fnes, terminaton of banking relatonships, and increased transacton fees.</w:t>
      </w:r>
    </w:p>
    <w:p>
      <w:pPr>
        <w:spacing w:after="0" w:line="1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current credit, debit and payment card practces and network rules, we are liable for fraudulent actvity on the majority of our credit and debit card transactons. We are also exposed to fnancial crime risk, and do not currently carry insurance against this risk. Additonally, while we deploy sophistcated technology to detect fraudulent purchase actvity, we may incur losses if we fail to prevent the use of fraudulent payment informaton on transactons in the future. Fraud schemes are becoming increasingly sophistcated and common, and our ability to detect and combat fraudulent schemes may be negatvely impacted by the adopton of new payment methods and new technology platorms. If we or this provider fail to identfy fraudulent actvity or are unable to efectvely combat the use of fraudulent payments on our platorm or if we otherwise experience increased levels of disputed credit card payments or transactons, our results of operatons and fnancial positons could be materially adversely afected. In additon, our failure to adequately mitgate this risk could damage our reputaton and brand and substantally harm our business, results of operatons, fnancial conditon, prospects and our ability to accept payments.</w:t>
      </w:r>
    </w:p>
    <w:p>
      <w:pPr>
        <w:spacing w:after="0" w:line="15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Payment card networks and our payment processing partner could increase the fees or interchange they charge us for their services or to accept or process transactons, which would increase our operatng costs and reduce our margins. Any such increase in fees could harm our business, results of operatons and fnancial conditon.</w:t>
      </w:r>
    </w:p>
    <w:p>
      <w:pPr>
        <w:spacing w:after="0" w:line="138"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Finally, applicable laws and regulatons that govern payment methods and processing are complex and subject to change; and we may be required to expend considerable tme and efort to determine if such laws and regulatons apply to our business. There can be no assurance that we will be able to meet all compliance obligatons, including obtaining any required licenses in the jurisdictons we service, and, even if we were able to do so, there could be substantal costs and potental product changes involved in complying with such laws, which could have a material and adverse efect on our business. Any noncompliance by us in relaton to existng or new laws and regulatons, or any alleged noncompliance, could result in reputatonal damage, litgaton, increased costs or liabilites, damages, or require us to stop ofering payment services in certain markets. Failure to predict how a law or regulaton from any jurisdicton in which we operate with respect to money transmission, prepaid access or similar requirements will be applied to us could result in licensure or registraton requirements, administratve enforcement actons, and/or could materially interfere with our ability to ofer certain payment methods or to conduct our business in partcular jurisdictons. We cannot predict what actons the United States or other governments may take, or what restrictons these governments may impose, that will afect our ability to process payments or to conduct our business in partcular jurisdictons. Further, we may become subject to changing payment regulatons and requirements that could potentally afect the compliance of our current payment processes and increase the operatonal costs we incur to support payments. The factors identfed here could impose substantal additonal costs, involve considerable delay to the development or provision of our solutons, require signifcant and costly operatonal changes, or prevent us from providing our solutons in any given market.</w:t>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Relatng to Our Indebtedness</w:t>
      </w:r>
    </w:p>
    <w:p>
      <w:pPr>
        <w:spacing w:after="0" w:line="150" w:lineRule="exact"/>
        <w:rPr>
          <w:sz w:val="20"/>
          <w:szCs w:val="20"/>
          <w:color w:val="auto"/>
        </w:rPr>
      </w:pPr>
    </w:p>
    <w:p>
      <w:pPr>
        <w:jc w:val="both"/>
        <w:spacing w:after="0" w:line="255" w:lineRule="auto"/>
        <w:rPr>
          <w:sz w:val="20"/>
          <w:szCs w:val="20"/>
          <w:color w:val="auto"/>
        </w:rPr>
      </w:pPr>
      <w:r>
        <w:rPr>
          <w:rFonts w:ascii="Calibri" w:cs="Calibri" w:eastAsia="Calibri" w:hAnsi="Calibri"/>
          <w:sz w:val="18"/>
          <w:szCs w:val="18"/>
          <w:b w:val="1"/>
          <w:bCs w:val="1"/>
          <w:i w:val="1"/>
          <w:iCs w:val="1"/>
          <w:color w:val="auto"/>
        </w:rPr>
        <w:t>We are a party to debt agreements that could restrict our operatons and impair our fnancial conditon. The agreements governing our indebtedness will impose restrictons on us that limit the discreton of management in operatng our business and that, in turn, could impair our ability to meet our obligatons under our debt.</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color w:val="auto"/>
        </w:rPr>
        <w:t>The agreement governing our credit facility include restrictve covenants that, among other things, restrict our ability to:</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8" w:name="page29"/>
    <w:bookmarkEnd w:id="28"/>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incur additonal debt;</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pay dividends and make distributons;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make certain investments;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prepay certain indebtedness;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create liens;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enter into transactons with afliates;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modify the nature of our business;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transfer and sell assets, including material intellectual property;</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amend our organizatonal documents; and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merge or consolidate.</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failure to comply with the terms and covenants of our indebtedness could lead to a default under the terms of the governing documents, which would enttle the lender to accelerate the indebtedness and declare all amounts owed due and payable.</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As of December 31, 2022, our total indebtedness, excluding unamortzed debt discounts and debt issuance costs, was $272.9 million.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substantal porton of our debt is variable-rate debt. We incur higher interest costs if interest rates increase. Interest rates were at historic lows during 2020 and 2021 when the United States Federal Reserve took several steps to protect the economy from the impact of the COVID-19 pandemic. The United States Federal Reserve raised interest rates by more than 400 basis points in 2022, 25 basis points already in 2023, and may contnue to increase interest rates further during the remainder of 2023. Any such increase in interest costs could have a material adverse impact on the levels of cash we maintain for working capital.</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color w:val="auto"/>
        </w:rPr>
        <w:t>Our current level of indebtedness and any future increases in our debt indebtedness could have adverse consequences, including:</w:t>
      </w:r>
    </w:p>
    <w:p>
      <w:pPr>
        <w:spacing w:after="0" w:line="15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making it more difcult for us to satsfy our obligatons;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increasing our vulnerability to adverse economic, regulatory and industry conditons;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limitng our ability to obtain additonal fnancing for future working capital, capital expenditures, acquisitons and other purposes;</w:t>
      </w:r>
    </w:p>
    <w:p>
      <w:pPr>
        <w:spacing w:after="0" w:line="163"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requiring us to dedicate a substantal porton of our cash fow from operatons to fund payments on our debt, thereby reducing funds available for operatons and other purposes;</w:t>
      </w:r>
    </w:p>
    <w:p>
      <w:pPr>
        <w:spacing w:after="0" w:line="14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limitng our fexibility in planning for, or reactng to, changes in our business and the industry in which we operate;</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making us more vulnerable to increases in interest rates; and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placing us at a compettve disadvantage compared to our compettors that have less debt.</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depend on the cash fows of our subsidiaries in order to satsfy our obligatons.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rely on distributons and/or loans from our subsidiaries to meet our payment requirements under our obligatons. If our subsidiaries are unable to pay dividends or otherwise make payments to us, we may not be able to make debt service payments on our obligatons. Subject to certain exceptons, each of our subsidiaries guarantees</w:t>
      </w:r>
    </w:p>
    <w:p>
      <w:pPr>
        <w:spacing w:after="0" w:line="1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9" w:name="page30"/>
    <w:bookmarkEnd w:id="29"/>
    <w:p>
      <w:pPr>
        <w:jc w:val="both"/>
        <w:spacing w:after="0" w:line="235" w:lineRule="auto"/>
        <w:rPr>
          <w:sz w:val="20"/>
          <w:szCs w:val="20"/>
          <w:color w:val="auto"/>
        </w:rPr>
      </w:pPr>
      <w:r>
        <w:rPr>
          <w:rFonts w:ascii="Calibri" w:cs="Calibri" w:eastAsia="Calibri" w:hAnsi="Calibri"/>
          <w:sz w:val="18"/>
          <w:szCs w:val="18"/>
          <w:color w:val="auto"/>
        </w:rPr>
        <w:t>our indebtedness under our credit facility. We conduct substantally all of our operatons through our subsidiaries. Our operatng cash fows and consequently our ability to service our debt is therefore principally dependent upon our subsidiaries’ earnings and their distributons of those earnings to us and may also be dependent upon loans or other payments of funds to us by those subsidiaries. In additon, the ability of our subsidiaries to provide funds to us may be subject to restrictons under our credit facility and may be subject to the terms of such subsidiaries’ future indebtedness, as well as the availability of sufcient surplus funds under applicable law.</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face liquidity constraints if we are unable to generate sufcient cash fows and we may be unable to raise additonal capital when necessary or desirable.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we had cash and cash equivalents of $251.5 million, which is available to us to fund our operatng, investng and fnancing actvites. We cannot assure you that our business will generate sufcient cash fow from operatons, or that we will be able to obtain fnancing, in an amount sufcient to fund our operatons or other liquidity needs.</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future, we may need to raise additonal funds, and we may not be able to obtain additonal debt or equity fnancing on favorable terms, if at all. Our ability to obtain fnancing will depend on a number of factors, including:</w:t>
      </w:r>
    </w:p>
    <w:p>
      <w:pPr>
        <w:spacing w:after="0" w:line="145"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general economic and capital market conditons, including as a result of the COVID-19 pandemic and rising infaton;</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availability of credit from banks or other lenders;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investor confdence in us;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results of operatons.</w:t>
      </w:r>
    </w:p>
    <w:p>
      <w:pPr>
        <w:spacing w:after="0" w:line="15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If we raise additonal equity fnancing, our security holders may experience signifcant diluton of their ownership interests, and any new equity securites we issue could have rights, preferences and privileges superior to those of holders of our common stock.</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If we need additonal capital and cannot raise it on acceptable terms, if at all, we may not be able to, among other things:</w:t>
      </w:r>
    </w:p>
    <w:p>
      <w:pPr>
        <w:spacing w:after="0" w:line="145"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further develop and enhance our platorm and solutons;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to invest in our technology and marketng eforts;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hire, train and retain employees;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respond to compettve pressures or unantcipated working capital requirements; or</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pursue acquisiton opportunites.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Our inability to do any of the foregoing could reduce our ability to compete successfully and could have an adverse efect on our business.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Organizatonal Structure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GTCR Fund XI/B LP, GTCR Fund XI/C LP, GTCR, Co-Invest XI LP, GTCR Golder Rauner, L.L.C., GTCR Golder Rauner II, L.L.C., GTCR Management, XI LLC and GTCR LLC (collectvely, “Private Equity Owner”) control us, and its interests may confict with ours or yours in the future.</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Hoya Topco, LLC (“Hoya Topco”), which is controlled by our Private Equity Owner and its afliates, controls approximately 60% of the votng power of our outstanding common stock, which means that, based on its percentage of votng power controlled, our Private Equity Owner controls the vote of all maters submited to a vote of our shareholders. Thus, our Private Equity Owner controls the electon of the members of our Board of Directors subject to the terms of the Stockholders’ Agreement dated October 18, 2021 we entered into with Hoya Topco</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0" w:name="page31"/>
    <w:bookmarkEnd w:id="30"/>
    <w:p>
      <w:pPr>
        <w:jc w:val="both"/>
        <w:spacing w:after="0" w:line="235" w:lineRule="auto"/>
        <w:rPr>
          <w:sz w:val="20"/>
          <w:szCs w:val="20"/>
          <w:color w:val="auto"/>
        </w:rPr>
      </w:pPr>
      <w:r>
        <w:rPr>
          <w:rFonts w:ascii="Calibri" w:cs="Calibri" w:eastAsia="Calibri" w:hAnsi="Calibri"/>
          <w:sz w:val="18"/>
          <w:szCs w:val="18"/>
          <w:color w:val="auto"/>
        </w:rPr>
        <w:t>(“Stockholders’ Agreement”) and all other corporate decisions. Even when our Private Equity Owner ceases to control a majority of the total votng power, for so long as our Private Equity Owner contnues to own a signifcant percentage of our common stock, our Private Equity Owner will stll be able to signifcantly infuence the compositon of our Board of Directors and the approval of actons requiring shareholder approval. Accordingly, for such period of tme, our Private Equity Owner has signifcant infuence with respect to our management, business plans and policies, including the appointment and removal of our ofcers, decisions on whether to raise future capital and amending our charter and bylaws, which govern the rights atached to our common stock. In partcular, for so long as our Private Equity Owner contnues to own a signifcant percentage of our common stock, our Private Equity Owner will be able to cause or prevent a change of control or a change in the compositon of our Board of Directors and could preclude any unsolicited acquisiton of us. The concentraton of ownership could deprive you of an opportunity to receive a premium for your shares of our Class A common stock as part of a potental sale and ultmately might afect the market price of our Class A common stock.</w:t>
      </w:r>
    </w:p>
    <w:p>
      <w:pPr>
        <w:spacing w:after="0" w:line="14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Stockholders’ Agreement provides our Private Equity Owner the right to nominate to our Board of Directors (i) fve (5) directors, so long as our Private Equity Owner, in the aggregate, benefcially owns at least 24% of the aggregate number of shares of our common stock, of which at least one (1) will qualify as an “independent director” under applicable stock exchange regulatons, (ii) four (4) directors, so long as our Private Equity Owner, in the aggregate, benefcially owns at least 18% but less than 24% of our common stock, (iii) three (3) directors, so long as our Private Equity Owner, in the aggregate, benefcially owns at least 12% but less than 18% of our common stock, (iv) two (2) directors, so long as our Private Equity Owner, in the aggregate, benefcially owns at least 6% but less than 12% of our common stock and (v) untl the date our Private Equity Owner, in the aggregate, benefcially owns a number of votng shares representng less than fve percent (5%) of the aggregate number of shares of our common stock held, directly or indirectly, by our Private Equity Owner, one (1) director. Pursuant to the foregoing provisions of the Stockholders' Agreement, our Private Equity Owner will be able to designate the majority of the members of our Board of Directors and generally have control over our business and afairs. Our Private Equity Owner and its afliates engage in a broad spectrum of actvites, including investments in our industry generally. In the ordinary course of their business actvites, our Private Equity Owner and its afliates may engage in actvites where their interests confict with our interests or those of our other shareholders, such as investng in or advising businesses that directly or indirectly compete with certain portons of our business or are suppliers or customers of ours. Our amended and restated charter provides that our Private Equity Owner, any of its afliates or any director who is not employed by us (including any non-employee director who serves as one of our ofcers in both his or her director and ofcer capacites) will not have any duty to refrain from engaging, directly or indirectly, in the same business actvites or similar business actvites or lines of business in which we operate. Our Private Equity Owner also may pursue acquisiton opportunites that may be complementary to our business, and, as a result, those acquisiton opportunites may not be available to us. In additon, our Private Equity Owner may have an interest in pursuing acquisitons, divesttures and other transactons that, in its judgment, could enhance its investment, even though such transactons might involve risks to you or may not prove benefcial.</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are a “controlled company” within the meaning of Nasdaq listng standards and, as a result, will qualify for, and intend to rely on, exemptons from certain corporate governance requirements. You will not have the same protectons aforded to shareholders of companies that are subject to such requirements.</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qualify as a “controlled company” within the meaning of the corporate governance standards of Nasdaq. Under these rules, a listed company of which more than 50% of the votng power is held by an individual, group or another company is a “controlled company” and may elect not to comply with certain corporate governance requirements, including the requirements that (i) a majority of our Board of Directors consist of independent directors, (ii) we have a Compensaton Commitee that is composed entrely of independent directors and (iii) director nominees be selected or recommended to our Board of Directors by independent directors.</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rely on certain of these exemptons. As a result, we will not have a Compensaton Commitee consistng entrely of independent directors and our directors will not be nominated or selected solely by independent directors. We may also rely on the other exemptons so long as we qualify as a controlled company. To the extent we rely on any of these exempton, holders of our common stock will not have the same protectons aforded to shareholders of companies that are subject to all of the corporate governance requirements of Nasdaq.</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1" w:name="page32"/>
    <w:bookmarkEnd w:id="31"/>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Tax Receivable Agreement will require us to make cash payments to Hoya Topco (or other partes that become enttled to rights to payment under our TRA) in respect of certain tax benefts and such payments may be substantal. In certain cases, payments under our TRA may (i) exceed any actual tax benefts or (ii) be accelerated.</w:t>
      </w:r>
    </w:p>
    <w:p>
      <w:pPr>
        <w:spacing w:after="0" w:line="138"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We are a party to a Tax Receivable Agreement with Hoya Topco, Hoya Intermediate, GTCR Management XI, LLC (“TRA Holder Representatve”), and other TRA Holders (as defned in our TRA) dated October 18, 2021 (“TRA”). Pursuant to our TRA, we will generally be required to pay Hoya Topco and the other TRA Holders 85% of the amount of savings, if any, in U.S. federal, state, local, and foreign taxes that are based on, or measured with respect to, our net income or profts and any interest related thereto that our consolidated subsidiaries realizes, or is deemed to realize, as a result of certain tax atributes, which include:</w:t>
      </w:r>
    </w:p>
    <w:p>
      <w:pPr>
        <w:spacing w:after="0" w:line="154" w:lineRule="exact"/>
        <w:rPr>
          <w:sz w:val="20"/>
          <w:szCs w:val="20"/>
          <w:color w:val="auto"/>
        </w:rPr>
      </w:pPr>
    </w:p>
    <w:p>
      <w:pPr>
        <w:ind w:left="1020" w:hanging="503"/>
        <w:spacing w:after="0" w:line="235" w:lineRule="auto"/>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existng tax basis in certain assets of Hoya Intermediate and certain of its subsidiaries, including assets that will be subject to depreciaton or amortzaton, once placed in service;</w:t>
      </w:r>
    </w:p>
    <w:p>
      <w:pPr>
        <w:spacing w:after="0" w:line="163"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tax basis adjustments resultng from taxable exchanges of common units of Hoya Intermediate (“Intermediate Units”) for Class A common stock acquired by us from a TRA Holder (as defned in our TRA) pursuant to the terms of our LLC Agreement;</w:t>
      </w:r>
    </w:p>
    <w:p>
      <w:pPr>
        <w:spacing w:after="0" w:line="150"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certain tax atributes of Blocker Corporatons (as defned in the LLC Agreement) holding Intermediate Units that are acquired by us pursuant to a reorganizaton transacton;</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certain tax benefts realized by us as a result of our merger with Horizon Acquisiton Corporaton on October 18, 2021; and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tax deductons in respect of portons of certain payments made under our TRA.</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Payments under our TRA generally will be based on the tax reportng positons that we determine (in consultaton with an advisory frm and subject to the TRA Holder Representatve’s review and consent). The IRS or another taxing authority may challenge a positon we take, and a court may sustain such a challenge. If any tax atributes we initally claimed or utlized are disallowed, the TRA Holders (as defned in our TRA) will not be required to reimburse us for any excess payments that we may have previously made pursuant to our TRA, for example, due to adjustments resultng from examinatons by taxing authorites. Rather, any excess payments made to such TRA Holders will reduce any future cash payments we are required to make under our TRA, afer the determinaton of such excess. However, a challenge to any tax atributes we initally claimed or utlized may not arise for a number of years afer such payment and such excess cash payment may be greater than the amount of future cash payments that we may be required to make under the terms of our TRA. As a result, there might not be future cash payments against which such excess can be applied and we could be required to make payments under our TRA in excess of our actual savings in respect of the tax atributes.</w:t>
      </w:r>
    </w:p>
    <w:p>
      <w:pPr>
        <w:spacing w:after="0" w:line="15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Moreover, our TRA provides that, in certain early terminaton events, we are required to make a lump-sum cash payment to all the TRA Holders equal to the present value of all forecasted future payments that would have been made under our TRA, which would be based on certain assumptons. The lump-sum payment could be material and could materially exceed any actual tax benefts that we realize subsequent to such payment.</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amount and tming of any payments under our TRA will vary depending upon a number of factors, including the tming of exchanges, the market price of our Class A common stock at the tme of an exchange of Intermediate Units by a TRA Holder pursuant to our Second Amended and Restated Limited Liability Agreement dated October 18, 2021 (“LLC Agreement”) and the amount and tming of the recogniton of our income for applicable tax purposes. While many of these factors are outside of our control, the aggregate payments we will be required to make under our TRA could be substantal. There can be no assurance that we will be able to fnance our obligatons under our TRA in a manner that does not adversely afect our working capital and growth requirements.</w:t>
      </w: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payments we make under our TRA will generally reduce our overall cash fow. If we are unable to make tmely payments for any reason, the unpaid amounts will be deferred and will accrue interest untl paid. Additonally, nonpayment for a specifed period and/or under certain circumstances may consttute a material breach and therefore accelerate payments. Furthermore, our future obligaton to make payments could make us a less atractve</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2" w:name="page33"/>
    <w:bookmarkEnd w:id="32"/>
    <w:p>
      <w:pPr>
        <w:spacing w:after="0"/>
        <w:rPr>
          <w:sz w:val="20"/>
          <w:szCs w:val="20"/>
          <w:color w:val="auto"/>
        </w:rPr>
      </w:pPr>
      <w:r>
        <w:rPr>
          <w:rFonts w:ascii="Calibri" w:cs="Calibri" w:eastAsia="Calibri" w:hAnsi="Calibri"/>
          <w:sz w:val="17"/>
          <w:szCs w:val="17"/>
          <w:color w:val="auto"/>
        </w:rPr>
        <w:t>target for an acquisiton, partcularly in the case of an acquirer that cannot use some or all of the tax atributes that may be deemed realized under our TRA.</w:t>
      </w:r>
    </w:p>
    <w:p>
      <w:pPr>
        <w:spacing w:after="0" w:line="14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only material asset is our direct and indirect interests in Hoya Intermediate, and we are accordingly dependent upon distributons from Hoya Intermediate to pay dividends, taxes and other expenses, including payments we are required to make under our Tax Receivable Agreement.</w:t>
      </w:r>
    </w:p>
    <w:p>
      <w:pPr>
        <w:spacing w:after="0" w:line="15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are a holding company with no material assets other than our direct and indirect ownership of equity interests in Hoya Intermediate, LLC (“Hoya Intermediate”). As such, we do not have any independent means of generatng revenue. We intend to cause Hoya Intermediate to make quarterly distributons to its members, including us, in an amount at least sufcient to allow us to pay all applicable taxes, to make payments under our TRA, and to pay our corporate and other overhead expenses. To the extent that we need funds, and Hoya Intermediate is restricted from making such distributons under applicable laws or regulatons, or is otherwise unable to provide such funds, it could materially and adversely afect our liquidity and fnancial conditon.</w:t>
      </w:r>
    </w:p>
    <w:p>
      <w:pPr>
        <w:spacing w:after="0" w:line="14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In certain circumstances, Hoya Intermediate will be required to make distributons to us and Hoya Topco, and the distributons that Hoya Intermediate will be required to make may be substantal.</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Hoya Intermediate is treated, and will contnue to be treated, as a partnership for U.S. federal income tax purposes and, as such, generally is not subject to U.S. federal income tax. Instead, its taxable income is generally allocated to its members, including us. Hoya Intermediate may make cash or tax distributons to the members, including us, as set forth in its LLC Agreement calculated using an assumed tax rate, to provide liquidity to members to pay taxes on such member’s allocable share of the taxable income. Under applicable tax rules, Hoya Intermediate may be required to allocate net taxable income disproportonately to its members in certain circumstances. Because tax distributons are made pro rata on a per-common unit basis to all members and such tax distributons are determined based on the member with the highest assumed tax liability per common unit, Hoya Intermediate may be required to make tax distributons that, in the aggregate, exceed the amount of taxes that Hoya Intermediate would have paid if it were taxed on its net income at the assumed rate.</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result of (i) potental diferences in the amount of net taxable income allocable to us and to Hoya Topco, (ii) the lower maximum tax rate applicable to corporatons than individuals and (iii) the use of an assumed tax rate in calculatng Hoya Intermediate’s distributon obligatons, we may receive distributons signifcantly in excess of our actual tax liabilites and our obligatons to make payments under our TRA. If we do not distribute such cash balances as dividends on our Class A common stock and instead, for example, hold such cash balances or lend them to Hoya Intermediate, Hoya Topco would beneft from any value atributable to such accumulated cash balances as a result of its right to acquire shares of our Class A common stock or, at our electon, an amount of cash equal to the fair market value thereof, in exchange for its Intermediate Units. We will have no obligaton to distribute such cash balances to our shareholders, and no adjustments will be made to the consideraton provided to an exchanging holder in connecton with a direct exchange or redempton of Hoya Intermediate limited liability company interests under our LLC Agreement as a result of any retenton of cash by us.</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Relatng to the COVID-19 Pandemic</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The global COVID-19 pandemic has had, and may contnue to have, a material negatve impact on our business and operatng results. Beginning in the second quarter of 2021, and contnuing through the fourth quarter of 2022, we have seen a recovery in tcket orders as mitgaton measures ease. However, given the emergence of new variants and contnued infectous cases, uncertainty remains.</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global spread and impact of the COVID-19 pandemic has been complex, unpredictable, and evolving. It resulted in signifcant disrupton and additonal risks to our business, the entertainment industry, and the global economy partcularly in 2020 and 2021. The COVID-19 pandemic led governments and other authorites around the world to impose measures intended to control its spread, including travel bans, border closings and restrictons, business closures, quarantnes and vaccine requirements. In mid-March 2020, as the unprecedented impact of the global COVID-19 pandemic became clearer, concert promoters, venue operators, sports leagues and theaters around the world shut down.</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3" w:name="page34"/>
    <w:bookmarkEnd w:id="33"/>
    <w:p>
      <w:pPr>
        <w:jc w:val="both"/>
        <w:spacing w:after="0" w:line="235" w:lineRule="auto"/>
        <w:rPr>
          <w:sz w:val="20"/>
          <w:szCs w:val="20"/>
          <w:color w:val="auto"/>
        </w:rPr>
      </w:pPr>
      <w:r>
        <w:rPr>
          <w:rFonts w:ascii="Calibri" w:cs="Calibri" w:eastAsia="Calibri" w:hAnsi="Calibri"/>
          <w:sz w:val="18"/>
          <w:szCs w:val="18"/>
          <w:color w:val="auto"/>
        </w:rPr>
        <w:t>Diferent jurisdictons lifed restrictons on gatherings of people at diferent tmes and may contnue to have diferent rules in place in the future. While events are now, by and large, held at pre-pandemic scope and scale, it is difcult to predict whether restrictons could be put into place again in the future if a worsening variant emerges.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depends on concert, sportng and theater events in order to generate most of our revenue from tcket sales in the secondary tcket market. During the COVID-19 pandemic, fewer concert, sportng and theater events as well as lower fan atendance had a negatve impact on our revenue. Since the COVID-19 pandemic remains a public health concern as of December 31, 2022, it is possible these circumstances could re-emerge and once again threaten the live events industry and have a negatve impact on our revenue.</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face ancillary risks and uncertaintes arising from the global COVID-19 pandemic in additon to the possible shutdown or limitaton of concert, sportng and theater events. COVID-19, and its variants, may also precipitate or aggravate other risk factors, which have had, and may contnue to have, a material negatve impact on our business and operatng results. Many of these risks and uncertaintes may extend beyond the duraton of current pandemic conditons due to the uncertainty around how concert, sportng and theater industries may change going forward as a result of the pandemic. Such additonal or atendant risks and uncertaintes include, among other things:</w:t>
      </w:r>
    </w:p>
    <w:p>
      <w:pPr>
        <w:spacing w:after="0" w:line="166" w:lineRule="exact"/>
        <w:rPr>
          <w:sz w:val="20"/>
          <w:szCs w:val="20"/>
          <w:color w:val="auto"/>
        </w:rPr>
      </w:pPr>
    </w:p>
    <w:p>
      <w:pPr>
        <w:ind w:left="1020" w:hanging="503"/>
        <w:spacing w:after="0" w:line="235" w:lineRule="auto"/>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 of any lingering economic downturn or recession including, without limitaton, any reducton in discretonary spending or confdence for both buyers and sellers, that would result in a decline in tcket sales and atendance;</w:t>
      </w:r>
    </w:p>
    <w:p>
      <w:pPr>
        <w:spacing w:after="0" w:line="150"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reducton in the proftability of our operatons due to governmental restrictons or safety precautons and protocols voluntarily undertaken, such as venues running under capacity due to spacing and social distancing limitatons, which could limit the number of tckets sold;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333333"/>
        </w:rPr>
      </w:pPr>
      <w:r>
        <w:rPr>
          <w:rFonts w:ascii="Calibri" w:cs="Calibri" w:eastAsia="Calibri" w:hAnsi="Calibri"/>
          <w:sz w:val="18"/>
          <w:szCs w:val="18"/>
          <w:color w:val="333333"/>
        </w:rPr>
        <w:t>increase in performer cancellatons because of illness;</w:t>
      </w:r>
    </w:p>
    <w:p>
      <w:pPr>
        <w:spacing w:after="0" w:line="163" w:lineRule="exact"/>
        <w:rPr>
          <w:rFonts w:ascii="Times New Roman" w:cs="Times New Roman" w:eastAsia="Times New Roman" w:hAnsi="Times New Roman"/>
          <w:sz w:val="18"/>
          <w:szCs w:val="18"/>
          <w:color w:val="333333"/>
        </w:rPr>
      </w:pPr>
    </w:p>
    <w:p>
      <w:pPr>
        <w:ind w:left="1020" w:hanging="503"/>
        <w:spacing w:after="0" w:line="235" w:lineRule="auto"/>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loss of tcketng sales due to the economic impact whereby certain venue operators are no longer in operaton, reducing the number of events our marketplace can serve;</w:t>
      </w:r>
    </w:p>
    <w:p>
      <w:pPr>
        <w:spacing w:after="0" w:line="14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inability to pursue expansion opportunites or acquisitons due to capital constraints;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increase in the prevalence of electronic tckets which could be rendered nontransferable;</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future availability or increased cost of insurance coverage;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incurrence of additonal expenses related to compliance, precautons and management.</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likelihood of the realizaton or intensifcaton of these risks and uncertaintes and the ultmate magnitude of their impact on us are not knowable or quantfable at this tme. The global COVID-19 pandemic and its impacts may contnue to endure for an unknown period of tme. New COVID-19 variants have and may contnue to emerge, which could lead to new restrictons being put into place again. The longer the duraton of the global COVID-19 pandemic, the greater the ancillary and lingering efects, and related negatve impact on us and our results of operatons.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Being a Public Company</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market price and trading volume of our securites may be volatle.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Securites markets worldwide experience signifcant price and volume fuctuatons. This market volatlity, as well as general economic, market or politcal conditons, could reduce the market price of our Class A common stock and warrants in spite of our operatng performance. We cannot assure you that the market price of our Class A common stock and warrants will not fuctuate widely or decline signifcantly in the future in response to a number of factors, including, among others, the following:</w:t>
      </w:r>
    </w:p>
    <w:p>
      <w:pPr>
        <w:spacing w:after="0" w:line="16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realizaton of any of these risk factors;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difcult global market and economic conditons;</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4" w:name="page35"/>
    <w:bookmarkEnd w:id="34"/>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loss of investor confdence in the global fnancial markets and investng in general;</w:t>
      </w:r>
    </w:p>
    <w:p>
      <w:pPr>
        <w:spacing w:after="0" w:line="149"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adverse market reacton to indebtedness we may incur, securites we may grant under our 2021 Incentve Award Plan or otherwise, or any other securites we may issue in the future, including shares of our Class A common stock;</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adverse market reacton to changes in our ownership or capital structure including a secondary ofering for our Class A common stock;</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unantcipated variatons in our quarterly and annual operatng results or dividends;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meet securites analysts’ earnings estmates;</w:t>
      </w:r>
    </w:p>
    <w:p>
      <w:pPr>
        <w:spacing w:after="0" w:line="163" w:lineRule="exact"/>
        <w:rPr>
          <w:rFonts w:ascii="Times New Roman" w:cs="Times New Roman" w:eastAsia="Times New Roman" w:hAnsi="Times New Roman"/>
          <w:sz w:val="18"/>
          <w:szCs w:val="18"/>
          <w:color w:val="auto"/>
        </w:rPr>
      </w:pPr>
    </w:p>
    <w:p>
      <w:pPr>
        <w:ind w:left="1020" w:right="20" w:hanging="503"/>
        <w:spacing w:after="0" w:line="235" w:lineRule="auto"/>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publicaton of negatve or inaccurate research reports about us or the live events or tcketng industry or the failure of securites analysts to provide adequate coverage of our Class A common stock in the future;</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market valuatons of similar companies;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speculaton in the press or investment community about our business;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trading actvity of our largest stockholders;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shares of our common stock that are available for public trading;</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short sales, hedging and other derivatve transactons involving our capital stock;</w:t>
      </w:r>
    </w:p>
    <w:p>
      <w:pPr>
        <w:spacing w:after="0" w:line="163"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additonal or unexpected changes or proposed changes in laws or regulatons or difering interpretatons thereof afectng our business or enforcement of these laws and regulatons, or announcements relatng to these maters; and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increases in compliance or enforcement inquiries and investgatons by regulatory authorites.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be subject to securites class acton litgaton, which may harm our business, fnancial conditon and results of operatons.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Companies that have experienced volatlity in the market price of their stock have been subject to securites class acton litgaton. We may be the target of this type of litgaton in the future. Securites litgaton against us could result in substantal legal fees, setlement or judgment costs and a diversion of management’s atenton and resources that are needed to successfully run our business, which could seriously harm our business, fnancial conditon and results of operatons.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contnue to have a material weakness in our internal control over fnancial reportng and may identfy additonal material weaknesses in the future or otherwise fail to maintain an efectve system of internal controls, which may result in material misstatements of our fnancial statements or cause us to fail to meet our periodic reportng obligatons.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required to comply with the Securites and Exchange Commission’s (“SEC”) rules implementng Sectons 302 and 404 of The Sarbanes-Oxley Act (“SOX”), which require management to certfy fnancial and other informaton in our quarterly and annual reports and provide an annual management report on the efectveness of controls over fnancial reportng.</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Efectve internal control over fnancial reportng is necessary for us to provide reliable and tmely fnancial reports and, together with adequate disclosure controls and procedures, are designed to reasonably detect and prevent fraud. We are also required to report any material weaknesses in such internal control. A material weakness is a defciency, or a combinaton of defciencies, in internal control over fnancial reportng such that there is a reasonable possibility that a material misstatement of our fnancial statements will not be prevented or detected on a tmely basis.</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5" w:name="page36"/>
    <w:bookmarkEnd w:id="35"/>
    <w:p>
      <w:pPr>
        <w:jc w:val="both"/>
        <w:spacing w:after="0" w:line="235" w:lineRule="auto"/>
        <w:rPr>
          <w:sz w:val="20"/>
          <w:szCs w:val="20"/>
          <w:color w:val="auto"/>
        </w:rPr>
      </w:pPr>
      <w:r>
        <w:rPr>
          <w:rFonts w:ascii="Calibri" w:cs="Calibri" w:eastAsia="Calibri" w:hAnsi="Calibri"/>
          <w:sz w:val="18"/>
          <w:szCs w:val="18"/>
          <w:color w:val="auto"/>
        </w:rPr>
        <w:t>In connecton with the audit of our fnancial statements for the fscal year ended December 31, 2020, we identfed defciencies in our internal control over fnancial reportng, which in the aggregate, consttuted a material weakness. We made the same determinaton in connecton with the audits of our fnancial statements for the fscal years ended December 31, 2021 and 2022. We determined in all three years that we had defciencies related to implementaton of segregaton of dutes as part of our control actvites, establishment of clearly defned roles within our fnance and accountng functons and the number of personnel in our fnance and accountng functons with an appropriate level of technical accountng and SEC reportng experience, which in the aggregate, consttute a material weakness. As part of our plan to address this material weakness, we are performing a full review of our internal control procedures. We have implemented, and plan to contnue to implement, new controls and processes. We have hired, and plan to contnue to hire, additonal qualifed personnel and establish more robust processes to support our internal control over fnancial reportng, including clearly defned roles and responsibilites and appropriate segregaton of dutes.</w:t>
      </w:r>
    </w:p>
    <w:p>
      <w:pPr>
        <w:spacing w:after="0" w:line="14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we have begun implementng a plan to remediate this material weakness, we cannot predict the success of such plan or the outcome of our assessment of this plan at this tme. If our steps are insufcient to successfully remediate the material weakness and otherwise establish and maintain an efectve system of internal control over fnancial reportng, the reliability of our fnancial reportng, investor confdence in us, and the value of our common stock could be materially and adversely afected. We can give no assurance that this implementaton will remediate this defciency in internal control or that additonal material weaknesses in our internal control over fnancial reportng will not be identfed in the future. Our failure to implement and maintain efectve internal control over fnancial reportng could result in errors in our fnancial statements that could result in a restatement of our fnancial statements or cause us to fail to meet our periodic reportng obligatons.</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as long as we are an “emerging growth company” under The Jumpstart Our Business Startup Act (“JOBS Act”), our independent registered public accountng frm will not be required to atest to the efectveness of our internal control over fnancial reportng pursuant to Secton 404. We could be an “emerging growth company” untl December 31, 2026.</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Once we no longer qualify as an “emerging growth company,” we will be required to have our independent registered public accountng frm provide an atestaton report on the efectveness of our internal control over fnancial reportng. An independent assessment of the efectveness of our internal control over fnancial reportng could detect problems that our management’s assessment might not. Undetected material weaknesses in our internal control over fnancial reportng could lead to fnancial statement restatements and require us to incur the expense of remediaton. An adverse report may be issued if our independent registered public accountng frm is not satsfed with the level at which our controls are documented, designed or operatng.</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The obligatons associated with being a public company will involve signifcant expenses and will require signifcant resources and management atenton, which may divert from our business operatons.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public company, we are subject to the reportng requirements of the Exchange Act of 1934, as amended (“Exchange Act”) and SOX. The Exchange Act requires the fling of annual, quarterly and current reports with respect to a public company’s business and fnancial conditon. SOX requires, among other things, that a public company establish and maintain efectve internal control over fnancial reportng. As a result, we will incur signifcant legal, accountng and other expenses that we did not incur as a private company. Our management team and many of our other employees will need to devote substantal tme to compliance and may not efectvely or efciently manage our transiton into a public company.</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rules and regulatons will result in us incurring substantal legal and fnancial compliance costs and will make some actvites more tme-consuming and costly. For example, these rules and regulatons make it more difcult and more expensive for us to obtain director and ofcer liability insurance, and we incur substantally higher costs to obtain the same or similar coverage. As a result, it may be difcult for us to atract and retain qualifed people to serve on our Board of Directors, our Board Commitees or as executve ofcers.</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6" w:name="page37"/>
    <w:bookmarkEnd w:id="36"/>
    <w:p>
      <w:pPr>
        <w:spacing w:after="0" w:line="235" w:lineRule="auto"/>
        <w:rPr>
          <w:sz w:val="20"/>
          <w:szCs w:val="20"/>
          <w:color w:val="auto"/>
        </w:rPr>
      </w:pPr>
      <w:r>
        <w:rPr>
          <w:rFonts w:ascii="Calibri" w:cs="Calibri" w:eastAsia="Calibri" w:hAnsi="Calibri"/>
          <w:sz w:val="18"/>
          <w:szCs w:val="18"/>
          <w:b w:val="1"/>
          <w:bCs w:val="1"/>
          <w:i w:val="1"/>
          <w:iCs w:val="1"/>
          <w:color w:val="auto"/>
        </w:rPr>
        <w:t>We are an emerging growth company, and any decision on our part to comply only with certain reduced reportng and disclosure requirements applicable to "emerging growth companies" could make our Class A common stock less atractve to investors.</w:t>
      </w:r>
    </w:p>
    <w:p>
      <w:pPr>
        <w:spacing w:after="0" w:line="13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are an "emerging growth company," and, for as long as we contnue to be an "emerging growth company," we may choose to take advantage of exemptons from various reportng requirements applicable to other public companies but not to “emerging growth companies,” including:</w:t>
      </w:r>
    </w:p>
    <w:p>
      <w:pPr>
        <w:spacing w:after="0" w:line="164" w:lineRule="exact"/>
        <w:rPr>
          <w:sz w:val="20"/>
          <w:szCs w:val="20"/>
          <w:color w:val="auto"/>
        </w:rPr>
      </w:pPr>
    </w:p>
    <w:p>
      <w:pPr>
        <w:ind w:left="102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not being required to have our independent registered public accountng frm audit our internal control over fnancial reportng under Secton 404 of SOX;</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reduced disclosure obligatons regarding executve compensaton in our periodic reports and proxy statements; and</w:t>
      </w:r>
    </w:p>
    <w:p>
      <w:pPr>
        <w:spacing w:after="0" w:line="149"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exemptons from the requirements of holding a nonbinding advisory vote on executve compensaton or golden parachute payments not previously approved.</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Our status as an "emerging growth company" will end as soon as any of the following occurs:</w:t>
      </w:r>
    </w:p>
    <w:p>
      <w:pPr>
        <w:spacing w:after="0" w:line="15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last day of the fscal year in which we have more than $1.07 billion in annual revenue;</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date we qualify as a “large accelerated fler,” with at least $700 million of equity securites held by non-afliates;</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date on which we have issued, in any three-year period, more than $1.0 billion in non-convertble debt securites; or</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December 31, 2026.</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cannot predict if investors will fnd our securites less atractve if we choose to rely on any of the exemptons aforded “emerging growth companies.” If some investors fnd our securites less atractve because we rely on any of these exemptons, there may be a less actve trading market for our securites and the market price of those securites may be more volatle.</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the JOBS Act exempts “emerging growth companies” from being required to comply with new or revised fnancial accountng standards untl private companies (that is, those that have not had a registraton statement under the Securites Act of 1933, as amended (“Securites Act”) declared efectve or do not have a class of securites registered under the Exchange Act) are required to comply with the new or revised fnancial accountng standards. The JOBS Act provides that a company can elect to opt out of the extended transiton period and comply with the requirements that apply to non-emerging growth companies but any such electon to opt out is irrevocable. We have elected not to opt out of such extended transiton period, which means that when a standard is issued or revised and it has diferent applicaton dates for public or private companies, we, as an “emerging growth company,” can adopt the new or revised standard at the tme private companies adopt the new or revised standard. This may make comparison of our fnancial statements with another public company, which is neither an “emerging growth company” nor a company that has opted out of using the extended transiton period, difcult because of the potental diferences in accountng standards used.</w:t>
      </w:r>
    </w:p>
    <w:p>
      <w:pPr>
        <w:spacing w:after="0" w:line="15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An actve trading market for our Class A common stock may not be maintained and an actve trading market for our warrants may not develop.</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Although our Class A common stock is listed on Nasdaq under the symbol “SEAT,” an actve trading market for our Class A common stock may not be maintained. A public trading market having the desirable characteristcs of depth, liquidity and orderliness depends upon the existence of willing buyers and sellers at any given tme, such existence being dependent upon the individual decisions of buyers and sellers. Additonally, we can provide no assurance that an actve trading market for our warrants will develop on Nasdaq or any other exchange in the future. If an actve market for our securites does not develop or is not maintained, or if we fail to satsfy the contnued listng standards of Nasdaq for any reason and our securites are delisted, it may be difcult for our security holders to sell their</w:t>
      </w:r>
    </w:p>
    <w:p>
      <w:pPr>
        <w:spacing w:after="0" w:line="10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7" w:name="page38"/>
    <w:bookmarkEnd w:id="37"/>
    <w:p>
      <w:pPr>
        <w:spacing w:after="0" w:line="235" w:lineRule="auto"/>
        <w:rPr>
          <w:sz w:val="20"/>
          <w:szCs w:val="20"/>
          <w:color w:val="auto"/>
        </w:rPr>
      </w:pPr>
      <w:r>
        <w:rPr>
          <w:rFonts w:ascii="Calibri" w:cs="Calibri" w:eastAsia="Calibri" w:hAnsi="Calibri"/>
          <w:sz w:val="18"/>
          <w:szCs w:val="18"/>
          <w:color w:val="auto"/>
        </w:rPr>
        <w:t>securites without depressing the market price for the securites or at all. An inactve trading market may also impair our ability to both raise capital by selling shares of capital stock and acquire other complementary products, technologies or businesses by using our shares of capital stock as consideraton.</w:t>
      </w:r>
    </w:p>
    <w:p>
      <w:pPr>
        <w:spacing w:after="0" w:line="137"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Warrants are exercisable for our Class A common stock and Intermediate Units, which will increase the number of shares eligible for future resale in the public market and result in diluton to our stockholders.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warrants to purchase our Class A common stock are outstanding and exercisable:</w:t>
      </w:r>
    </w:p>
    <w:p>
      <w:pPr>
        <w:spacing w:after="0" w:line="158"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warrants to purchase 6,519,791 shares at an exercise price of $11.50 per share;</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warrants to purchase 17,000,000 shares at an exercise price of $10.00 per share;</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warrants to purchase 17,000,000 shares at an exercise price of $15.00 per share; and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public warrants to purchase 6,766,853 shares at an exercise price of $11.50 per share.</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the extent such warrants are exercised, additonal shares of our Class A common stock will be issued. This will result in diluton to the holders of our Class A common stock and increase the number of shares eligible for resale in the public market. Sales of substantal numbers of such shares in the public market or the fact that such warrants may be exercised could adversely afect the market price of our Class A common stock.</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warrants to purchase Intermediate Units are outstanding and exercisable are held by Hoya Topco, LLC (collectvely, “Hoya Intermediate Warrants”):</w:t>
      </w:r>
    </w:p>
    <w:p>
      <w:pPr>
        <w:spacing w:after="0" w:line="159"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warrants to purchase 3,000,000 shares at an exercise price of $10.00 per share;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warrants to purchase 3,000,000 shares at an exercise price of $15.00 per share.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Upon exercise of a Hoya Intermediate Warrant, one share of our Class B common stock will also be issued. Holders of Intermediate Units (other than us and our subsidiaries) may exchange them for shares of our Class A common stock. Sales of substantal numbers of such shares in the public market or the fact that such warrants may be exercised could adversely afect the market price of our Class A common stock.</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management also holds optons to purchase shares of our Class A common stock. To the extent such optons are exercised, additonal shares of our Class A common stock will be issued. This will result in diluton to the holders of our Class A common stock and increase the number of shares eligible for resale in the public market. Sales of substantal numbers of such shares in the public market or the fact that such optons may be exercised could adversely afect the market price of our Class A common stock.</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Securites analysts may not publish favorable research or reports about our business or may publish no informaton at all, which could cause our stock price or trading volume to decline.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trading market for our securites will be infuenced to some extent by the research and reports that industry or fnancial analysts publish about us and our business. We will not control these analysts, and the analysts who publish informaton about us may have relatvely litle experience with us or our industry, which could afect their ability to accurately forecast our results and could make it more likely that we fail to meet their estmates. If any current or future analysts who cover us provide inaccurate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Provisions in our organizatonal documents and certain rules imposed by regulatory authorites may delay or prevent our acquisiton by a third-party.</w:t>
      </w:r>
    </w:p>
    <w:p>
      <w:pPr>
        <w:spacing w:after="0" w:line="13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Our amended and restated charter and our amended and restated bylaws contain several provisions that may make it more difcult or expensive for a third-party to acquire control of us without the approval of our Board of Directors. These provisions, which may delay, prevent or deter a merger, acquisiton, tender ofer, proxy contest or other transacton that stockholders may consider favorable, include the following:</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8" w:name="page39"/>
    <w:bookmarkEnd w:id="38"/>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sole ability of directors to fll a vacancy on the Board of Directors;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 notce requirements for stockholder proposals and director nominatons;</w:t>
      </w:r>
    </w:p>
    <w:p>
      <w:pPr>
        <w:spacing w:after="0" w:line="163"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afer we no longer qualify as a "controlled company" under applicable Nasdaq listng rules, provisions limitng stockholders' ability to (i) call special meetngs of stockholders, (ii) require extraordinary general meetngs of stockholders and (iii) take acton by writen consent;</w:t>
      </w:r>
    </w:p>
    <w:p>
      <w:pPr>
        <w:spacing w:after="0" w:line="163"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the Board of Directors to designate the terms of and issue new series of preferred stock without stockholder approval, which could be used, among other things, to insttute a rights plan that would have the efect of signifcantly dilutng the stock ownership of a potental hostle acquirer, likely preventng acquisitons that have not been approved by our governing body;</w:t>
      </w:r>
    </w:p>
    <w:p>
      <w:pPr>
        <w:spacing w:after="0" w:line="1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division of the Board of Directors into three classes, with each class serving staggered three-year terms; and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lack of cumulatve votng for the electon of directors.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provisions of our amended and restated charter and our amended and restated bylaws could discourage potental takeover atempts and reduce the price that investors might be willing to pay for shares of our Class A common stock in the future, which could reduce the market price of our Class A common stock.</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The provisions of our amended and restated charter requiring exclusive forum in the Court of Chancery of the State of Delaware and the federal district courts of the United States for certain types of lawsuits may have the efect of discouraging lawsuits against our directors and ofcers.</w:t>
      </w:r>
    </w:p>
    <w:p>
      <w:pPr>
        <w:spacing w:after="0" w:line="150"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auto"/>
        </w:rPr>
        <w:t>Our amended and restated charter provides that, to the fullest extent permited by law, and unless we provide consent in writng to the selecton of an alternatve forum, the Court of Chancery of the State of Delaware (or, in the event that the Chancery Court does not have jurisdicton, the federal district court for the District of Delaware or other state courts of the State of Delaware) will be the sole and exclusive forum for (i) any derivatve acton or proceeding brought on our behalf, (ii) any acton assertng a claim of breach of a fduciary duty owed by any current or former director, ofcer, employee or stockholder to us or our stockholders, (iii) any acton assertng a claim arising pursuant to any provision of the Delaware General Corporate Laws (“DGCL”), our amended and restated charter or our amended and restated bylaws or as to which the DGCL confers jurisdicton on the Court of Chancery of the State of Delaware or</w:t>
      </w:r>
    </w:p>
    <w:p>
      <w:pPr>
        <w:spacing w:after="0" w:line="4" w:lineRule="exact"/>
        <w:rPr>
          <w:sz w:val="20"/>
          <w:szCs w:val="20"/>
          <w:color w:val="auto"/>
        </w:rPr>
      </w:pPr>
    </w:p>
    <w:p>
      <w:pPr>
        <w:jc w:val="both"/>
        <w:ind w:firstLine="8"/>
        <w:spacing w:after="0" w:line="235" w:lineRule="auto"/>
        <w:tabs>
          <w:tab w:leader="none" w:pos="275"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any acton assertng a claim governed by the internal afairs doctrine, provided that this provision, including for any “derivatve acton,” will not apply to suits to enforce a duty or liability created by the Securites Act, the Exchange Act or any other claim for which the federal courts have exclusive jurisdicton. Our amended and restated charter will further provide that the federal district courts of the United States will be the exclusive forum for resolving any complaint assertng a cause of acton arising under the Securites Act. By becoming our stockholder, you will be deemed to have notce of and consented to the exclusive forum provisions of our amended and restated charter. There is uncertainty as to whether a court would enforce such a provision relatng to causes of acton arising under the Securites Act, and investors cannot waive compliance with the federal securites laws and the rules and regulatons thereunder.</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provisions may have the efect of discouraging lawsuits against our directors and ofcers. The enforceability of similar choice of forum provisions in other companies’ certfcates of incorporaton has been challenged in legal proceedings, and it is possible that, in connecton with any applicable acton brought against us, a court could fnd the choice of forum provisions contained in our amended and restated charter to be inapplicable or unenforceable in such acton.</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9" w:name="page40"/>
    <w:bookmarkEnd w:id="39"/>
    <w:p>
      <w:pPr>
        <w:jc w:val="center"/>
        <w:ind w:right="-19"/>
        <w:spacing w:after="0"/>
        <w:rPr>
          <w:sz w:val="20"/>
          <w:szCs w:val="20"/>
          <w:color w:val="auto"/>
        </w:rPr>
      </w:pPr>
      <w:r>
        <w:rPr>
          <w:rFonts w:ascii="Calibri" w:cs="Calibri" w:eastAsia="Calibri" w:hAnsi="Calibri"/>
          <w:sz w:val="18"/>
          <w:szCs w:val="18"/>
          <w:b w:val="1"/>
          <w:bCs w:val="1"/>
          <w:color w:val="auto"/>
        </w:rPr>
        <w:t>Item 1B. Unresolved Staf Comments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2. Propertes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we leased approximately 48,000 square feet of space in Chicago, Illinois for our headquarters under a lease agreement that runs through December 31, 2033 with a 5-year renewal opton, unless terminated sooner. We also lease facilites in Coppell, Texas and Toronto, Ontario.</w:t>
      </w:r>
    </w:p>
    <w:p>
      <w:pPr>
        <w:spacing w:after="0" w:line="13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3. Legal Proceedings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1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II</w:t>
      </w:r>
    </w:p>
    <w:p>
      <w:pPr>
        <w:spacing w:after="0" w:line="13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5. Market for Registrant's Common Equity, Related Stockholder Maters and Issuer Purchases of Equity Securites</w:t>
      </w:r>
    </w:p>
    <w:p>
      <w:pPr>
        <w:spacing w:after="0" w:line="1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Principal Market</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October 19, 2021, our Class A common stock and warrants began trading on the Nasdaq under the symbols “SEAT” and "SEATW", respectvely. Prior to that date, there was no public trading market for our common stock and warrants.</w:t>
      </w:r>
    </w:p>
    <w:p>
      <w:pPr>
        <w:spacing w:after="0" w:line="13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Stockholders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February 28, 2023, there were 79 holders of record of our common stock. The actual number of our stockholders is greater than this number, and includes benefcial owners whose shares are held in “street name” by banks, brokers and other nominees.</w:t>
      </w:r>
    </w:p>
    <w:p>
      <w:pPr>
        <w:spacing w:after="0" w:line="1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Dividends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Equity Compensaton Plan Informaton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Informaton concerning our equity compensaton plan is incorporated herein by reference to Part III, Item 12 of this report.</w:t>
      </w:r>
    </w:p>
    <w:p>
      <w:pPr>
        <w:spacing w:after="0" w:line="1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Use of Proceeds from Sale of Registered Securites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3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Issuer Purchases of Equity Securites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25, 2022, our board of directors authorized a share repurchase program of our Class A Common Stock of up to $40.0 million ("Repurchase Program"). The Repurchase Program was announced on May 26, 2022 and will be efectve untl March 31, 2023. We may repurchase shares from tme to tme in open market transactons, through privately negotated transactons or otherwise in accordance with applicable federal securites laws. The amount and tming of repurchases will depend upon market conditons and other factors including price. The Repurchase Program does not obligate us to acquire any partcular amount of stock, and it may be terminated, modifed, or suspended at any tme at our discreton. The Repurchase Program commenced on July 5, 2022. As of December 31, 2022, we have repurchased 4.3 million shares of our Class A Common Stock for $32.5 million under the Repurchase</w:t>
      </w:r>
    </w:p>
    <w:p>
      <w:pPr>
        <w:spacing w:after="0" w:line="10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color w:val="auto"/>
        </w:rPr>
        <w:t>Program which includes commissions paid of $0.1 million. The share repurchases are accounted for as Treasury stock in the Consolidated Balance Sheets.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informaton about purchases of shares of our common stock during the year ended December 31,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center"/>
              <w:ind w:right="70"/>
              <w:spacing w:after="0"/>
              <w:rPr>
                <w:sz w:val="20"/>
                <w:szCs w:val="20"/>
                <w:color w:val="auto"/>
              </w:rPr>
            </w:pPr>
            <w:r>
              <w:rPr>
                <w:rFonts w:ascii="Calibri" w:cs="Calibri" w:eastAsia="Calibri" w:hAnsi="Calibri"/>
                <w:sz w:val="18"/>
                <w:szCs w:val="18"/>
                <w:color w:val="auto"/>
                <w:w w:val="95"/>
              </w:rPr>
              <w:t>Weighted Average</w:t>
            </w:r>
          </w:p>
        </w:tc>
        <w:tc>
          <w:tcPr>
            <w:tcW w:w="2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Calibri" w:cs="Calibri" w:eastAsia="Calibri" w:hAnsi="Calibri"/>
                <w:sz w:val="18"/>
                <w:szCs w:val="18"/>
                <w:color w:val="auto"/>
                <w:w w:val="96"/>
              </w:rPr>
              <w:t>Total Number of Shares Purchased</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tcPr>
          <w:p>
            <w:pPr>
              <w:jc w:val="right"/>
              <w:ind w:right="90"/>
              <w:spacing w:after="0"/>
              <w:rPr>
                <w:sz w:val="20"/>
                <w:szCs w:val="20"/>
                <w:color w:val="auto"/>
              </w:rPr>
            </w:pPr>
            <w:r>
              <w:rPr>
                <w:rFonts w:ascii="Calibri" w:cs="Calibri" w:eastAsia="Calibri" w:hAnsi="Calibri"/>
                <w:sz w:val="18"/>
                <w:szCs w:val="18"/>
                <w:color w:val="auto"/>
                <w:w w:val="96"/>
              </w:rPr>
              <w:t>Maximum Number (or Approximate</w:t>
            </w:r>
          </w:p>
        </w:tc>
        <w:tc>
          <w:tcPr>
            <w:tcW w:w="10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70"/>
              <w:spacing w:after="0" w:line="216" w:lineRule="exact"/>
              <w:rPr>
                <w:sz w:val="20"/>
                <w:szCs w:val="20"/>
                <w:color w:val="auto"/>
              </w:rPr>
            </w:pPr>
            <w:r>
              <w:rPr>
                <w:rFonts w:ascii="Calibri" w:cs="Calibri" w:eastAsia="Calibri" w:hAnsi="Calibri"/>
                <w:sz w:val="18"/>
                <w:szCs w:val="18"/>
                <w:color w:val="auto"/>
              </w:rPr>
              <w:t>Total Number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90"/>
              <w:spacing w:after="0" w:line="216" w:lineRule="exact"/>
              <w:rPr>
                <w:sz w:val="20"/>
                <w:szCs w:val="20"/>
                <w:color w:val="auto"/>
              </w:rPr>
            </w:pPr>
            <w:r>
              <w:rPr>
                <w:rFonts w:ascii="Calibri" w:cs="Calibri" w:eastAsia="Calibri" w:hAnsi="Calibri"/>
                <w:sz w:val="18"/>
                <w:szCs w:val="18"/>
                <w:color w:val="auto"/>
                <w:w w:val="95"/>
              </w:rPr>
              <w:t>Price Paid Per</w:t>
            </w:r>
          </w:p>
        </w:tc>
        <w:tc>
          <w:tcPr>
            <w:tcW w:w="200" w:type="dxa"/>
            <w:vAlign w:val="bottom"/>
          </w:tcPr>
          <w:p>
            <w:pPr>
              <w:spacing w:after="0"/>
              <w:rPr>
                <w:sz w:val="18"/>
                <w:szCs w:val="18"/>
                <w:color w:val="auto"/>
              </w:rPr>
            </w:pPr>
          </w:p>
        </w:tc>
        <w:tc>
          <w:tcPr>
            <w:tcW w:w="260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as Part of Publicly Announced</w:t>
            </w:r>
          </w:p>
        </w:tc>
        <w:tc>
          <w:tcPr>
            <w:tcW w:w="260" w:type="dxa"/>
            <w:vAlign w:val="bottom"/>
          </w:tcPr>
          <w:p>
            <w:pPr>
              <w:spacing w:after="0"/>
              <w:rPr>
                <w:sz w:val="18"/>
                <w:szCs w:val="18"/>
                <w:color w:val="auto"/>
              </w:rPr>
            </w:pPr>
          </w:p>
        </w:tc>
        <w:tc>
          <w:tcPr>
            <w:tcW w:w="2880" w:type="dxa"/>
            <w:vAlign w:val="bottom"/>
            <w:gridSpan w:val="2"/>
          </w:tcPr>
          <w:p>
            <w:pPr>
              <w:ind w:left="40"/>
              <w:spacing w:after="0" w:line="216" w:lineRule="exact"/>
              <w:rPr>
                <w:sz w:val="20"/>
                <w:szCs w:val="20"/>
                <w:color w:val="auto"/>
              </w:rPr>
            </w:pPr>
            <w:r>
              <w:rPr>
                <w:rFonts w:ascii="Calibri" w:cs="Calibri" w:eastAsia="Calibri" w:hAnsi="Calibri"/>
                <w:sz w:val="18"/>
                <w:szCs w:val="18"/>
                <w:color w:val="auto"/>
                <w:w w:val="98"/>
              </w:rPr>
              <w:t>Dollar Value) of Shares that May Yet be</w:t>
            </w:r>
          </w:p>
        </w:tc>
        <w:tc>
          <w:tcPr>
            <w:tcW w:w="100" w:type="dxa"/>
            <w:vAlign w:val="bottom"/>
          </w:tcPr>
          <w:p>
            <w:pPr>
              <w:spacing w:after="0"/>
              <w:rPr>
                <w:sz w:val="18"/>
                <w:szCs w:val="18"/>
                <w:color w:val="auto"/>
              </w:rPr>
            </w:pPr>
          </w:p>
        </w:tc>
      </w:tr>
      <w:tr>
        <w:trPr>
          <w:trHeight w:val="216"/>
        </w:trPr>
        <w:tc>
          <w:tcPr>
            <w:tcW w:w="1580" w:type="dxa"/>
            <w:vAlign w:val="bottom"/>
          </w:tcPr>
          <w:p>
            <w:pPr>
              <w:ind w:left="640"/>
              <w:spacing w:after="0" w:line="216" w:lineRule="exact"/>
              <w:rPr>
                <w:sz w:val="20"/>
                <w:szCs w:val="20"/>
                <w:color w:val="auto"/>
              </w:rPr>
            </w:pPr>
            <w:r>
              <w:rPr>
                <w:rFonts w:ascii="Calibri" w:cs="Calibri" w:eastAsia="Calibri" w:hAnsi="Calibri"/>
                <w:sz w:val="18"/>
                <w:szCs w:val="18"/>
                <w:color w:val="auto"/>
              </w:rPr>
              <w:t>Date</w:t>
            </w: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Calibri" w:cs="Calibri" w:eastAsia="Calibri" w:hAnsi="Calibri"/>
                <w:sz w:val="18"/>
                <w:szCs w:val="18"/>
                <w:color w:val="auto"/>
              </w:rPr>
              <w:t>Shares Purchased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50"/>
              <w:spacing w:after="0" w:line="216" w:lineRule="exact"/>
              <w:rPr>
                <w:sz w:val="20"/>
                <w:szCs w:val="20"/>
                <w:color w:val="auto"/>
              </w:rPr>
            </w:pPr>
            <w:r>
              <w:rPr>
                <w:rFonts w:ascii="Calibri" w:cs="Calibri" w:eastAsia="Calibri" w:hAnsi="Calibri"/>
                <w:sz w:val="18"/>
                <w:szCs w:val="18"/>
                <w:color w:val="auto"/>
                <w:w w:val="97"/>
              </w:rPr>
              <w:t>Share(1)</w:t>
            </w:r>
          </w:p>
        </w:tc>
        <w:tc>
          <w:tcPr>
            <w:tcW w:w="200" w:type="dxa"/>
            <w:vAlign w:val="bottom"/>
          </w:tcPr>
          <w:p>
            <w:pPr>
              <w:spacing w:after="0"/>
              <w:rPr>
                <w:sz w:val="18"/>
                <w:szCs w:val="18"/>
                <w:color w:val="auto"/>
              </w:rPr>
            </w:pPr>
          </w:p>
        </w:tc>
        <w:tc>
          <w:tcPr>
            <w:tcW w:w="260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Program</w:t>
            </w:r>
          </w:p>
        </w:tc>
        <w:tc>
          <w:tcPr>
            <w:tcW w:w="260" w:type="dxa"/>
            <w:vAlign w:val="bottom"/>
          </w:tcPr>
          <w:p>
            <w:pPr>
              <w:spacing w:after="0"/>
              <w:rPr>
                <w:sz w:val="18"/>
                <w:szCs w:val="18"/>
                <w:color w:val="auto"/>
              </w:rPr>
            </w:pPr>
          </w:p>
        </w:tc>
        <w:tc>
          <w:tcPr>
            <w:tcW w:w="288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w w:val="99"/>
              </w:rPr>
              <w:t>Purchased Under Program (in millions)</w:t>
            </w:r>
          </w:p>
        </w:tc>
        <w:tc>
          <w:tcPr>
            <w:tcW w:w="100" w:type="dxa"/>
            <w:vAlign w:val="bottom"/>
          </w:tcPr>
          <w:p>
            <w:pPr>
              <w:spacing w:after="0"/>
              <w:rPr>
                <w:sz w:val="18"/>
                <w:szCs w:val="18"/>
                <w:color w:val="auto"/>
              </w:rPr>
            </w:pPr>
          </w:p>
        </w:tc>
      </w:tr>
      <w:tr>
        <w:trPr>
          <w:trHeight w:val="37"/>
        </w:trPr>
        <w:tc>
          <w:tcPr>
            <w:tcW w:w="1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1"/>
        </w:trPr>
        <w:tc>
          <w:tcPr>
            <w:tcW w:w="1580" w:type="dxa"/>
            <w:vAlign w:val="bottom"/>
            <w:shd w:val="clear" w:color="auto" w:fill="CFF0FC"/>
          </w:tcPr>
          <w:p>
            <w:pPr>
              <w:ind w:left="20"/>
              <w:spacing w:after="0" w:line="201" w:lineRule="exact"/>
              <w:rPr>
                <w:sz w:val="20"/>
                <w:szCs w:val="20"/>
                <w:color w:val="auto"/>
              </w:rPr>
            </w:pPr>
            <w:r>
              <w:rPr>
                <w:rFonts w:ascii="Calibri" w:cs="Calibri" w:eastAsia="Calibri" w:hAnsi="Calibri"/>
                <w:sz w:val="18"/>
                <w:szCs w:val="18"/>
                <w:color w:val="auto"/>
              </w:rPr>
              <w:t>September 1-30,</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2"/>
        </w:trPr>
        <w:tc>
          <w:tcPr>
            <w:tcW w:w="1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2022</w:t>
            </w:r>
          </w:p>
        </w:tc>
        <w:tc>
          <w:tcPr>
            <w:tcW w:w="16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397,551</w:t>
            </w:r>
          </w:p>
        </w:tc>
        <w:tc>
          <w:tcPr>
            <w:tcW w:w="5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7.65</w:t>
            </w:r>
          </w:p>
        </w:tc>
        <w:tc>
          <w:tcPr>
            <w:tcW w:w="28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397,551</w:t>
            </w:r>
          </w:p>
        </w:tc>
        <w:tc>
          <w:tcPr>
            <w:tcW w:w="400" w:type="dxa"/>
            <w:vAlign w:val="bottom"/>
            <w:tcBorders>
              <w:bottom w:val="single" w:sz="8" w:color="CFF0FC"/>
            </w:tcBorders>
            <w:gridSpan w:val="2"/>
            <w:shd w:val="clear" w:color="auto" w:fill="CFF0FC"/>
          </w:tcPr>
          <w:p>
            <w:pPr>
              <w:ind w:left="280"/>
              <w:spacing w:after="0" w:line="215" w:lineRule="exact"/>
              <w:rPr>
                <w:sz w:val="20"/>
                <w:szCs w:val="20"/>
                <w:color w:val="auto"/>
              </w:rPr>
            </w:pPr>
            <w:r>
              <w:rPr>
                <w:rFonts w:ascii="Calibri" w:cs="Calibri" w:eastAsia="Calibri" w:hAnsi="Calibri"/>
                <w:sz w:val="18"/>
                <w:szCs w:val="18"/>
                <w:color w:val="auto"/>
              </w:rPr>
              <w:t>$</w:t>
            </w:r>
          </w:p>
        </w:tc>
        <w:tc>
          <w:tcPr>
            <w:tcW w:w="2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1580" w:type="dxa"/>
            <w:vAlign w:val="bottom"/>
          </w:tcPr>
          <w:p>
            <w:pPr>
              <w:ind w:left="20"/>
              <w:spacing w:after="0" w:line="215" w:lineRule="exact"/>
              <w:rPr>
                <w:sz w:val="20"/>
                <w:szCs w:val="20"/>
                <w:color w:val="auto"/>
              </w:rPr>
            </w:pPr>
            <w:r>
              <w:rPr>
                <w:rFonts w:ascii="Calibri" w:cs="Calibri" w:eastAsia="Calibri" w:hAnsi="Calibri"/>
                <w:sz w:val="18"/>
                <w:szCs w:val="18"/>
                <w:color w:val="auto"/>
              </w:rPr>
              <w:t>October 1-31, 2022</w:t>
            </w:r>
          </w:p>
        </w:tc>
        <w:tc>
          <w:tcPr>
            <w:tcW w:w="16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716,857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7.87</w:t>
            </w:r>
          </w:p>
        </w:tc>
        <w:tc>
          <w:tcPr>
            <w:tcW w:w="28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716,857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right"/>
              <w:spacing w:after="0" w:line="215" w:lineRule="exact"/>
              <w:rPr>
                <w:sz w:val="20"/>
                <w:szCs w:val="20"/>
                <w:color w:val="auto"/>
              </w:rPr>
            </w:pPr>
            <w:r>
              <w:rPr>
                <w:rFonts w:ascii="Calibri" w:cs="Calibri" w:eastAsia="Calibri" w:hAnsi="Calibri"/>
                <w:sz w:val="18"/>
                <w:szCs w:val="18"/>
                <w:color w:val="auto"/>
              </w:rPr>
              <w:t>31.3</w:t>
            </w:r>
          </w:p>
        </w:tc>
        <w:tc>
          <w:tcPr>
            <w:tcW w:w="100" w:type="dxa"/>
            <w:vAlign w:val="bottom"/>
          </w:tcPr>
          <w:p>
            <w:pPr>
              <w:spacing w:after="0"/>
              <w:rPr>
                <w:sz w:val="18"/>
                <w:szCs w:val="18"/>
                <w:color w:val="auto"/>
              </w:rPr>
            </w:pPr>
          </w:p>
        </w:tc>
      </w:tr>
      <w:tr>
        <w:trPr>
          <w:trHeight w:val="28"/>
        </w:trPr>
        <w:tc>
          <w:tcPr>
            <w:tcW w:w="15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1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w w:val="96"/>
              </w:rPr>
              <w:t>November 1-30, 2022</w:t>
            </w:r>
          </w:p>
        </w:tc>
        <w:tc>
          <w:tcPr>
            <w:tcW w:w="16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972,578</w:t>
            </w: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7.73</w:t>
            </w:r>
          </w:p>
        </w:tc>
        <w:tc>
          <w:tcPr>
            <w:tcW w:w="28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972,578</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9"/>
        </w:trPr>
        <w:tc>
          <w:tcPr>
            <w:tcW w:w="1580" w:type="dxa"/>
            <w:vAlign w:val="bottom"/>
          </w:tcPr>
          <w:p>
            <w:pPr>
              <w:ind w:left="20"/>
              <w:spacing w:after="0" w:line="215" w:lineRule="exact"/>
              <w:rPr>
                <w:sz w:val="20"/>
                <w:szCs w:val="20"/>
                <w:color w:val="auto"/>
              </w:rPr>
            </w:pPr>
            <w:r>
              <w:rPr>
                <w:rFonts w:ascii="Calibri" w:cs="Calibri" w:eastAsia="Calibri" w:hAnsi="Calibri"/>
                <w:sz w:val="18"/>
                <w:szCs w:val="18"/>
                <w:color w:val="auto"/>
                <w:w w:val="97"/>
              </w:rPr>
              <w:t>December 1-31, 2022</w:t>
            </w:r>
          </w:p>
        </w:tc>
        <w:tc>
          <w:tcPr>
            <w:tcW w:w="16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2,255,491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7.19</w:t>
            </w:r>
          </w:p>
        </w:tc>
        <w:tc>
          <w:tcPr>
            <w:tcW w:w="28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2,255,491</w:t>
            </w:r>
          </w:p>
        </w:tc>
        <w:tc>
          <w:tcPr>
            <w:tcW w:w="400" w:type="dxa"/>
            <w:vAlign w:val="bottom"/>
            <w:gridSpan w:val="2"/>
          </w:tcPr>
          <w:p>
            <w:pPr>
              <w:ind w:left="280"/>
              <w:spacing w:after="0"/>
              <w:rPr>
                <w:sz w:val="20"/>
                <w:szCs w:val="20"/>
                <w:color w:val="auto"/>
              </w:rPr>
            </w:pPr>
            <w:r>
              <w:rPr>
                <w:rFonts w:ascii="Calibri" w:cs="Calibri" w:eastAsia="Calibri" w:hAnsi="Calibri"/>
                <w:sz w:val="18"/>
                <w:szCs w:val="18"/>
                <w:color w:val="auto"/>
              </w:rPr>
              <w:t>$</w:t>
            </w:r>
          </w:p>
        </w:tc>
        <w:tc>
          <w:tcPr>
            <w:tcW w:w="2740" w:type="dxa"/>
            <w:vAlign w:val="bottom"/>
          </w:tcPr>
          <w:p>
            <w:pPr>
              <w:jc w:val="right"/>
              <w:spacing w:after="0"/>
              <w:rPr>
                <w:sz w:val="20"/>
                <w:szCs w:val="20"/>
                <w:color w:val="auto"/>
              </w:rPr>
            </w:pPr>
            <w:r>
              <w:rPr>
                <w:rFonts w:ascii="Calibri" w:cs="Calibri" w:eastAsia="Calibri" w:hAnsi="Calibri"/>
                <w:sz w:val="18"/>
                <w:szCs w:val="18"/>
                <w:color w:val="auto"/>
              </w:rPr>
              <w:t>7.5</w:t>
            </w:r>
          </w:p>
        </w:tc>
        <w:tc>
          <w:tcPr>
            <w:tcW w:w="100" w:type="dxa"/>
            <w:vAlign w:val="bottom"/>
          </w:tcPr>
          <w:p>
            <w:pPr>
              <w:spacing w:after="0"/>
              <w:rPr>
                <w:sz w:val="19"/>
                <w:szCs w:val="19"/>
                <w:color w:val="auto"/>
              </w:rPr>
            </w:pPr>
          </w:p>
        </w:tc>
      </w:tr>
      <w:tr>
        <w:trPr>
          <w:trHeight w:val="23"/>
        </w:trPr>
        <w:tc>
          <w:tcPr>
            <w:tcW w:w="15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28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15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Total</w:t>
            </w:r>
          </w:p>
        </w:tc>
        <w:tc>
          <w:tcPr>
            <w:tcW w:w="1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4,342,477</w:t>
            </w:r>
          </w:p>
        </w:tc>
        <w:tc>
          <w:tcPr>
            <w:tcW w:w="3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7.46</w:t>
            </w:r>
          </w:p>
        </w:tc>
        <w:tc>
          <w:tcPr>
            <w:tcW w:w="200" w:type="dxa"/>
            <w:vAlign w:val="bottom"/>
            <w:tcBorders>
              <w:bottom w:val="single" w:sz="8" w:color="CFF0FC"/>
            </w:tcBorders>
            <w:shd w:val="clear" w:color="auto" w:fill="CFF0FC"/>
          </w:tcPr>
          <w:p>
            <w:pPr>
              <w:spacing w:after="0"/>
              <w:rPr>
                <w:sz w:val="24"/>
                <w:szCs w:val="24"/>
                <w:color w:val="auto"/>
              </w:rPr>
            </w:pPr>
          </w:p>
        </w:tc>
        <w:tc>
          <w:tcPr>
            <w:tcW w:w="26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4,342,477</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7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-25400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18"/>
          <w:szCs w:val="18"/>
          <w:color w:val="auto"/>
        </w:rPr>
        <w:t>(1)</w:t>
      </w:r>
      <w:r>
        <w:rPr>
          <w:sz w:val="20"/>
          <w:szCs w:val="20"/>
          <w:color w:val="auto"/>
        </w:rPr>
        <w:tab/>
      </w:r>
      <w:r>
        <w:rPr>
          <w:rFonts w:ascii="Calibri" w:cs="Calibri" w:eastAsia="Calibri" w:hAnsi="Calibri"/>
          <w:sz w:val="17"/>
          <w:szCs w:val="17"/>
          <w:color w:val="auto"/>
        </w:rPr>
        <w:t>The weighted average price paid per share does not include the cost of commissions.</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Stock Performance Graph</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graph depicts the total return to stockholders from the closing price on October 19, 2021 (the date our Class A common stock began trading on Nasdaq) through December 31, 2022, relatve to the performance of Nasdaq Composite and the Russell 2000 Technology Index. The graph assumes $100 invested at the closing price on October 19, 2021 in each of our Class A common stock, the Nasdaq Composite and the Russell 2000 Technology Index, and dividends reinvested in the security or index. The comparisons refected in the graph are not intended to forecast the future performance of our stock and may not be indicatve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111125</wp:posOffset>
            </wp:positionV>
            <wp:extent cx="3943350" cy="3025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94335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1" w:name="page42"/>
    <w:bookmarkEnd w:id="41"/>
    <w:p>
      <w:pPr>
        <w:jc w:val="center"/>
        <w:spacing w:after="0"/>
        <w:rPr>
          <w:sz w:val="20"/>
          <w:szCs w:val="20"/>
          <w:color w:val="auto"/>
        </w:rPr>
      </w:pPr>
      <w:r>
        <w:rPr>
          <w:rFonts w:ascii="Calibri" w:cs="Calibri" w:eastAsia="Calibri" w:hAnsi="Calibri"/>
          <w:sz w:val="17"/>
          <w:szCs w:val="17"/>
          <w:b w:val="1"/>
          <w:bCs w:val="1"/>
          <w:color w:val="auto"/>
        </w:rPr>
        <w:t>Item 6. [Reserved]</w:t>
      </w:r>
    </w:p>
    <w:p>
      <w:pPr>
        <w:sectPr>
          <w:pgSz w:w="11900" w:h="16838" w:orient="portrait"/>
          <w:cols w:equalWidth="0" w:num="1">
            <w:col w:w="9019"/>
          </w:cols>
          <w:pgMar w:left="1440" w:top="698"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75565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98" w:right="1440" w:bottom="1440" w:gutter="0" w:footer="0" w:header="0"/>
          <w:type w:val="continuous"/>
        </w:sectPr>
      </w:pPr>
    </w:p>
    <w:bookmarkStart w:id="42" w:name="page43"/>
    <w:bookmarkEnd w:id="42"/>
    <w:p>
      <w:pPr>
        <w:jc w:val="center"/>
        <w:spacing w:after="0"/>
        <w:rPr>
          <w:sz w:val="20"/>
          <w:szCs w:val="20"/>
          <w:color w:val="auto"/>
        </w:rPr>
      </w:pPr>
      <w:r>
        <w:rPr>
          <w:rFonts w:ascii="Calibri" w:cs="Calibri" w:eastAsia="Calibri" w:hAnsi="Calibri"/>
          <w:sz w:val="18"/>
          <w:szCs w:val="18"/>
          <w:b w:val="1"/>
          <w:bCs w:val="1"/>
          <w:color w:val="auto"/>
        </w:rPr>
        <w:t>Item 7. Management's Discussion and Analysis of Financial Conditon and Results of Operatons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Our discussion and analysis is intended to help the reader understand our results of operatons and fnancial conditon and is provided as an additon to, and should be read in connecton with, our audited consolidated fnancial statements and the accompanying notes included elsewhere in this Annual Report on Form 10-K. This discussion contains forward-looking statements based upon current expectatons that involve risks and uncertaintes. Our actual results may difer materially from those antcipated in these forward-looking statements as a result of various factors, including those set forth under the secton ttled "Forward-Looking Statements," "Risk Factors" or in other parts in this Annual Report on Form 10-K. Our historical results are not necessarily indicatve of the results that may be expected for any period in the future.</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an online tcket marketplace that utlizes our technology platorm to connect fans of live events seamlessly with tcket sellers. Our mission is to empower and enable fans to Experience It Live. We believe in the power of shared experiences to connect people with live events delivering some of life’s most excitng moments. We operate a technology platorm and marketplace that enables tcket buyers to easily discover and purchase tckets from tcket sellers while enabling tcket sellers to seamlessly manage their operatons. We diferentate from compettors by ofering an extensive breadth and depth of tcket listngs at a compettve value. During the years ended December 31, 2022, 2021, and 2020, our revenues were $600.3 million, $443.0 million, and $35.1 million, respectvely, and Marketplace Gross Order Value ("Marketplace GOV") was $3,184.8 million, $2,399.1 million, and $347.3 million, respectvely. Our net income was $70.8 million for the year ended December 31, 2022. Our net loss was $19.1 million and $774.2 million for the years ended December 31, 2021 and 2020, respectvely.</w:t>
      </w:r>
    </w:p>
    <w:p>
      <w:pPr>
        <w:spacing w:after="0" w:line="1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Business Model</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We operate our business in two segments, Marketplace and Resale.</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act as an intermediary between tcket buyers and sellers through which we earn revenue from processing tcket sales on our website and mobile applicatons and sales initated through our numerous distributon partners. Our Marketplace segment also includes our daily fantasy sports ofering, where users partake in contests by making picks from a variety of sport and player matchups. Using our online platorm, we facilitate customer payments, deposits and withdrawals, coordinate tcket deliveries, and provide customer service to our tcket buyers and sellers and daily fantasy sports users. We do not hold tcket inventory in our Marketplace segment.</w:t>
      </w:r>
    </w:p>
    <w:p>
      <w:pPr>
        <w:spacing w:after="0" w:line="15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We primarily earn revenue from service and delivery fees charged to tcket buyers. We also earn referral fee revenue by ofering event tcket insurance to tcket buyers, using a third-party insurance provider. The revenue we earn from our daily fantasy sports ofering is the diference between cash entry fees collected and cash amounts paid out to users for winning picks, less customer promotons and incentves in a period.</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incur costs for developing and maintaining our platorm, providing back-ofce and customer support to tcket buyers, sellers and daily fantasy sports users, facilitatng payments and deposits, and shipping non-electronic tckets. We also incur substantal marketng costs, primarily related to online advertsing.</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key component of our platorm is Skybox, a proprietary ERP tool used by the majority of our tcket sellers. Skybox is a free-to-use system that helps tcket sellers manage tcket inventories, adjust pricing, and fulfll orders across multple tcket resale marketplaces. Professional tcket sellers use an ERP to manage their operatons and Skybox is their most widely adopted ERP.</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Resale segment, we acquire tckets to resell on secondary tcketng marketplaces, including our own. Our Resale segment also provides internal research and development support for Skybox and our ongoing eforts to deliver industry-leading seller sofware and tools.</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b w:val="1"/>
          <w:bCs w:val="1"/>
          <w:color w:val="auto"/>
        </w:rPr>
        <w:t>Key Business Metrics and Non-GAAP Financial Measures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use the following metrics to evaluate our performance, identfy trends, formulate fnancial projectons, and make strategic decisions. We believe that these metrics provide useful informaton to investors and others in understanding and evaluatng our results of operatons in the same manner as our management team.</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key business metrics and non-GAAP fnancial measure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ind w:right="730"/>
              <w:spacing w:after="0"/>
              <w:rPr>
                <w:sz w:val="20"/>
                <w:szCs w:val="20"/>
                <w:color w:val="auto"/>
              </w:rPr>
            </w:pPr>
            <w:r>
              <w:rPr>
                <w:rFonts w:ascii="Calibri" w:cs="Calibri" w:eastAsia="Calibri" w:hAnsi="Calibri"/>
                <w:sz w:val="18"/>
                <w:szCs w:val="18"/>
                <w:b w:val="1"/>
                <w:bCs w:val="1"/>
                <w:color w:val="auto"/>
              </w:rPr>
              <w:t>2021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ind w:right="730"/>
              <w:spacing w:after="0"/>
              <w:rPr>
                <w:sz w:val="20"/>
                <w:szCs w:val="20"/>
                <w:color w:val="auto"/>
              </w:rPr>
            </w:pPr>
            <w:r>
              <w:rPr>
                <w:rFonts w:ascii="Calibri" w:cs="Calibri" w:eastAsia="Calibri" w:hAnsi="Calibri"/>
                <w:sz w:val="18"/>
                <w:szCs w:val="18"/>
                <w:b w:val="1"/>
                <w:bCs w:val="1"/>
                <w:color w:val="auto"/>
              </w:rPr>
              <w:t>2020</w:t>
            </w:r>
          </w:p>
        </w:tc>
      </w:tr>
      <w:tr>
        <w:trPr>
          <w:trHeight w:val="37"/>
        </w:trPr>
        <w:tc>
          <w:tcPr>
            <w:tcW w:w="51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7"/>
        </w:trPr>
        <w:tc>
          <w:tcPr>
            <w:tcW w:w="5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r>
      <w:tr>
        <w:trPr>
          <w:trHeight w:val="243"/>
        </w:trPr>
        <w:tc>
          <w:tcPr>
            <w:tcW w:w="512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Marketplace GOV</w:t>
            </w:r>
            <w:r>
              <w:rPr>
                <w:rFonts w:ascii="Calibri" w:cs="Calibri" w:eastAsia="Calibri" w:hAnsi="Calibri"/>
                <w:sz w:val="24"/>
                <w:szCs w:val="24"/>
                <w:color w:val="auto"/>
                <w:vertAlign w:val="superscript"/>
              </w:rPr>
              <w:t>(1)</w:t>
            </w:r>
          </w:p>
        </w:tc>
        <w:tc>
          <w:tcPr>
            <w:tcW w:w="1080" w:type="dxa"/>
            <w:vAlign w:val="bottom"/>
            <w:shd w:val="clear" w:color="auto" w:fill="CFF0FC"/>
          </w:tcPr>
          <w:p>
            <w:pPr>
              <w:jc w:val="right"/>
              <w:ind w:right="89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93"/>
              </w:rPr>
              <w:t>3,184,754</w:t>
            </w:r>
          </w:p>
        </w:tc>
        <w:tc>
          <w:tcPr>
            <w:tcW w:w="640" w:type="dxa"/>
            <w:vAlign w:val="bottom"/>
            <w:gridSpan w:val="2"/>
            <w:shd w:val="clear" w:color="auto" w:fill="CFF0FC"/>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2,399,092</w:t>
            </w:r>
          </w:p>
        </w:tc>
        <w:tc>
          <w:tcPr>
            <w:tcW w:w="620" w:type="dxa"/>
            <w:vAlign w:val="bottom"/>
            <w:gridSpan w:val="2"/>
            <w:shd w:val="clear" w:color="auto" w:fill="CFF0FC"/>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347,259</w:t>
            </w:r>
          </w:p>
        </w:tc>
      </w:tr>
      <w:tr>
        <w:trPr>
          <w:trHeight w:val="243"/>
        </w:trPr>
        <w:tc>
          <w:tcPr>
            <w:tcW w:w="5120" w:type="dxa"/>
            <w:vAlign w:val="bottom"/>
          </w:tcPr>
          <w:p>
            <w:pPr>
              <w:ind w:left="20"/>
              <w:spacing w:after="0" w:line="243" w:lineRule="exact"/>
              <w:rPr>
                <w:sz w:val="20"/>
                <w:szCs w:val="20"/>
                <w:color w:val="auto"/>
              </w:rPr>
            </w:pPr>
            <w:r>
              <w:rPr>
                <w:rFonts w:ascii="Calibri" w:cs="Calibri" w:eastAsia="Calibri" w:hAnsi="Calibri"/>
                <w:sz w:val="18"/>
                <w:szCs w:val="18"/>
                <w:color w:val="auto"/>
              </w:rPr>
              <w:t>Total Marketplace orders</w:t>
            </w:r>
            <w:r>
              <w:rPr>
                <w:rFonts w:ascii="Calibri" w:cs="Calibri" w:eastAsia="Calibri" w:hAnsi="Calibri"/>
                <w:sz w:val="24"/>
                <w:szCs w:val="24"/>
                <w:color w:val="auto"/>
                <w:vertAlign w:val="superscript"/>
              </w:rPr>
              <w:t>(2)</w:t>
            </w:r>
          </w:p>
        </w:tc>
        <w:tc>
          <w:tcPr>
            <w:tcW w:w="1080" w:type="dxa"/>
            <w:vAlign w:val="bottom"/>
          </w:tcPr>
          <w:p>
            <w:pPr>
              <w:spacing w:after="0"/>
              <w:rPr>
                <w:sz w:val="21"/>
                <w:szCs w:val="21"/>
                <w:color w:val="auto"/>
              </w:rPr>
            </w:pPr>
          </w:p>
        </w:tc>
        <w:tc>
          <w:tcPr>
            <w:tcW w:w="8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9,183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6,637</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1,066</w:t>
            </w:r>
          </w:p>
        </w:tc>
      </w:tr>
      <w:tr>
        <w:trPr>
          <w:trHeight w:val="243"/>
        </w:trPr>
        <w:tc>
          <w:tcPr>
            <w:tcW w:w="512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Total Resale orders</w:t>
            </w:r>
            <w:r>
              <w:rPr>
                <w:rFonts w:ascii="Calibri" w:cs="Calibri" w:eastAsia="Calibri" w:hAnsi="Calibri"/>
                <w:sz w:val="24"/>
                <w:szCs w:val="24"/>
                <w:color w:val="auto"/>
                <w:vertAlign w:val="superscript"/>
              </w:rPr>
              <w:t>(3)</w:t>
            </w:r>
          </w:p>
        </w:tc>
        <w:tc>
          <w:tcPr>
            <w:tcW w:w="10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313</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199</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49</w:t>
            </w:r>
          </w:p>
        </w:tc>
      </w:tr>
      <w:tr>
        <w:trPr>
          <w:trHeight w:val="280"/>
        </w:trPr>
        <w:tc>
          <w:tcPr>
            <w:tcW w:w="5120" w:type="dxa"/>
            <w:vAlign w:val="bottom"/>
          </w:tcPr>
          <w:p>
            <w:pPr>
              <w:ind w:left="20"/>
              <w:spacing w:after="0" w:line="280" w:lineRule="exact"/>
              <w:rPr>
                <w:sz w:val="20"/>
                <w:szCs w:val="20"/>
                <w:color w:val="auto"/>
              </w:rPr>
            </w:pPr>
            <w:r>
              <w:rPr>
                <w:rFonts w:ascii="Calibri" w:cs="Calibri" w:eastAsia="Calibri" w:hAnsi="Calibri"/>
                <w:sz w:val="18"/>
                <w:szCs w:val="18"/>
                <w:color w:val="auto"/>
              </w:rPr>
              <w:t>Adjusted EBITDA</w:t>
            </w:r>
            <w:r>
              <w:rPr>
                <w:rFonts w:ascii="Calibri" w:cs="Calibri" w:eastAsia="Calibri" w:hAnsi="Calibri"/>
                <w:sz w:val="24"/>
                <w:szCs w:val="24"/>
                <w:color w:val="auto"/>
                <w:vertAlign w:val="superscript"/>
              </w:rPr>
              <w:t>(4)</w:t>
            </w:r>
          </w:p>
        </w:tc>
        <w:tc>
          <w:tcPr>
            <w:tcW w:w="1080" w:type="dxa"/>
            <w:vAlign w:val="bottom"/>
          </w:tcPr>
          <w:p>
            <w:pPr>
              <w:jc w:val="right"/>
              <w:ind w:right="89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113,325</w:t>
            </w:r>
          </w:p>
        </w:tc>
        <w:tc>
          <w:tcPr>
            <w:tcW w:w="64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109,869</w:t>
            </w:r>
          </w:p>
        </w:tc>
        <w:tc>
          <w:tcPr>
            <w:tcW w:w="62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(80,204 )</w:t>
            </w:r>
          </w:p>
        </w:tc>
      </w:tr>
    </w:tbl>
    <w:p>
      <w:pPr>
        <w:spacing w:after="0" w:line="305" w:lineRule="exact"/>
        <w:rPr>
          <w:sz w:val="20"/>
          <w:szCs w:val="20"/>
          <w:color w:val="auto"/>
        </w:rPr>
      </w:pPr>
    </w:p>
    <w:p>
      <w:pPr>
        <w:jc w:val="both"/>
        <w:ind w:left="380" w:hanging="372"/>
        <w:spacing w:after="0" w:line="235" w:lineRule="auto"/>
        <w:tabs>
          <w:tab w:leader="none" w:pos="3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Marketplace GOV represents the total transactonal amount of Marketplace segment orders placed on our platorm in a period, inclusive of fees, exclusive of taxes, and net of event cancellatons that occurred during that period. During the year ended December 31, 2022, Marketplace GOV was negatvely impacted by event cancellatons in the amount of $80.3 million, compared to $108.0 million and $216.0 million during the years ended December 31, 2021 and 2020.</w:t>
      </w:r>
    </w:p>
    <w:p>
      <w:pPr>
        <w:spacing w:after="0" w:line="138"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Total Marketplace orders represents the volume of Marketplace segment orders placed on our platorm during a period, net of event cancellatons that occurred during that period. During the year ended December 31, 2022, our Marketplace segment experienced 199,595 event cancellatons, compared to 257,109 and 549,085 event cancellatons during the years ended December 31, 2021 and 2020.</w:t>
      </w:r>
    </w:p>
    <w:p>
      <w:pPr>
        <w:spacing w:after="0" w:line="151"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Total Resale orders represents the volume of Resale segment orders in a period, net of event cancellatons that occurred during that period. During the year ended December 31, 2022, our Resale segment experienced 5,205 event cancellatons, compared to 6,165 and 20,644 event cancellatons during the years ended December 31, 2021 and 2020.</w:t>
      </w:r>
    </w:p>
    <w:p>
      <w:pPr>
        <w:spacing w:after="0" w:line="151"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 xml:space="preserve">Adjusted EBITDA is not a measure defned under accountng principles generally accepted in the United States of America ("GAAP"). We believe Adjusted EBITDA provides useful informaton to investors and others in understanding and evaluatng our results of operatons, as well as provides a useful measure for period-to-period comparisons of our business performance. Refer to the </w:t>
      </w:r>
      <w:r>
        <w:rPr>
          <w:rFonts w:ascii="Calibri" w:cs="Calibri" w:eastAsia="Calibri" w:hAnsi="Calibri"/>
          <w:sz w:val="18"/>
          <w:szCs w:val="18"/>
          <w:i w:val="1"/>
          <w:iCs w:val="1"/>
          <w:color w:val="auto"/>
        </w:rPr>
        <w:t>Adjusted EBITDA</w:t>
      </w:r>
      <w:r>
        <w:rPr>
          <w:rFonts w:ascii="Calibri" w:cs="Calibri" w:eastAsia="Calibri" w:hAnsi="Calibri"/>
          <w:sz w:val="18"/>
          <w:szCs w:val="18"/>
          <w:color w:val="auto"/>
        </w:rPr>
        <w:t xml:space="preserve"> secton below for a reconciliaton to its most directly comparable GAAP measure.</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 GOV</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GOV is a key driver of our Marketplace segment revenue. Marketplace GOV represents the total transactonal amount of Marketplace orders in a period, inclusive of fees, exclusive of taxes, and net of event cancellatons that occurred during that period. Marketplace GOV refects our ability to atract and retain customers, as well as the overall health of the industry.</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Marketplace GOV is impacted by seasonality, and typically sees increased actvity in the fourth quarter when all major sports leagues are in season and we experience increases in order volume for theater during the holiday season and concert on-sales for the subsequent year. Quarterly fuctuatons in our Marketplace GOV result from the number of cancellatons, the popularity and demand of performers, tours, teams, and events, and the length and team compositon of sports playof series and championship games.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Marketplace GOV increased during the year ended December 31, 2022 as a result of a higher number of orders processed, driven by the resumpton and increasing number of live events and fewer event cancellatons.</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4" w:name="page45"/>
    <w:bookmarkEnd w:id="44"/>
    <w:p>
      <w:pPr>
        <w:spacing w:after="0"/>
        <w:rPr>
          <w:sz w:val="20"/>
          <w:szCs w:val="20"/>
          <w:color w:val="auto"/>
        </w:rPr>
      </w:pPr>
      <w:r>
        <w:rPr>
          <w:rFonts w:ascii="Calibri" w:cs="Calibri" w:eastAsia="Calibri" w:hAnsi="Calibri"/>
          <w:sz w:val="18"/>
          <w:szCs w:val="18"/>
          <w:i w:val="1"/>
          <w:iCs w:val="1"/>
          <w:color w:val="auto"/>
        </w:rPr>
        <w:t>Total Marketplace Orders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Marketplace orders represents the volume of Marketplace segment orders placed on our platorm in a period, net of event cancellatons. An order can include one or more tckets and/or parking passes. Total Marketplace orders allow us to monitor order volume and beter identfy trends within our Marketplace segment. Total Marketplace orders increased during the year ended December 31, 2022 as a result of a higher number of orders processed, driven by the resumpton and increasing number of live events and fewer event cancellatons.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Resale Orders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Resale orders represents the volume of Resale segment orders sold in a period, net of event cancellatons. An order can include one or more tckets and/or parking passes. Total Resale orders allow us to monitor order volume and beter identfy trends within our Resale segment.</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Adjusted EBITDA</w:t>
      </w:r>
    </w:p>
    <w:p>
      <w:pPr>
        <w:spacing w:after="0" w:line="150"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present Adjusted EBITDA, which is a non-GAAP measure, because it is a measure frequently used by analysts, investors, and other interested partes to evaluate companies in our industry. Further, we believe this measure is helpful in highlightng trends in our operatng results because it excludes the impact of items that are outside the control of management or not refectve of ongoing performance related directly to the operaton of our business segments.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EBITDA is a key measurement used by our management internally to make operatng decisions, including those related to analyzing operatng expenses, evaluatng performance, and performing strategic planning and annual budgetng. Moreover, we believe Adjusted EBITDA provides useful informaton to investors and others in understanding and evaluatng our results of operatons. It also provides a useful measure for period-to-period comparisons of our business performance and highlights trends in our operatng results.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is a reconciliaton of Adjusted EBITDA to its most directly comparable GAAP measure, net income (loss)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0"/>
              <w:spacing w:after="0"/>
              <w:rPr>
                <w:sz w:val="20"/>
                <w:szCs w:val="20"/>
                <w:color w:val="auto"/>
              </w:rPr>
            </w:pPr>
            <w:r>
              <w:rPr>
                <w:rFonts w:ascii="Calibri" w:cs="Calibri" w:eastAsia="Calibri" w:hAnsi="Calibri"/>
                <w:sz w:val="18"/>
                <w:szCs w:val="18"/>
                <w:b w:val="1"/>
                <w:bCs w:val="1"/>
                <w:color w:val="auto"/>
              </w:rPr>
              <w:t>2021</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Calibri" w:cs="Calibri" w:eastAsia="Calibri" w:hAnsi="Calibri"/>
                <w:sz w:val="18"/>
                <w:szCs w:val="18"/>
                <w:b w:val="1"/>
                <w:bCs w:val="1"/>
                <w:color w:val="auto"/>
              </w:rPr>
              <w:t>2020</w:t>
            </w:r>
          </w:p>
        </w:tc>
        <w:tc>
          <w:tcPr>
            <w:tcW w:w="100" w:type="dxa"/>
            <w:vAlign w:val="bottom"/>
          </w:tcPr>
          <w:p>
            <w:pPr>
              <w:spacing w:after="0"/>
              <w:rPr>
                <w:sz w:val="19"/>
                <w:szCs w:val="19"/>
                <w:color w:val="auto"/>
              </w:rPr>
            </w:pPr>
          </w:p>
        </w:tc>
      </w:tr>
      <w:tr>
        <w:trPr>
          <w:trHeight w:val="37"/>
        </w:trPr>
        <w:tc>
          <w:tcPr>
            <w:tcW w:w="54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5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r>
      <w:tr>
        <w:trPr>
          <w:trHeight w:val="223"/>
        </w:trPr>
        <w:tc>
          <w:tcPr>
            <w:tcW w:w="54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1080" w:type="dxa"/>
            <w:vAlign w:val="bottom"/>
            <w:tcBorders>
              <w:bottom w:val="single" w:sz="8" w:color="CFF0FC"/>
            </w:tcBorders>
            <w:shd w:val="clear" w:color="auto" w:fill="CFF0FC"/>
          </w:tcPr>
          <w:p>
            <w:pPr>
              <w:jc w:val="right"/>
              <w:ind w:right="89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70,779</w:t>
            </w:r>
          </w:p>
        </w:tc>
        <w:tc>
          <w:tcPr>
            <w:tcW w:w="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62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(19,129 )</w:t>
            </w:r>
          </w:p>
        </w:tc>
        <w:tc>
          <w:tcPr>
            <w:tcW w:w="380" w:type="dxa"/>
            <w:vAlign w:val="bottom"/>
            <w:tcBorders>
              <w:bottom w:val="single" w:sz="8" w:color="CFF0FC"/>
            </w:tcBorders>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(774,185 )</w:t>
            </w:r>
          </w:p>
        </w:tc>
      </w:tr>
      <w:tr>
        <w:trPr>
          <w:trHeight w:val="215"/>
        </w:trPr>
        <w:tc>
          <w:tcPr>
            <w:tcW w:w="5400" w:type="dxa"/>
            <w:vAlign w:val="bottom"/>
          </w:tcPr>
          <w:p>
            <w:pPr>
              <w:ind w:left="120"/>
              <w:spacing w:after="0" w:line="215" w:lineRule="exact"/>
              <w:rPr>
                <w:sz w:val="20"/>
                <w:szCs w:val="20"/>
                <w:color w:val="auto"/>
              </w:rPr>
            </w:pPr>
            <w:r>
              <w:rPr>
                <w:rFonts w:ascii="Calibri" w:cs="Calibri" w:eastAsia="Calibri" w:hAnsi="Calibri"/>
                <w:sz w:val="18"/>
                <w:szCs w:val="18"/>
                <w:color w:val="auto"/>
              </w:rPr>
              <w:t>Income tax expense (beneft)</w:t>
            </w:r>
          </w:p>
        </w:tc>
        <w:tc>
          <w:tcPr>
            <w:tcW w:w="1080" w:type="dxa"/>
            <w:vAlign w:val="bottom"/>
          </w:tcPr>
          <w:p>
            <w:pPr>
              <w:spacing w:after="0"/>
              <w:rPr>
                <w:sz w:val="18"/>
                <w:szCs w:val="18"/>
                <w:color w:val="auto"/>
              </w:rPr>
            </w:pPr>
          </w:p>
        </w:tc>
        <w:tc>
          <w:tcPr>
            <w:tcW w:w="96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(1,590 )</w:t>
            </w:r>
          </w:p>
        </w:tc>
        <w:tc>
          <w:tcPr>
            <w:tcW w:w="3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304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4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Interest expense – net</w:t>
            </w:r>
          </w:p>
        </w:tc>
        <w:tc>
          <w:tcPr>
            <w:tcW w:w="10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12,858</w:t>
            </w:r>
          </w:p>
        </w:tc>
        <w:tc>
          <w:tcPr>
            <w:tcW w:w="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58,179</w:t>
            </w:r>
          </w:p>
        </w:tc>
        <w:tc>
          <w:tcPr>
            <w:tcW w:w="3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57,482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40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108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7,732</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2,322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48,247</w:t>
            </w:r>
          </w:p>
        </w:tc>
        <w:tc>
          <w:tcPr>
            <w:tcW w:w="10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400" w:type="dxa"/>
            <w:vAlign w:val="bottom"/>
            <w:shd w:val="clear" w:color="auto" w:fill="CFF0FC"/>
          </w:tcPr>
          <w:p>
            <w:pPr>
              <w:ind w:left="120"/>
              <w:spacing w:after="0" w:line="243" w:lineRule="exact"/>
              <w:rPr>
                <w:sz w:val="20"/>
                <w:szCs w:val="20"/>
                <w:color w:val="auto"/>
              </w:rPr>
            </w:pPr>
            <w:r>
              <w:rPr>
                <w:rFonts w:ascii="Calibri" w:cs="Calibri" w:eastAsia="Calibri" w:hAnsi="Calibri"/>
                <w:sz w:val="18"/>
                <w:szCs w:val="18"/>
                <w:color w:val="auto"/>
              </w:rPr>
              <w:t>Sales tax liability</w:t>
            </w:r>
            <w:r>
              <w:rPr>
                <w:rFonts w:ascii="Calibri" w:cs="Calibri" w:eastAsia="Calibri" w:hAnsi="Calibri"/>
                <w:sz w:val="24"/>
                <w:szCs w:val="24"/>
                <w:color w:val="auto"/>
                <w:vertAlign w:val="superscript"/>
              </w:rPr>
              <w:t>(1)</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2,814</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8,956</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6,772</w:t>
            </w:r>
          </w:p>
        </w:tc>
        <w:tc>
          <w:tcPr>
            <w:tcW w:w="100" w:type="dxa"/>
            <w:vAlign w:val="bottom"/>
            <w:shd w:val="clear" w:color="auto" w:fill="CFF0FC"/>
          </w:tcPr>
          <w:p>
            <w:pPr>
              <w:spacing w:after="0"/>
              <w:rPr>
                <w:sz w:val="21"/>
                <w:szCs w:val="21"/>
                <w:color w:val="auto"/>
              </w:rPr>
            </w:pPr>
          </w:p>
        </w:tc>
      </w:tr>
      <w:tr>
        <w:trPr>
          <w:trHeight w:val="243"/>
        </w:trPr>
        <w:tc>
          <w:tcPr>
            <w:tcW w:w="5400" w:type="dxa"/>
            <w:vAlign w:val="bottom"/>
          </w:tcPr>
          <w:p>
            <w:pPr>
              <w:ind w:left="120"/>
              <w:spacing w:after="0" w:line="243" w:lineRule="exact"/>
              <w:rPr>
                <w:sz w:val="20"/>
                <w:szCs w:val="20"/>
                <w:color w:val="auto"/>
              </w:rPr>
            </w:pPr>
            <w:r>
              <w:rPr>
                <w:rFonts w:ascii="Calibri" w:cs="Calibri" w:eastAsia="Calibri" w:hAnsi="Calibri"/>
                <w:sz w:val="18"/>
                <w:szCs w:val="18"/>
                <w:color w:val="auto"/>
              </w:rPr>
              <w:t>Transacton costs</w:t>
            </w:r>
            <w:r>
              <w:rPr>
                <w:rFonts w:ascii="Calibri" w:cs="Calibri" w:eastAsia="Calibri" w:hAnsi="Calibri"/>
                <w:sz w:val="24"/>
                <w:szCs w:val="24"/>
                <w:color w:val="auto"/>
                <w:vertAlign w:val="superscript"/>
              </w:rPr>
              <w:t>(2)</w:t>
            </w:r>
          </w:p>
        </w:tc>
        <w:tc>
          <w:tcPr>
            <w:tcW w:w="1080" w:type="dxa"/>
            <w:vAlign w:val="bottom"/>
          </w:tcPr>
          <w:p>
            <w:pPr>
              <w:spacing w:after="0"/>
              <w:rPr>
                <w:sz w:val="21"/>
                <w:szCs w:val="21"/>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4,840</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12,852</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359</w:t>
            </w:r>
          </w:p>
        </w:tc>
        <w:tc>
          <w:tcPr>
            <w:tcW w:w="100" w:type="dxa"/>
            <w:vAlign w:val="bottom"/>
          </w:tcPr>
          <w:p>
            <w:pPr>
              <w:spacing w:after="0"/>
              <w:rPr>
                <w:sz w:val="21"/>
                <w:szCs w:val="21"/>
                <w:color w:val="auto"/>
              </w:rPr>
            </w:pPr>
          </w:p>
        </w:tc>
      </w:tr>
      <w:tr>
        <w:trPr>
          <w:trHeight w:val="243"/>
        </w:trPr>
        <w:tc>
          <w:tcPr>
            <w:tcW w:w="5400" w:type="dxa"/>
            <w:vAlign w:val="bottom"/>
            <w:shd w:val="clear" w:color="auto" w:fill="CFF0FC"/>
          </w:tcPr>
          <w:p>
            <w:pPr>
              <w:ind w:left="120"/>
              <w:spacing w:after="0" w:line="243" w:lineRule="exact"/>
              <w:rPr>
                <w:sz w:val="20"/>
                <w:szCs w:val="20"/>
                <w:color w:val="auto"/>
              </w:rPr>
            </w:pPr>
            <w:r>
              <w:rPr>
                <w:rFonts w:ascii="Calibri" w:cs="Calibri" w:eastAsia="Calibri" w:hAnsi="Calibri"/>
                <w:sz w:val="18"/>
                <w:szCs w:val="18"/>
                <w:color w:val="auto"/>
              </w:rPr>
              <w:t>Equity-based compensaton</w:t>
            </w:r>
            <w:r>
              <w:rPr>
                <w:rFonts w:ascii="Calibri" w:cs="Calibri" w:eastAsia="Calibri" w:hAnsi="Calibri"/>
                <w:sz w:val="24"/>
                <w:szCs w:val="24"/>
                <w:color w:val="auto"/>
                <w:vertAlign w:val="superscript"/>
              </w:rPr>
              <w:t>(3)</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19,053</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6,047</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4,287</w:t>
            </w:r>
          </w:p>
        </w:tc>
        <w:tc>
          <w:tcPr>
            <w:tcW w:w="100" w:type="dxa"/>
            <w:vAlign w:val="bottom"/>
            <w:shd w:val="clear" w:color="auto" w:fill="CFF0FC"/>
          </w:tcPr>
          <w:p>
            <w:pPr>
              <w:spacing w:after="0"/>
              <w:rPr>
                <w:sz w:val="21"/>
                <w:szCs w:val="21"/>
                <w:color w:val="auto"/>
              </w:rPr>
            </w:pPr>
          </w:p>
        </w:tc>
      </w:tr>
      <w:tr>
        <w:trPr>
          <w:trHeight w:val="243"/>
        </w:trPr>
        <w:tc>
          <w:tcPr>
            <w:tcW w:w="5400" w:type="dxa"/>
            <w:vAlign w:val="bottom"/>
          </w:tcPr>
          <w:p>
            <w:pPr>
              <w:ind w:left="120"/>
              <w:spacing w:after="0" w:line="243" w:lineRule="exact"/>
              <w:rPr>
                <w:sz w:val="20"/>
                <w:szCs w:val="20"/>
                <w:color w:val="auto"/>
              </w:rPr>
            </w:pPr>
            <w:r>
              <w:rPr>
                <w:rFonts w:ascii="Calibri" w:cs="Calibri" w:eastAsia="Calibri" w:hAnsi="Calibri"/>
                <w:sz w:val="18"/>
                <w:szCs w:val="18"/>
                <w:color w:val="auto"/>
              </w:rPr>
              <w:t>Loss on extnguishment of debt</w:t>
            </w:r>
            <w:r>
              <w:rPr>
                <w:rFonts w:ascii="Calibri" w:cs="Calibri" w:eastAsia="Calibri" w:hAnsi="Calibri"/>
                <w:sz w:val="24"/>
                <w:szCs w:val="24"/>
                <w:color w:val="auto"/>
                <w:vertAlign w:val="superscript"/>
              </w:rPr>
              <w:t>(4)</w:t>
            </w:r>
          </w:p>
        </w:tc>
        <w:tc>
          <w:tcPr>
            <w:tcW w:w="1080" w:type="dxa"/>
            <w:vAlign w:val="bottom"/>
          </w:tcPr>
          <w:p>
            <w:pPr>
              <w:spacing w:after="0"/>
              <w:rPr>
                <w:sz w:val="21"/>
                <w:szCs w:val="21"/>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4,285</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35,828</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685</w:t>
            </w:r>
          </w:p>
        </w:tc>
        <w:tc>
          <w:tcPr>
            <w:tcW w:w="100" w:type="dxa"/>
            <w:vAlign w:val="bottom"/>
          </w:tcPr>
          <w:p>
            <w:pPr>
              <w:spacing w:after="0"/>
              <w:rPr>
                <w:sz w:val="21"/>
                <w:szCs w:val="21"/>
                <w:color w:val="auto"/>
              </w:rPr>
            </w:pPr>
          </w:p>
        </w:tc>
      </w:tr>
      <w:tr>
        <w:trPr>
          <w:trHeight w:val="243"/>
        </w:trPr>
        <w:tc>
          <w:tcPr>
            <w:tcW w:w="5400" w:type="dxa"/>
            <w:vAlign w:val="bottom"/>
            <w:shd w:val="clear" w:color="auto" w:fill="CFF0FC"/>
          </w:tcPr>
          <w:p>
            <w:pPr>
              <w:ind w:left="120"/>
              <w:spacing w:after="0" w:line="243" w:lineRule="exact"/>
              <w:rPr>
                <w:sz w:val="20"/>
                <w:szCs w:val="20"/>
                <w:color w:val="auto"/>
              </w:rPr>
            </w:pPr>
            <w:r>
              <w:rPr>
                <w:rFonts w:ascii="Calibri" w:cs="Calibri" w:eastAsia="Calibri" w:hAnsi="Calibri"/>
                <w:sz w:val="18"/>
                <w:szCs w:val="18"/>
                <w:color w:val="auto"/>
              </w:rPr>
              <w:t>Litgaton, setlements and related costs</w:t>
            </w:r>
            <w:r>
              <w:rPr>
                <w:rFonts w:ascii="Calibri" w:cs="Calibri" w:eastAsia="Calibri" w:hAnsi="Calibri"/>
                <w:sz w:val="24"/>
                <w:szCs w:val="24"/>
                <w:color w:val="auto"/>
                <w:vertAlign w:val="superscript"/>
              </w:rPr>
              <w:t>(5)</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2,477</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2,835</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1,347</w:t>
            </w:r>
          </w:p>
        </w:tc>
        <w:tc>
          <w:tcPr>
            <w:tcW w:w="100" w:type="dxa"/>
            <w:vAlign w:val="bottom"/>
            <w:shd w:val="clear" w:color="auto" w:fill="CFF0FC"/>
          </w:tcPr>
          <w:p>
            <w:pPr>
              <w:spacing w:after="0"/>
              <w:rPr>
                <w:sz w:val="21"/>
                <w:szCs w:val="21"/>
                <w:color w:val="auto"/>
              </w:rPr>
            </w:pPr>
          </w:p>
        </w:tc>
      </w:tr>
      <w:tr>
        <w:trPr>
          <w:trHeight w:val="243"/>
        </w:trPr>
        <w:tc>
          <w:tcPr>
            <w:tcW w:w="5400" w:type="dxa"/>
            <w:vAlign w:val="bottom"/>
          </w:tcPr>
          <w:p>
            <w:pPr>
              <w:ind w:left="120"/>
              <w:spacing w:after="0" w:line="243" w:lineRule="exact"/>
              <w:rPr>
                <w:sz w:val="20"/>
                <w:szCs w:val="20"/>
                <w:color w:val="auto"/>
              </w:rPr>
            </w:pPr>
            <w:r>
              <w:rPr>
                <w:rFonts w:ascii="Calibri" w:cs="Calibri" w:eastAsia="Calibri" w:hAnsi="Calibri"/>
                <w:sz w:val="18"/>
                <w:szCs w:val="18"/>
                <w:color w:val="auto"/>
              </w:rPr>
              <w:t>Severance related to COVID-19</w:t>
            </w:r>
            <w:r>
              <w:rPr>
                <w:rFonts w:ascii="Calibri" w:cs="Calibri" w:eastAsia="Calibri" w:hAnsi="Calibri"/>
                <w:sz w:val="24"/>
                <w:szCs w:val="24"/>
                <w:color w:val="auto"/>
                <w:vertAlign w:val="superscript"/>
              </w:rPr>
              <w:t>(6)</w:t>
            </w:r>
          </w:p>
        </w:tc>
        <w:tc>
          <w:tcPr>
            <w:tcW w:w="1080" w:type="dxa"/>
            <w:vAlign w:val="bottom"/>
          </w:tcPr>
          <w:p>
            <w:pPr>
              <w:spacing w:after="0"/>
              <w:rPr>
                <w:sz w:val="21"/>
                <w:szCs w:val="21"/>
                <w:color w:val="auto"/>
              </w:rPr>
            </w:pPr>
          </w:p>
        </w:tc>
        <w:tc>
          <w:tcPr>
            <w:tcW w:w="96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286</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795</w:t>
            </w:r>
          </w:p>
        </w:tc>
        <w:tc>
          <w:tcPr>
            <w:tcW w:w="100" w:type="dxa"/>
            <w:vAlign w:val="bottom"/>
          </w:tcPr>
          <w:p>
            <w:pPr>
              <w:spacing w:after="0"/>
              <w:rPr>
                <w:sz w:val="21"/>
                <w:szCs w:val="21"/>
                <w:color w:val="auto"/>
              </w:rPr>
            </w:pPr>
          </w:p>
        </w:tc>
      </w:tr>
      <w:tr>
        <w:trPr>
          <w:trHeight w:val="243"/>
        </w:trPr>
        <w:tc>
          <w:tcPr>
            <w:tcW w:w="5400" w:type="dxa"/>
            <w:vAlign w:val="bottom"/>
            <w:shd w:val="clear" w:color="auto" w:fill="CFF0FC"/>
          </w:tcPr>
          <w:p>
            <w:pPr>
              <w:ind w:left="120"/>
              <w:spacing w:after="0" w:line="243" w:lineRule="exact"/>
              <w:rPr>
                <w:sz w:val="20"/>
                <w:szCs w:val="20"/>
                <w:color w:val="auto"/>
              </w:rPr>
            </w:pPr>
            <w:r>
              <w:rPr>
                <w:rFonts w:ascii="Calibri" w:cs="Calibri" w:eastAsia="Calibri" w:hAnsi="Calibri"/>
                <w:sz w:val="18"/>
                <w:szCs w:val="18"/>
                <w:color w:val="auto"/>
              </w:rPr>
              <w:t>Change in fair value of warrants</w:t>
            </w:r>
            <w:r>
              <w:rPr>
                <w:rFonts w:ascii="Calibri" w:cs="Calibri" w:eastAsia="Calibri" w:hAnsi="Calibri"/>
                <w:sz w:val="24"/>
                <w:szCs w:val="24"/>
                <w:color w:val="auto"/>
                <w:vertAlign w:val="superscript"/>
              </w:rPr>
              <w:t>(7)</w:t>
            </w:r>
          </w:p>
        </w:tc>
        <w:tc>
          <w:tcPr>
            <w:tcW w:w="10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(8,227 )</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1,389</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43"/>
        </w:trPr>
        <w:tc>
          <w:tcPr>
            <w:tcW w:w="5400" w:type="dxa"/>
            <w:vAlign w:val="bottom"/>
          </w:tcPr>
          <w:p>
            <w:pPr>
              <w:ind w:left="120"/>
              <w:spacing w:after="0" w:line="243" w:lineRule="exact"/>
              <w:rPr>
                <w:sz w:val="20"/>
                <w:szCs w:val="20"/>
                <w:color w:val="auto"/>
              </w:rPr>
            </w:pPr>
            <w:r>
              <w:rPr>
                <w:rFonts w:ascii="Calibri" w:cs="Calibri" w:eastAsia="Calibri" w:hAnsi="Calibri"/>
                <w:sz w:val="18"/>
                <w:szCs w:val="18"/>
                <w:color w:val="auto"/>
              </w:rPr>
              <w:t>Change in fair value of contngent consideraton</w:t>
            </w:r>
            <w:r>
              <w:rPr>
                <w:rFonts w:ascii="Calibri" w:cs="Calibri" w:eastAsia="Calibri" w:hAnsi="Calibri"/>
                <w:sz w:val="24"/>
                <w:szCs w:val="24"/>
                <w:color w:val="auto"/>
                <w:vertAlign w:val="superscript"/>
              </w:rPr>
              <w:t>(8)</w:t>
            </w:r>
          </w:p>
        </w:tc>
        <w:tc>
          <w:tcPr>
            <w:tcW w:w="1080" w:type="dxa"/>
            <w:vAlign w:val="bottom"/>
          </w:tcPr>
          <w:p>
            <w:pPr>
              <w:spacing w:after="0"/>
              <w:rPr>
                <w:sz w:val="21"/>
                <w:szCs w:val="21"/>
                <w:color w:val="auto"/>
              </w:rPr>
            </w:pPr>
          </w:p>
        </w:tc>
        <w:tc>
          <w:tcPr>
            <w:tcW w:w="96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(2,065 )</w:t>
            </w:r>
          </w:p>
        </w:tc>
        <w:tc>
          <w:tcPr>
            <w:tcW w:w="380" w:type="dxa"/>
            <w:vAlign w:val="bottom"/>
          </w:tcPr>
          <w:p>
            <w:pPr>
              <w:spacing w:after="0"/>
              <w:rPr>
                <w:sz w:val="21"/>
                <w:szCs w:val="21"/>
                <w:color w:val="auto"/>
              </w:rPr>
            </w:pPr>
          </w:p>
        </w:tc>
        <w:tc>
          <w:tcPr>
            <w:tcW w:w="162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43"/>
        </w:trPr>
        <w:tc>
          <w:tcPr>
            <w:tcW w:w="5400" w:type="dxa"/>
            <w:vAlign w:val="bottom"/>
            <w:shd w:val="clear" w:color="auto" w:fill="CFF0FC"/>
          </w:tcPr>
          <w:p>
            <w:pPr>
              <w:ind w:left="120"/>
              <w:spacing w:after="0" w:line="243" w:lineRule="exact"/>
              <w:rPr>
                <w:sz w:val="20"/>
                <w:szCs w:val="20"/>
                <w:color w:val="auto"/>
              </w:rPr>
            </w:pPr>
            <w:r>
              <w:rPr>
                <w:rFonts w:ascii="Calibri" w:cs="Calibri" w:eastAsia="Calibri" w:hAnsi="Calibri"/>
                <w:sz w:val="18"/>
                <w:szCs w:val="18"/>
                <w:color w:val="auto"/>
              </w:rPr>
              <w:t>Loss on asset disposals</w:t>
            </w:r>
            <w:r>
              <w:rPr>
                <w:rFonts w:ascii="Calibri" w:cs="Calibri" w:eastAsia="Calibri" w:hAnsi="Calibri"/>
                <w:sz w:val="24"/>
                <w:szCs w:val="24"/>
                <w:color w:val="auto"/>
                <w:vertAlign w:val="superscript"/>
              </w:rPr>
              <w:t>(9)</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369</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169</w:t>
            </w:r>
          </w:p>
        </w:tc>
        <w:tc>
          <w:tcPr>
            <w:tcW w:w="100" w:type="dxa"/>
            <w:vAlign w:val="bottom"/>
            <w:shd w:val="clear" w:color="auto" w:fill="CFF0FC"/>
          </w:tcPr>
          <w:p>
            <w:pPr>
              <w:spacing w:after="0"/>
              <w:rPr>
                <w:sz w:val="21"/>
                <w:szCs w:val="21"/>
                <w:color w:val="auto"/>
              </w:rPr>
            </w:pPr>
          </w:p>
        </w:tc>
      </w:tr>
      <w:tr>
        <w:trPr>
          <w:trHeight w:val="243"/>
        </w:trPr>
        <w:tc>
          <w:tcPr>
            <w:tcW w:w="5400" w:type="dxa"/>
            <w:vAlign w:val="bottom"/>
          </w:tcPr>
          <w:p>
            <w:pPr>
              <w:ind w:left="120"/>
              <w:spacing w:after="0" w:line="243" w:lineRule="exact"/>
              <w:rPr>
                <w:sz w:val="20"/>
                <w:szCs w:val="20"/>
                <w:color w:val="auto"/>
              </w:rPr>
            </w:pPr>
            <w:r>
              <w:rPr>
                <w:rFonts w:ascii="Calibri" w:cs="Calibri" w:eastAsia="Calibri" w:hAnsi="Calibri"/>
                <w:sz w:val="18"/>
                <w:szCs w:val="18"/>
                <w:color w:val="auto"/>
              </w:rPr>
              <w:t>Impairment charges</w:t>
            </w:r>
            <w:r>
              <w:rPr>
                <w:rFonts w:ascii="Calibri" w:cs="Calibri" w:eastAsia="Calibri" w:hAnsi="Calibri"/>
                <w:sz w:val="24"/>
                <w:szCs w:val="24"/>
                <w:color w:val="auto"/>
                <w:vertAlign w:val="superscript"/>
              </w:rPr>
              <w:t>(10)</w:t>
            </w:r>
          </w:p>
        </w:tc>
        <w:tc>
          <w:tcPr>
            <w:tcW w:w="1080" w:type="dxa"/>
            <w:vAlign w:val="bottom"/>
          </w:tcPr>
          <w:p>
            <w:pPr>
              <w:spacing w:after="0"/>
              <w:rPr>
                <w:sz w:val="21"/>
                <w:szCs w:val="21"/>
                <w:color w:val="auto"/>
              </w:rPr>
            </w:pPr>
          </w:p>
        </w:tc>
        <w:tc>
          <w:tcPr>
            <w:tcW w:w="96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21"/>
                <w:szCs w:val="21"/>
                <w:color w:val="auto"/>
              </w:rPr>
            </w:pPr>
          </w:p>
        </w:tc>
        <w:tc>
          <w:tcPr>
            <w:tcW w:w="162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573,838</w:t>
            </w:r>
          </w:p>
        </w:tc>
        <w:tc>
          <w:tcPr>
            <w:tcW w:w="100" w:type="dxa"/>
            <w:vAlign w:val="bottom"/>
          </w:tcPr>
          <w:p>
            <w:pPr>
              <w:spacing w:after="0"/>
              <w:rPr>
                <w:sz w:val="21"/>
                <w:szCs w:val="21"/>
                <w:color w:val="auto"/>
              </w:rPr>
            </w:pPr>
          </w:p>
        </w:tc>
      </w:tr>
      <w:tr>
        <w:trPr>
          <w:trHeight w:val="276"/>
        </w:trPr>
        <w:tc>
          <w:tcPr>
            <w:tcW w:w="54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1080" w:type="dxa"/>
            <w:vAlign w:val="bottom"/>
            <w:tcBorders>
              <w:top w:val="single" w:sz="8" w:color="auto"/>
              <w:bottom w:val="single" w:sz="8" w:color="auto"/>
            </w:tcBorders>
            <w:shd w:val="clear" w:color="auto" w:fill="CFF0FC"/>
          </w:tcPr>
          <w:p>
            <w:pPr>
              <w:jc w:val="right"/>
              <w:ind w:right="890"/>
              <w:spacing w:after="0" w:line="215"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113,325</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line="215" w:lineRule="exact"/>
              <w:rPr>
                <w:sz w:val="20"/>
                <w:szCs w:val="20"/>
                <w:color w:val="auto"/>
              </w:rPr>
            </w:pPr>
            <w:r>
              <w:rPr>
                <w:rFonts w:ascii="Calibri" w:cs="Calibri" w:eastAsia="Calibri" w:hAnsi="Calibri"/>
                <w:sz w:val="18"/>
                <w:szCs w:val="18"/>
                <w:b w:val="1"/>
                <w:bCs w:val="1"/>
                <w:color w:val="auto"/>
                <w:w w:val="87"/>
              </w:rPr>
              <w:t>$</w:t>
            </w:r>
          </w:p>
        </w:tc>
        <w:tc>
          <w:tcPr>
            <w:tcW w:w="13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109,869</w:t>
            </w:r>
          </w:p>
        </w:tc>
        <w:tc>
          <w:tcPr>
            <w:tcW w:w="3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line="215" w:lineRule="exact"/>
              <w:rPr>
                <w:sz w:val="20"/>
                <w:szCs w:val="20"/>
                <w:color w:val="auto"/>
              </w:rPr>
            </w:pPr>
            <w:r>
              <w:rPr>
                <w:rFonts w:ascii="Calibri" w:cs="Calibri" w:eastAsia="Calibri" w:hAnsi="Calibri"/>
                <w:sz w:val="18"/>
                <w:szCs w:val="18"/>
                <w:b w:val="1"/>
                <w:bCs w:val="1"/>
                <w:color w:val="auto"/>
                <w:w w:val="87"/>
              </w:rPr>
              <w:t>$</w:t>
            </w:r>
          </w:p>
        </w:tc>
        <w:tc>
          <w:tcPr>
            <w:tcW w:w="13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(80,204</w:t>
            </w:r>
          </w:p>
        </w:tc>
        <w:tc>
          <w:tcPr>
            <w:tcW w:w="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7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ind w:firstLine="8"/>
        <w:spacing w:after="0" w:line="235" w:lineRule="auto"/>
        <w:tabs>
          <w:tab w:leader="none" w:pos="236"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We have historically incurred sales tax expense in jurisdictons where we expected to remit sales tax payments but were not yet collectng from customers. During the second half of 2021, we began collectng sales tax from customers in the required jurisdictons. The sales tax liability presented herein represents the tax liability for sales tax prior to the date we began collectng sales tax from customers reduced by abatements received, inclusive of any penaltes and interest assessed by the jurisdictons. The aforementoned liability was fully paid in 2022.</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5" w:name="page46"/>
    <w:bookmarkEnd w:id="45"/>
    <w:p>
      <w:pPr>
        <w:jc w:val="both"/>
        <w:ind w:firstLine="8"/>
        <w:spacing w:after="0" w:line="235" w:lineRule="auto"/>
        <w:tabs>
          <w:tab w:leader="none" w:pos="238"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Transacton costs consist of legal; accountng; tax and other professional fees; personnel-related costs, which consist of retenton bonuses; and integraton costs. Transacton costs recognized in 2022 were related to the merger transacton with Horizon Acquisiton Corporaton (the "Merger Transacton"), the acquisiton of Betcha Sports, Inc. ("Betcha" rebranded as "Vivid Picks"), refnancing of the remaining June 2017 First Lien Loan with a new $275.0 million term loan (the "February 2022 First Lien Loan") and our ofering to the holders of our outstanding public warrants to receive shares of Class A Common Stock in exchange for each outstanding public warrant tendered by the holder. Transacton costs recognized in 2021 were related to the Merger Transacton, to the extent they were not eligible for capitalizaton, and the acquisiton of Vivid Picks. Transacton costs recognized in 2020 were related to the acquisiton of Fanxchange Ltd. in 2019.</w:t>
      </w:r>
    </w:p>
    <w:p>
      <w:pPr>
        <w:spacing w:after="0" w:line="140" w:lineRule="exact"/>
        <w:rPr>
          <w:rFonts w:ascii="Calibri" w:cs="Calibri" w:eastAsia="Calibri" w:hAnsi="Calibri"/>
          <w:sz w:val="18"/>
          <w:szCs w:val="18"/>
          <w:color w:val="auto"/>
        </w:rPr>
      </w:pPr>
    </w:p>
    <w:p>
      <w:pPr>
        <w:jc w:val="both"/>
        <w:ind w:firstLine="8"/>
        <w:spacing w:after="0" w:line="235" w:lineRule="auto"/>
        <w:tabs>
          <w:tab w:leader="none" w:pos="259"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We incur equity-based compensaton expenses for profts interests issued prior to the Merger Transacton and equity granted according to the 2021 Incentve Award Plan ("2021 Plan"), which we do not consider to be indicatve of our core operatng performance. The 2021 Plan was approved and adopted in order to facilitate the grant of equity incentve awards to our employees and directors. The 2021 Plan became efectve on October 18, 2021.</w:t>
      </w:r>
    </w:p>
    <w:p>
      <w:pPr>
        <w:spacing w:after="0" w:line="151" w:lineRule="exact"/>
        <w:rPr>
          <w:rFonts w:ascii="Calibri" w:cs="Calibri" w:eastAsia="Calibri" w:hAnsi="Calibri"/>
          <w:sz w:val="18"/>
          <w:szCs w:val="18"/>
          <w:color w:val="auto"/>
        </w:rPr>
      </w:pPr>
    </w:p>
    <w:p>
      <w:pPr>
        <w:jc w:val="both"/>
        <w:ind w:firstLine="8"/>
        <w:spacing w:after="0" w:line="235" w:lineRule="auto"/>
        <w:tabs>
          <w:tab w:leader="none" w:pos="276"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Loss on extnguishment of debt incurred in 2022 resulted from the extnguishment of the June 2017 First Lien Loan in February 2022. Loss on extnguishment of debt incurred in 2021 and 2020 resulted from the retrement of the May 2020 First Lien Loan, fees paid related to the early payment of a porton of the principal of the June 2017 First Lien Loan in October 2021, and the retrement of the revolving credit facility in May 2020.</w:t>
      </w:r>
    </w:p>
    <w:p>
      <w:pPr>
        <w:spacing w:after="0" w:line="146" w:lineRule="exact"/>
        <w:rPr>
          <w:rFonts w:ascii="Calibri" w:cs="Calibri" w:eastAsia="Calibri" w:hAnsi="Calibri"/>
          <w:sz w:val="18"/>
          <w:szCs w:val="18"/>
          <w:color w:val="auto"/>
        </w:rPr>
      </w:pPr>
    </w:p>
    <w:p>
      <w:pPr>
        <w:ind w:left="240" w:hanging="232"/>
        <w:spacing w:after="0"/>
        <w:tabs>
          <w:tab w:leader="none" w:pos="24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These expenses relate to external legal costs and setlement costs, which were unrelated to our core business operatons.</w:t>
      </w:r>
    </w:p>
    <w:p>
      <w:pPr>
        <w:spacing w:after="0" w:line="131" w:lineRule="exact"/>
        <w:rPr>
          <w:rFonts w:ascii="Calibri" w:cs="Calibri" w:eastAsia="Calibri" w:hAnsi="Calibri"/>
          <w:sz w:val="18"/>
          <w:szCs w:val="18"/>
          <w:color w:val="auto"/>
        </w:rPr>
      </w:pPr>
    </w:p>
    <w:p>
      <w:pPr>
        <w:ind w:left="240" w:hanging="232"/>
        <w:spacing w:after="0"/>
        <w:tabs>
          <w:tab w:leader="none" w:pos="24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These charges relate to severance costs resultng from signifcant reductons in employee headcount due to the efects of the COVID-19 pandemic.</w:t>
      </w:r>
    </w:p>
    <w:p>
      <w:pPr>
        <w:spacing w:after="0" w:line="149" w:lineRule="exact"/>
        <w:rPr>
          <w:rFonts w:ascii="Calibri" w:cs="Calibri" w:eastAsia="Calibri" w:hAnsi="Calibri"/>
          <w:sz w:val="18"/>
          <w:szCs w:val="18"/>
          <w:color w:val="auto"/>
        </w:rPr>
      </w:pPr>
    </w:p>
    <w:p>
      <w:pPr>
        <w:ind w:firstLine="8"/>
        <w:spacing w:after="0" w:line="235" w:lineRule="auto"/>
        <w:tabs>
          <w:tab w:leader="none" w:pos="258"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This relates to the revaluaton of warrants to purchase common units of Hoya Intermediate ("Intermediate Units") held by Hoya Topco following the Merger Transacton.</w:t>
      </w:r>
    </w:p>
    <w:p>
      <w:pPr>
        <w:spacing w:after="0" w:line="145" w:lineRule="exact"/>
        <w:rPr>
          <w:rFonts w:ascii="Calibri" w:cs="Calibri" w:eastAsia="Calibri" w:hAnsi="Calibri"/>
          <w:sz w:val="18"/>
          <w:szCs w:val="18"/>
          <w:color w:val="auto"/>
        </w:rPr>
      </w:pPr>
    </w:p>
    <w:p>
      <w:pPr>
        <w:ind w:left="240" w:hanging="232"/>
        <w:spacing w:after="0"/>
        <w:tabs>
          <w:tab w:leader="none" w:pos="24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This relates to the revaluaton of Vivid Picks cash earnouts.</w:t>
      </w:r>
    </w:p>
    <w:p>
      <w:pPr>
        <w:spacing w:after="0" w:line="131" w:lineRule="exact"/>
        <w:rPr>
          <w:rFonts w:ascii="Calibri" w:cs="Calibri" w:eastAsia="Calibri" w:hAnsi="Calibri"/>
          <w:sz w:val="18"/>
          <w:szCs w:val="18"/>
          <w:color w:val="auto"/>
        </w:rPr>
      </w:pPr>
    </w:p>
    <w:p>
      <w:pPr>
        <w:ind w:left="240" w:hanging="232"/>
        <w:spacing w:after="0"/>
        <w:tabs>
          <w:tab w:leader="none" w:pos="24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This relates to asset disposals, which are not considered indicatve of our core operatng performance.</w:t>
      </w:r>
    </w:p>
    <w:p>
      <w:pPr>
        <w:spacing w:after="0" w:line="149" w:lineRule="exact"/>
        <w:rPr>
          <w:rFonts w:ascii="Calibri" w:cs="Calibri" w:eastAsia="Calibri" w:hAnsi="Calibri"/>
          <w:sz w:val="18"/>
          <w:szCs w:val="18"/>
          <w:color w:val="auto"/>
        </w:rPr>
      </w:pPr>
    </w:p>
    <w:p>
      <w:pPr>
        <w:ind w:firstLine="8"/>
        <w:spacing w:after="0" w:line="258" w:lineRule="auto"/>
        <w:tabs>
          <w:tab w:leader="none" w:pos="328" w:val="left"/>
        </w:tabs>
        <w:numPr>
          <w:ilvl w:val="0"/>
          <w:numId w:val="39"/>
        </w:numPr>
        <w:rPr>
          <w:rFonts w:ascii="Calibri" w:cs="Calibri" w:eastAsia="Calibri" w:hAnsi="Calibri"/>
          <w:sz w:val="17"/>
          <w:szCs w:val="17"/>
          <w:color w:val="auto"/>
        </w:rPr>
      </w:pPr>
      <w:r>
        <w:rPr>
          <w:rFonts w:ascii="Calibri" w:cs="Calibri" w:eastAsia="Calibri" w:hAnsi="Calibri"/>
          <w:sz w:val="17"/>
          <w:szCs w:val="17"/>
          <w:color w:val="auto"/>
        </w:rPr>
        <w:t>We incurred impairment charges triggered by the efects of the COVID-19 pandemic during the year ended December 31, 2020. The impairment charges resulted in a reducton in the carrying values of our goodwill, indefnite-lived trademark, defnite-lived intangible assets, and other long-lived assets.</w:t>
      </w:r>
    </w:p>
    <w:p>
      <w:pPr>
        <w:spacing w:after="0" w:line="13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Key Factors Afectng Our Performance</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operatonal and fnancial results have been, and will contnue to be, afected by a number of factors that present signifcant opportunites as well as risks and challenges, including those discussed below and elsewhere in this Annual Report on 10-K, partcularly in Part I, Item 1A, "Risk Factors.” The key factors discussed below impacted our 2022 results or are antcipated to impact our 2023 results.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Growth and Retenton of Buyers, Sellers and Distributon Partners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revenue growth primarily depends on acquiring and retaining customers. We seek to have tcket buyers and sellers view us as the go-to tcketng marketplace when searching for, purchasing and selling event tckets. We diferentate from compettors by ofering an extensive breadth and depth of tcket listngs at a compettve value, and by providing a reliable and secure experience for tcket buyers. We acquire new tcket buyers through various marketng channels, partnerships, brand advertsement and word-of-mouth. Performance marketng channels are highly compettve, and we must contnue to be efectve in these acquisiton channels. We seek to retain buyers by cultvatng brand awareness and afnity for our diferentated ofering. We provide an optmal customer experience, additonal avenues for engagement and outreach such as through customized emails and Vivid Picks, and most importantly, exceptonal value with our Vivid Seats Rewards program. Likewise, we must preserve our longstanding relatonships with tcket sellers to maintain extensive tcket listng optons at compettve prices. We recognize the</w:t>
      </w:r>
    </w:p>
    <w:p>
      <w:pPr>
        <w:spacing w:after="0" w:line="11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6" w:name="page47"/>
    <w:bookmarkEnd w:id="46"/>
    <w:p>
      <w:pPr>
        <w:jc w:val="both"/>
        <w:ind w:right="20"/>
        <w:spacing w:after="0" w:line="235" w:lineRule="auto"/>
        <w:rPr>
          <w:sz w:val="20"/>
          <w:szCs w:val="20"/>
          <w:color w:val="auto"/>
        </w:rPr>
      </w:pPr>
      <w:r>
        <w:rPr>
          <w:rFonts w:ascii="Calibri" w:cs="Calibri" w:eastAsia="Calibri" w:hAnsi="Calibri"/>
          <w:sz w:val="18"/>
          <w:szCs w:val="18"/>
          <w:color w:val="auto"/>
        </w:rPr>
        <w:t>importance of seller and other distributon relatonships in the tcketng ecosystem and ofer products and services designed to support the needs of our sellers and distributon partners.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Macroenvironment and Resultng Consumer Demand for Live Events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Consumer demand for live events could be impacted by economic conditons afectng disposable consumer income, including unemployment levels, fuel prices, interest rates, changes in tax rates and tax laws that impact individuals and rising infaton, that afect disposable consumer income. These economic conditons could afect overall demand for live event tckets, tcket prices and/or price sensitvity, which in turn could have a negatve impact on our business and fnancial results.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Ticketng Industry Competton</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faces signifcant competton from other natonal, regional and local primary and secondary tcketng service providers. We also face competton in the resale of tckets from other professional tcket resellers. Forms of competton can include, but are not limited to, increasing performance marketng spend, increasing brand advertsement spend, pricing changes, exclusive partnerships, and new product oferings and enhancements. To combat such compettve dynamics, we contnue to refne our marketng strategies to atract and retain customers and innovate to ofer our customers an atractve value propositon.</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Supply of Concert, Sportng and Theater Events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number of live concert, sportng, and theater events will have a signifcant efect on our revenue and operatng income. Many of the factors afectng the number of live events are beyond our control.</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Atractng and Retaining Talent</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rely on the ability to atract and retain employees. Our future success depends on our contnuing ability to identfy, hire, develop, motvate and retain highly skilled personnel for all areas of our organizaton. We share the dedicaton to our mission to </w:t>
      </w:r>
      <w:r>
        <w:rPr>
          <w:rFonts w:ascii="Calibri" w:cs="Calibri" w:eastAsia="Calibri" w:hAnsi="Calibri"/>
          <w:sz w:val="18"/>
          <w:szCs w:val="18"/>
          <w:i w:val="1"/>
          <w:iCs w:val="1"/>
          <w:color w:val="auto"/>
        </w:rPr>
        <w:t>Experience It Live</w:t>
      </w:r>
      <w:r>
        <w:rPr>
          <w:rFonts w:ascii="Calibri" w:cs="Calibri" w:eastAsia="Calibri" w:hAnsi="Calibri"/>
          <w:sz w:val="18"/>
          <w:szCs w:val="18"/>
          <w:color w:val="auto"/>
        </w:rPr>
        <w:t>. Ofering employees an engaging and positve work environment contributes to both their success and our success. We are commited to fostering an environment that is inclusive and welcoming to diversity in backgrounds, experiences and thoughts as a means toward achieving employee engagement, empowerment, innovaton and good decision-making.</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Seasonality</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operatonal and fnancial results can be impacted by seasonality, with increased actvity in the fourth quarter when all major sports leagues are in season and we experience an increase in order volume for theater events during the holiday season and concert on-sales for the subsequent year. In additon, our quarterly results and quarterly year-over-year growth rates can be impacted by:</w:t>
      </w:r>
    </w:p>
    <w:p>
      <w:pPr>
        <w:spacing w:after="0" w:line="160"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sports teams performance, the number of playof games in a series and teams involved;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of tours of top grossing acts;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tour, game, and other event cancellatons due to weather, illness or other factors; and</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popularity and demand for certain performers and events.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COVID-19 Pandemic</w:t>
      </w:r>
    </w:p>
    <w:p>
      <w:pPr>
        <w:spacing w:after="0" w:line="136"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The COVID-19 pandemic has had, and may contnue to have, a signifcant negatve impact on our business, operatonal and fnancial results. Beginning in the second quarter of 2021, and contnuing throughout 2022, we have seen a recovery in tcket orders as mitgaton measures eased. While we have experienced recovery from the COVID-19 pandemic, given the emergence of new variants and contnued infectous cases, uncertainty remains. If economic conditons caused by the pandemic were to worsen, our fnancial conditon, cash fows, and results of operatons may be further materially impacted.</w:t>
      </w:r>
    </w:p>
    <w:p>
      <w:pPr>
        <w:spacing w:after="0" w:line="9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7" w:name="page48"/>
    <w:bookmarkEnd w:id="47"/>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36"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Discussions of the year ended December 31, 2021 and comparison between the year ended December 31, 2021 and the year ended December 31, 2020 can be found in “Management’s Discussion and Analysis of Financial Conditon and Results of Operatons ” in our Annual Report on Form 10-K fled on March 15, 2022.</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Comparison of the Years Ended December 31, 2022 and 2021</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our results of operatons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2022</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b w:val="1"/>
                <w:bCs w:val="1"/>
                <w:color w:val="auto"/>
              </w:rPr>
              <w:t>2021</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right"/>
              <w:ind w:right="800"/>
              <w:spacing w:after="0"/>
              <w:rPr>
                <w:sz w:val="20"/>
                <w:szCs w:val="20"/>
                <w:color w:val="auto"/>
              </w:rPr>
            </w:pPr>
            <w:r>
              <w:rPr>
                <w:rFonts w:ascii="Calibri" w:cs="Calibri" w:eastAsia="Calibri" w:hAnsi="Calibri"/>
                <w:sz w:val="14"/>
                <w:szCs w:val="14"/>
                <w:b w:val="1"/>
                <w:bCs w:val="1"/>
                <w:color w:val="auto"/>
              </w:rPr>
              <w:t>Change</w:t>
            </w:r>
          </w:p>
        </w:tc>
        <w:tc>
          <w:tcPr>
            <w:tcW w:w="1740" w:type="dxa"/>
            <w:vAlign w:val="bottom"/>
            <w:gridSpan w:val="3"/>
          </w:tcPr>
          <w:p>
            <w:pPr>
              <w:jc w:val="right"/>
              <w:ind w:right="66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10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Revenues</w:t>
            </w:r>
          </w:p>
        </w:tc>
        <w:tc>
          <w:tcPr>
            <w:tcW w:w="1000" w:type="dxa"/>
            <w:vAlign w:val="bottom"/>
            <w:tcBorders>
              <w:bottom w:val="single" w:sz="8" w:color="CFF0FC"/>
            </w:tcBorders>
            <w:shd w:val="clear" w:color="auto" w:fill="CFF0FC"/>
          </w:tcPr>
          <w:p>
            <w:pPr>
              <w:jc w:val="right"/>
              <w:ind w:right="848"/>
              <w:spacing w:after="0" w:line="164" w:lineRule="exact"/>
              <w:rPr>
                <w:sz w:val="20"/>
                <w:szCs w:val="20"/>
                <w:color w:val="auto"/>
              </w:rPr>
            </w:pPr>
            <w:r>
              <w:rPr>
                <w:rFonts w:ascii="Calibri" w:cs="Calibri" w:eastAsia="Calibri" w:hAnsi="Calibri"/>
                <w:sz w:val="14"/>
                <w:szCs w:val="14"/>
                <w:color w:val="auto"/>
                <w:w w:val="83"/>
              </w:rPr>
              <w:t>$</w:t>
            </w: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600,274</w:t>
            </w:r>
          </w:p>
        </w:tc>
        <w:tc>
          <w:tcPr>
            <w:tcW w:w="3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ind w:right="828"/>
              <w:spacing w:after="0" w:line="164" w:lineRule="exact"/>
              <w:rPr>
                <w:sz w:val="20"/>
                <w:szCs w:val="20"/>
                <w:color w:val="auto"/>
              </w:rPr>
            </w:pPr>
            <w:r>
              <w:rPr>
                <w:rFonts w:ascii="Calibri" w:cs="Calibri" w:eastAsia="Calibri" w:hAnsi="Calibri"/>
                <w:sz w:val="14"/>
                <w:szCs w:val="14"/>
                <w:color w:val="auto"/>
                <w:w w:val="83"/>
              </w:rPr>
              <w:t>$</w:t>
            </w: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443,038</w:t>
            </w: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jc w:val="right"/>
              <w:ind w:right="148"/>
              <w:spacing w:after="0" w:line="164"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157,236</w:t>
            </w:r>
          </w:p>
        </w:tc>
        <w:tc>
          <w:tcPr>
            <w:tcW w:w="260" w:type="dxa"/>
            <w:vAlign w:val="bottom"/>
            <w:tcBorders>
              <w:bottom w:val="single" w:sz="8" w:color="CFF0FC"/>
            </w:tcBorders>
            <w:shd w:val="clear" w:color="auto" w:fill="CFF0FC"/>
          </w:tcPr>
          <w:p>
            <w:pPr>
              <w:spacing w:after="0"/>
              <w:rPr>
                <w:sz w:val="15"/>
                <w:szCs w:val="15"/>
                <w:color w:val="auto"/>
              </w:rPr>
            </w:pPr>
          </w:p>
        </w:tc>
        <w:tc>
          <w:tcPr>
            <w:tcW w:w="15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35</w:t>
            </w:r>
          </w:p>
        </w:tc>
        <w:tc>
          <w:tcPr>
            <w:tcW w:w="1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w w:val="79"/>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00" w:type="dxa"/>
            <w:vAlign w:val="bottom"/>
          </w:tcPr>
          <w:p>
            <w:pPr>
              <w:ind w:left="20"/>
              <w:spacing w:after="0"/>
              <w:rPr>
                <w:sz w:val="20"/>
                <w:szCs w:val="20"/>
                <w:color w:val="auto"/>
              </w:rPr>
            </w:pPr>
            <w:r>
              <w:rPr>
                <w:rFonts w:ascii="Calibri" w:cs="Calibri" w:eastAsia="Calibri" w:hAnsi="Calibri"/>
                <w:sz w:val="14"/>
                <w:szCs w:val="14"/>
                <w:b w:val="1"/>
                <w:bCs w:val="1"/>
                <w:color w:val="auto"/>
              </w:rPr>
              <w:t>Costs and expenses: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10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Cost of revenues (exclusive of depreciaton and amortzaton</w:t>
            </w: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0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4"/>
                <w:szCs w:val="14"/>
                <w:color w:val="auto"/>
              </w:rPr>
              <w:t>shown separately below)</w:t>
            </w:r>
          </w:p>
        </w:tc>
        <w:tc>
          <w:tcPr>
            <w:tcW w:w="10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140,508</w:t>
            </w:r>
          </w:p>
        </w:tc>
        <w:tc>
          <w:tcPr>
            <w:tcW w:w="3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90,617</w:t>
            </w:r>
          </w:p>
        </w:tc>
        <w:tc>
          <w:tcPr>
            <w:tcW w:w="2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49,891</w:t>
            </w:r>
          </w:p>
        </w:tc>
        <w:tc>
          <w:tcPr>
            <w:tcW w:w="26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55 %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100" w:type="dxa"/>
            <w:vAlign w:val="bottom"/>
          </w:tcPr>
          <w:p>
            <w:pPr>
              <w:ind w:left="100"/>
              <w:spacing w:after="0"/>
              <w:rPr>
                <w:sz w:val="20"/>
                <w:szCs w:val="20"/>
                <w:color w:val="auto"/>
              </w:rPr>
            </w:pPr>
            <w:r>
              <w:rPr>
                <w:rFonts w:ascii="Calibri" w:cs="Calibri" w:eastAsia="Calibri" w:hAnsi="Calibri"/>
                <w:sz w:val="14"/>
                <w:szCs w:val="14"/>
                <w:color w:val="auto"/>
              </w:rPr>
              <w:t>Marketng and selling</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248,375</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181,358</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67,017</w:t>
            </w:r>
          </w:p>
        </w:tc>
        <w:tc>
          <w:tcPr>
            <w:tcW w:w="26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alibri" w:cs="Calibri" w:eastAsia="Calibri" w:hAnsi="Calibri"/>
                <w:sz w:val="14"/>
                <w:szCs w:val="14"/>
                <w:color w:val="auto"/>
              </w:rPr>
              <w:t>37 %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4"/>
                <w:szCs w:val="14"/>
                <w:color w:val="auto"/>
              </w:rPr>
              <w:t>General and administratve</w:t>
            </w:r>
          </w:p>
        </w:tc>
        <w:tc>
          <w:tcPr>
            <w:tcW w:w="10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127,619</w:t>
            </w:r>
          </w:p>
        </w:tc>
        <w:tc>
          <w:tcPr>
            <w:tcW w:w="3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92,170</w:t>
            </w: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35,449</w:t>
            </w:r>
          </w:p>
        </w:tc>
        <w:tc>
          <w:tcPr>
            <w:tcW w:w="260" w:type="dxa"/>
            <w:vAlign w:val="bottom"/>
            <w:tcBorders>
              <w:bottom w:val="single" w:sz="8" w:color="CFF0FC"/>
            </w:tcBorders>
            <w:shd w:val="clear" w:color="auto" w:fill="CFF0FC"/>
          </w:tcPr>
          <w:p>
            <w:pPr>
              <w:spacing w:after="0"/>
              <w:rPr>
                <w:sz w:val="15"/>
                <w:szCs w:val="15"/>
                <w:color w:val="auto"/>
              </w:rPr>
            </w:pP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38 %</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00" w:type="dxa"/>
            <w:vAlign w:val="bottom"/>
          </w:tcPr>
          <w:p>
            <w:pPr>
              <w:ind w:left="100"/>
              <w:spacing w:after="0"/>
              <w:rPr>
                <w:sz w:val="20"/>
                <w:szCs w:val="20"/>
                <w:color w:val="auto"/>
              </w:rPr>
            </w:pPr>
            <w:r>
              <w:rPr>
                <w:rFonts w:ascii="Calibri" w:cs="Calibri" w:eastAsia="Calibri" w:hAnsi="Calibri"/>
                <w:sz w:val="14"/>
                <w:szCs w:val="14"/>
                <w:color w:val="auto"/>
              </w:rPr>
              <w:t>Depreciaton and amortzaton</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7,732</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2,322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5,410</w:t>
            </w:r>
          </w:p>
        </w:tc>
        <w:tc>
          <w:tcPr>
            <w:tcW w:w="26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alibri" w:cs="Calibri" w:eastAsia="Calibri" w:hAnsi="Calibri"/>
                <w:sz w:val="14"/>
                <w:szCs w:val="14"/>
                <w:color w:val="auto"/>
              </w:rPr>
              <w:t>233 %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Change in fair value of contngent consideraton</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4"/>
                <w:szCs w:val="14"/>
                <w:color w:val="auto"/>
              </w:rPr>
              <w:t>(2,065 )</w:t>
            </w:r>
          </w:p>
        </w:tc>
        <w:tc>
          <w:tcPr>
            <w:tcW w:w="9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8"/>
              <w:spacing w:after="0"/>
              <w:rPr>
                <w:sz w:val="20"/>
                <w:szCs w:val="20"/>
                <w:color w:val="auto"/>
              </w:rPr>
            </w:pPr>
            <w:r>
              <w:rPr>
                <w:rFonts w:ascii="Calibri" w:cs="Calibri" w:eastAsia="Calibri" w:hAnsi="Calibri"/>
                <w:sz w:val="14"/>
                <w:szCs w:val="14"/>
                <w:color w:val="auto"/>
              </w:rPr>
              <w:t>—</w:t>
            </w:r>
          </w:p>
        </w:tc>
        <w:tc>
          <w:tcPr>
            <w:tcW w:w="3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4"/>
                <w:szCs w:val="14"/>
                <w:color w:val="auto"/>
              </w:rPr>
              <w:t>(2,065 )</w:t>
            </w:r>
          </w:p>
        </w:tc>
        <w:tc>
          <w:tcPr>
            <w:tcW w:w="16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100 %</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100" w:type="dxa"/>
            <w:vAlign w:val="bottom"/>
            <w:tcBorders>
              <w:top w:val="single" w:sz="8" w:color="CFF0FC"/>
            </w:tcBorders>
          </w:tcPr>
          <w:p>
            <w:pPr>
              <w:ind w:left="20"/>
              <w:spacing w:after="0"/>
              <w:rPr>
                <w:sz w:val="20"/>
                <w:szCs w:val="20"/>
                <w:color w:val="auto"/>
              </w:rPr>
            </w:pPr>
            <w:r>
              <w:rPr>
                <w:rFonts w:ascii="Calibri" w:cs="Calibri" w:eastAsia="Calibri" w:hAnsi="Calibri"/>
                <w:sz w:val="14"/>
                <w:szCs w:val="14"/>
                <w:b w:val="1"/>
                <w:bCs w:val="1"/>
                <w:color w:val="auto"/>
              </w:rPr>
              <w:t>Income from operatons</w:t>
            </w:r>
          </w:p>
        </w:tc>
        <w:tc>
          <w:tcPr>
            <w:tcW w:w="10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78,105</w:t>
            </w:r>
          </w:p>
        </w:tc>
        <w:tc>
          <w:tcPr>
            <w:tcW w:w="300" w:type="dxa"/>
            <w:vAlign w:val="bottom"/>
            <w:tcBorders>
              <w:top w:val="single" w:sz="8" w:color="CFF0FC"/>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76,571</w:t>
            </w:r>
          </w:p>
        </w:tc>
        <w:tc>
          <w:tcPr>
            <w:tcW w:w="28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1,534</w:t>
            </w:r>
          </w:p>
        </w:tc>
        <w:tc>
          <w:tcPr>
            <w:tcW w:w="260" w:type="dxa"/>
            <w:vAlign w:val="bottom"/>
            <w:tcBorders>
              <w:top w:val="single" w:sz="8" w:color="CFF0FC"/>
            </w:tcBorders>
          </w:tcPr>
          <w:p>
            <w:pPr>
              <w:spacing w:after="0"/>
              <w:rPr>
                <w:sz w:val="14"/>
                <w:szCs w:val="14"/>
                <w:color w:val="auto"/>
              </w:rPr>
            </w:pPr>
          </w:p>
        </w:tc>
        <w:tc>
          <w:tcPr>
            <w:tcW w:w="1680" w:type="dxa"/>
            <w:vAlign w:val="bottom"/>
            <w:tcBorders>
              <w:top w:val="single" w:sz="8" w:color="auto"/>
            </w:tcBorders>
            <w:gridSpan w:val="2"/>
          </w:tcPr>
          <w:p>
            <w:pPr>
              <w:jc w:val="right"/>
              <w:spacing w:after="0"/>
              <w:rPr>
                <w:sz w:val="20"/>
                <w:szCs w:val="20"/>
                <w:color w:val="auto"/>
              </w:rPr>
            </w:pPr>
            <w:r>
              <w:rPr>
                <w:rFonts w:ascii="Calibri" w:cs="Calibri" w:eastAsia="Calibri" w:hAnsi="Calibri"/>
                <w:sz w:val="14"/>
                <w:szCs w:val="14"/>
                <w:color w:val="auto"/>
              </w:rPr>
              <w:t xml:space="preserve">2 </w:t>
            </w:r>
            <w:r>
              <w:rPr>
                <w:rFonts w:ascii="Calibri" w:cs="Calibri" w:eastAsia="Calibri" w:hAnsi="Calibri"/>
                <w:sz w:val="14"/>
                <w:szCs w:val="14"/>
                <w:color w:val="auto"/>
                <w:highlight w:val="white"/>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Other (income) expense:</w:t>
            </w:r>
          </w:p>
        </w:tc>
        <w:tc>
          <w:tcPr>
            <w:tcW w:w="10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5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00" w:type="dxa"/>
            <w:vAlign w:val="bottom"/>
          </w:tcPr>
          <w:p>
            <w:pPr>
              <w:ind w:left="100"/>
              <w:spacing w:after="0"/>
              <w:rPr>
                <w:sz w:val="20"/>
                <w:szCs w:val="20"/>
                <w:color w:val="auto"/>
              </w:rPr>
            </w:pPr>
            <w:r>
              <w:rPr>
                <w:rFonts w:ascii="Calibri" w:cs="Calibri" w:eastAsia="Calibri" w:hAnsi="Calibri"/>
                <w:sz w:val="14"/>
                <w:szCs w:val="14"/>
                <w:color w:val="auto"/>
              </w:rPr>
              <w:t>Interest expense – net</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12,858</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58,179</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(45,321 )</w:t>
            </w:r>
          </w:p>
        </w:tc>
        <w:tc>
          <w:tcPr>
            <w:tcW w:w="1740" w:type="dxa"/>
            <w:vAlign w:val="bottom"/>
            <w:gridSpan w:val="3"/>
          </w:tcPr>
          <w:p>
            <w:pPr>
              <w:jc w:val="right"/>
              <w:spacing w:after="0"/>
              <w:rPr>
                <w:sz w:val="20"/>
                <w:szCs w:val="20"/>
                <w:color w:val="auto"/>
              </w:rPr>
            </w:pPr>
            <w:r>
              <w:rPr>
                <w:rFonts w:ascii="Calibri" w:cs="Calibri" w:eastAsia="Calibri" w:hAnsi="Calibri"/>
                <w:sz w:val="14"/>
                <w:szCs w:val="14"/>
                <w:color w:val="auto"/>
              </w:rPr>
              <w:t>(78 )%</w:t>
            </w:r>
          </w:p>
        </w:tc>
        <w:tc>
          <w:tcPr>
            <w:tcW w:w="0" w:type="dxa"/>
            <w:vAlign w:val="bottom"/>
          </w:tcPr>
          <w:p>
            <w:pPr>
              <w:spacing w:after="0"/>
              <w:rPr>
                <w:sz w:val="1"/>
                <w:szCs w:val="1"/>
                <w:color w:val="auto"/>
              </w:rPr>
            </w:pPr>
          </w:p>
        </w:tc>
      </w:tr>
      <w:tr>
        <w:trPr>
          <w:trHeight w:val="202"/>
        </w:trPr>
        <w:tc>
          <w:tcPr>
            <w:tcW w:w="4100" w:type="dxa"/>
            <w:vAlign w:val="bottom"/>
          </w:tcPr>
          <w:p>
            <w:pPr>
              <w:ind w:left="100"/>
              <w:spacing w:after="0"/>
              <w:rPr>
                <w:sz w:val="20"/>
                <w:szCs w:val="20"/>
                <w:color w:val="auto"/>
              </w:rPr>
            </w:pPr>
            <w:r>
              <w:rPr>
                <w:rFonts w:ascii="Calibri" w:cs="Calibri" w:eastAsia="Calibri" w:hAnsi="Calibri"/>
                <w:sz w:val="14"/>
                <w:szCs w:val="14"/>
                <w:color w:val="auto"/>
              </w:rPr>
              <w:t>Loss on extnguishment of debt</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4,285</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35,828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(31,543 )</w:t>
            </w:r>
          </w:p>
        </w:tc>
        <w:tc>
          <w:tcPr>
            <w:tcW w:w="1740" w:type="dxa"/>
            <w:vAlign w:val="bottom"/>
            <w:gridSpan w:val="3"/>
          </w:tcPr>
          <w:p>
            <w:pPr>
              <w:jc w:val="right"/>
              <w:spacing w:after="0"/>
              <w:rPr>
                <w:sz w:val="20"/>
                <w:szCs w:val="20"/>
                <w:color w:val="auto"/>
              </w:rPr>
            </w:pPr>
            <w:r>
              <w:rPr>
                <w:rFonts w:ascii="Calibri" w:cs="Calibri" w:eastAsia="Calibri" w:hAnsi="Calibri"/>
                <w:sz w:val="14"/>
                <w:szCs w:val="14"/>
                <w:color w:val="auto"/>
              </w:rPr>
              <w:t>(88 )%</w:t>
            </w:r>
          </w:p>
        </w:tc>
        <w:tc>
          <w:tcPr>
            <w:tcW w:w="0" w:type="dxa"/>
            <w:vAlign w:val="bottom"/>
          </w:tcPr>
          <w:p>
            <w:pPr>
              <w:spacing w:after="0"/>
              <w:rPr>
                <w:sz w:val="1"/>
                <w:szCs w:val="1"/>
                <w:color w:val="auto"/>
              </w:rPr>
            </w:pPr>
          </w:p>
        </w:tc>
      </w:tr>
      <w:tr>
        <w:trPr>
          <w:trHeight w:val="229"/>
        </w:trPr>
        <w:tc>
          <w:tcPr>
            <w:tcW w:w="4100" w:type="dxa"/>
            <w:vAlign w:val="bottom"/>
          </w:tcPr>
          <w:p>
            <w:pPr>
              <w:ind w:left="100"/>
              <w:spacing w:after="0"/>
              <w:rPr>
                <w:sz w:val="20"/>
                <w:szCs w:val="20"/>
                <w:color w:val="auto"/>
              </w:rPr>
            </w:pPr>
            <w:r>
              <w:rPr>
                <w:rFonts w:ascii="Calibri" w:cs="Calibri" w:eastAsia="Calibri" w:hAnsi="Calibri"/>
                <w:sz w:val="14"/>
                <w:szCs w:val="14"/>
                <w:color w:val="auto"/>
              </w:rPr>
              <w:t>Other (income) expense</w:t>
            </w:r>
          </w:p>
        </w:tc>
        <w:tc>
          <w:tcPr>
            <w:tcW w:w="10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(8,227 )</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1,389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(9,616 )</w:t>
            </w:r>
          </w:p>
        </w:tc>
        <w:tc>
          <w:tcPr>
            <w:tcW w:w="1740" w:type="dxa"/>
            <w:vAlign w:val="bottom"/>
            <w:gridSpan w:val="3"/>
          </w:tcPr>
          <w:p>
            <w:pPr>
              <w:jc w:val="right"/>
              <w:spacing w:after="0"/>
              <w:rPr>
                <w:sz w:val="20"/>
                <w:szCs w:val="20"/>
                <w:color w:val="auto"/>
              </w:rPr>
            </w:pPr>
            <w:r>
              <w:rPr>
                <w:rFonts w:ascii="Calibri" w:cs="Calibri" w:eastAsia="Calibri" w:hAnsi="Calibri"/>
                <w:sz w:val="14"/>
                <w:szCs w:val="14"/>
                <w:color w:val="auto"/>
              </w:rPr>
              <w:t>(692 )%</w:t>
            </w:r>
          </w:p>
        </w:tc>
        <w:tc>
          <w:tcPr>
            <w:tcW w:w="0" w:type="dxa"/>
            <w:vAlign w:val="bottom"/>
          </w:tcPr>
          <w:p>
            <w:pPr>
              <w:spacing w:after="0"/>
              <w:rPr>
                <w:sz w:val="1"/>
                <w:szCs w:val="1"/>
                <w:color w:val="auto"/>
              </w:rPr>
            </w:pPr>
          </w:p>
        </w:tc>
      </w:tr>
      <w:tr>
        <w:trPr>
          <w:trHeight w:val="183"/>
        </w:trPr>
        <w:tc>
          <w:tcPr>
            <w:tcW w:w="41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Income (loss) before income taxes</w:t>
            </w:r>
          </w:p>
        </w:tc>
        <w:tc>
          <w:tcPr>
            <w:tcW w:w="1000" w:type="dxa"/>
            <w:vAlign w:val="bottom"/>
            <w:tcBorders>
              <w:top w:val="single" w:sz="8" w:color="auto"/>
              <w:bottom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69,189</w:t>
            </w:r>
          </w:p>
        </w:tc>
        <w:tc>
          <w:tcPr>
            <w:tcW w:w="3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(18,825</w:t>
            </w:r>
          </w:p>
        </w:tc>
        <w:tc>
          <w:tcPr>
            <w:tcW w:w="280" w:type="dxa"/>
            <w:vAlign w:val="bottom"/>
            <w:tcBorders>
              <w:top w:val="single" w:sz="8" w:color="auto"/>
              <w:bottom w:val="single" w:sz="8" w:color="CFF0FC"/>
            </w:tcBorders>
            <w:shd w:val="clear" w:color="auto" w:fill="CFF0FC"/>
          </w:tcPr>
          <w:p>
            <w:pPr>
              <w:jc w:val="right"/>
              <w:ind w:right="148"/>
              <w:spacing w:after="0"/>
              <w:rPr>
                <w:sz w:val="20"/>
                <w:szCs w:val="20"/>
                <w:color w:val="auto"/>
              </w:rPr>
            </w:pPr>
            <w:r>
              <w:rPr>
                <w:rFonts w:ascii="Calibri" w:cs="Calibri" w:eastAsia="Calibri" w:hAnsi="Calibri"/>
                <w:sz w:val="14"/>
                <w:szCs w:val="14"/>
                <w:color w:val="auto"/>
                <w:w w:val="93"/>
              </w:rPr>
              <w:t>)</w:t>
            </w:r>
          </w:p>
        </w:tc>
        <w:tc>
          <w:tcPr>
            <w:tcW w:w="320" w:type="dxa"/>
            <w:vAlign w:val="bottom"/>
            <w:tcBorders>
              <w:top w:val="single" w:sz="8" w:color="auto"/>
              <w:bottom w:val="single" w:sz="8" w:color="CFF0FC"/>
            </w:tcBorders>
            <w:shd w:val="clear" w:color="auto" w:fill="CFF0FC"/>
          </w:tcPr>
          <w:p>
            <w:pPr>
              <w:spacing w:after="0"/>
              <w:rPr>
                <w:sz w:val="15"/>
                <w:szCs w:val="15"/>
                <w:color w:val="auto"/>
              </w:rPr>
            </w:pPr>
          </w:p>
        </w:tc>
        <w:tc>
          <w:tcPr>
            <w:tcW w:w="12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88,014</w:t>
            </w:r>
          </w:p>
        </w:tc>
        <w:tc>
          <w:tcPr>
            <w:tcW w:w="260" w:type="dxa"/>
            <w:vAlign w:val="bottom"/>
            <w:tcBorders>
              <w:bottom w:val="single" w:sz="8" w:color="CFF0FC"/>
            </w:tcBorders>
            <w:shd w:val="clear" w:color="auto" w:fill="CFF0FC"/>
          </w:tcPr>
          <w:p>
            <w:pPr>
              <w:spacing w:after="0"/>
              <w:rPr>
                <w:sz w:val="15"/>
                <w:szCs w:val="15"/>
                <w:color w:val="auto"/>
              </w:rPr>
            </w:pPr>
          </w:p>
        </w:tc>
        <w:tc>
          <w:tcPr>
            <w:tcW w:w="15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468</w:t>
            </w: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w w:val="79"/>
              </w:rPr>
              <w:t>%</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Calibri" w:cs="Calibri" w:eastAsia="Calibri" w:hAnsi="Calibri"/>
                <w:sz w:val="14"/>
                <w:szCs w:val="14"/>
                <w:color w:val="auto"/>
              </w:rPr>
              <w:t>Income tax expense (beneft)</w:t>
            </w:r>
          </w:p>
        </w:tc>
        <w:tc>
          <w:tcPr>
            <w:tcW w:w="10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(1,590 )</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304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(1,894 )</w:t>
            </w:r>
          </w:p>
        </w:tc>
        <w:tc>
          <w:tcPr>
            <w:tcW w:w="1740" w:type="dxa"/>
            <w:vAlign w:val="bottom"/>
            <w:gridSpan w:val="3"/>
          </w:tcPr>
          <w:p>
            <w:pPr>
              <w:jc w:val="right"/>
              <w:spacing w:after="0"/>
              <w:rPr>
                <w:sz w:val="20"/>
                <w:szCs w:val="20"/>
                <w:color w:val="auto"/>
              </w:rPr>
            </w:pPr>
            <w:r>
              <w:rPr>
                <w:rFonts w:ascii="Calibri" w:cs="Calibri" w:eastAsia="Calibri" w:hAnsi="Calibri"/>
                <w:sz w:val="14"/>
                <w:szCs w:val="14"/>
                <w:color w:val="auto"/>
              </w:rPr>
              <w:t>(623 )%</w:t>
            </w:r>
          </w:p>
        </w:tc>
        <w:tc>
          <w:tcPr>
            <w:tcW w:w="0" w:type="dxa"/>
            <w:vAlign w:val="bottom"/>
          </w:tcPr>
          <w:p>
            <w:pPr>
              <w:spacing w:after="0"/>
              <w:rPr>
                <w:sz w:val="1"/>
                <w:szCs w:val="1"/>
                <w:color w:val="auto"/>
              </w:rPr>
            </w:pPr>
          </w:p>
        </w:tc>
      </w:tr>
      <w:tr>
        <w:trPr>
          <w:trHeight w:val="183"/>
        </w:trPr>
        <w:tc>
          <w:tcPr>
            <w:tcW w:w="41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Net income (loss)</w:t>
            </w:r>
          </w:p>
        </w:tc>
        <w:tc>
          <w:tcPr>
            <w:tcW w:w="1000" w:type="dxa"/>
            <w:vAlign w:val="bottom"/>
            <w:tcBorders>
              <w:top w:val="single" w:sz="8" w:color="auto"/>
              <w:bottom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70,779</w:t>
            </w:r>
          </w:p>
        </w:tc>
        <w:tc>
          <w:tcPr>
            <w:tcW w:w="3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(19,129</w:t>
            </w:r>
          </w:p>
        </w:tc>
        <w:tc>
          <w:tcPr>
            <w:tcW w:w="280" w:type="dxa"/>
            <w:vAlign w:val="bottom"/>
            <w:tcBorders>
              <w:top w:val="single" w:sz="8" w:color="auto"/>
              <w:bottom w:val="single" w:sz="8" w:color="CFF0FC"/>
            </w:tcBorders>
            <w:shd w:val="clear" w:color="auto" w:fill="CFF0FC"/>
          </w:tcPr>
          <w:p>
            <w:pPr>
              <w:jc w:val="right"/>
              <w:ind w:right="148"/>
              <w:spacing w:after="0"/>
              <w:rPr>
                <w:sz w:val="20"/>
                <w:szCs w:val="20"/>
                <w:color w:val="auto"/>
              </w:rPr>
            </w:pPr>
            <w:r>
              <w:rPr>
                <w:rFonts w:ascii="Calibri" w:cs="Calibri" w:eastAsia="Calibri" w:hAnsi="Calibri"/>
                <w:sz w:val="14"/>
                <w:szCs w:val="14"/>
                <w:color w:val="auto"/>
                <w:w w:val="93"/>
              </w:rPr>
              <w:t>)</w:t>
            </w:r>
          </w:p>
        </w:tc>
        <w:tc>
          <w:tcPr>
            <w:tcW w:w="320" w:type="dxa"/>
            <w:vAlign w:val="bottom"/>
            <w:tcBorders>
              <w:top w:val="single" w:sz="8" w:color="auto"/>
              <w:bottom w:val="single" w:sz="8" w:color="CFF0FC"/>
            </w:tcBorders>
            <w:shd w:val="clear" w:color="auto" w:fill="CFF0FC"/>
          </w:tcPr>
          <w:p>
            <w:pPr>
              <w:spacing w:after="0"/>
              <w:rPr>
                <w:sz w:val="15"/>
                <w:szCs w:val="15"/>
                <w:color w:val="auto"/>
              </w:rPr>
            </w:pPr>
          </w:p>
        </w:tc>
        <w:tc>
          <w:tcPr>
            <w:tcW w:w="12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89,908</w:t>
            </w:r>
          </w:p>
        </w:tc>
        <w:tc>
          <w:tcPr>
            <w:tcW w:w="260" w:type="dxa"/>
            <w:vAlign w:val="bottom"/>
            <w:tcBorders>
              <w:bottom w:val="single" w:sz="8" w:color="CFF0FC"/>
            </w:tcBorders>
            <w:shd w:val="clear" w:color="auto" w:fill="CFF0FC"/>
          </w:tcPr>
          <w:p>
            <w:pPr>
              <w:spacing w:after="0"/>
              <w:rPr>
                <w:sz w:val="15"/>
                <w:szCs w:val="15"/>
                <w:color w:val="auto"/>
              </w:rPr>
            </w:pPr>
          </w:p>
        </w:tc>
        <w:tc>
          <w:tcPr>
            <w:tcW w:w="15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470</w:t>
            </w: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w w:val="79"/>
              </w:rPr>
              <w:t>%</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00" w:type="dxa"/>
            <w:vAlign w:val="bottom"/>
          </w:tcPr>
          <w:p>
            <w:pPr>
              <w:ind w:left="20"/>
              <w:spacing w:after="0"/>
              <w:rPr>
                <w:sz w:val="20"/>
                <w:szCs w:val="20"/>
                <w:color w:val="auto"/>
              </w:rPr>
            </w:pPr>
            <w:r>
              <w:rPr>
                <w:rFonts w:ascii="Calibri" w:cs="Calibri" w:eastAsia="Calibri" w:hAnsi="Calibri"/>
                <w:sz w:val="14"/>
                <w:szCs w:val="14"/>
                <w:color w:val="auto"/>
              </w:rPr>
              <w:t>Net loss atributable to Hoya Intermediate, LLC shareholders prior</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rPr>
                <w:sz w:val="20"/>
                <w:szCs w:val="20"/>
                <w:color w:val="auto"/>
              </w:rPr>
            </w:pPr>
            <w:r>
              <w:rPr>
                <w:rFonts w:ascii="Calibri" w:cs="Calibri" w:eastAsia="Calibri" w:hAnsi="Calibri"/>
                <w:sz w:val="14"/>
                <w:szCs w:val="14"/>
                <w:color w:val="auto"/>
              </w:rPr>
              <w:t>to reverse recapitalizaton</w:t>
            </w:r>
          </w:p>
        </w:tc>
        <w:tc>
          <w:tcPr>
            <w:tcW w:w="10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Calibri" w:cs="Calibri" w:eastAsia="Calibri" w:hAnsi="Calibri"/>
                <w:sz w:val="14"/>
                <w:szCs w:val="14"/>
                <w:color w:val="auto"/>
              </w:rPr>
              <w:t>—</w:t>
            </w:r>
          </w:p>
        </w:tc>
        <w:tc>
          <w:tcPr>
            <w:tcW w:w="98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Calibri" w:cs="Calibri" w:eastAsia="Calibri" w:hAnsi="Calibri"/>
                <w:sz w:val="14"/>
                <w:szCs w:val="14"/>
                <w:color w:val="auto"/>
              </w:rPr>
              <w:t>(12,836 )</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12,836</w:t>
            </w:r>
          </w:p>
        </w:tc>
        <w:tc>
          <w:tcPr>
            <w:tcW w:w="260" w:type="dxa"/>
            <w:vAlign w:val="bottom"/>
          </w:tcPr>
          <w:p>
            <w:pPr>
              <w:spacing w:after="0"/>
              <w:rPr>
                <w:sz w:val="15"/>
                <w:szCs w:val="15"/>
                <w:color w:val="auto"/>
              </w:rPr>
            </w:pPr>
          </w:p>
        </w:tc>
        <w:tc>
          <w:tcPr>
            <w:tcW w:w="1740" w:type="dxa"/>
            <w:vAlign w:val="bottom"/>
            <w:gridSpan w:val="3"/>
          </w:tcPr>
          <w:p>
            <w:pPr>
              <w:jc w:val="right"/>
              <w:ind w:right="60"/>
              <w:spacing w:after="0"/>
              <w:rPr>
                <w:sz w:val="20"/>
                <w:szCs w:val="20"/>
                <w:color w:val="auto"/>
              </w:rPr>
            </w:pPr>
            <w:r>
              <w:rPr>
                <w:rFonts w:ascii="Calibri" w:cs="Calibri" w:eastAsia="Calibri" w:hAnsi="Calibri"/>
                <w:sz w:val="14"/>
                <w:szCs w:val="14"/>
                <w:color w:val="auto"/>
              </w:rPr>
              <w:t>100 %</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1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Net income (loss) atributable to redeemable noncontrolling</w:t>
            </w:r>
          </w:p>
        </w:tc>
        <w:tc>
          <w:tcPr>
            <w:tcW w:w="100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42,117</w:t>
            </w: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148"/>
              <w:spacing w:after="0"/>
              <w:rPr>
                <w:sz w:val="20"/>
                <w:szCs w:val="20"/>
                <w:color w:val="auto"/>
              </w:rPr>
            </w:pPr>
            <w:r>
              <w:rPr>
                <w:rFonts w:ascii="Calibri" w:cs="Calibri" w:eastAsia="Calibri" w:hAnsi="Calibri"/>
                <w:sz w:val="14"/>
                <w:szCs w:val="14"/>
                <w:color w:val="auto"/>
              </w:rPr>
              <w:t>(3,010 )</w:t>
            </w:r>
          </w:p>
        </w:tc>
        <w:tc>
          <w:tcPr>
            <w:tcW w:w="32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45,127</w:t>
            </w:r>
          </w:p>
        </w:tc>
        <w:tc>
          <w:tcPr>
            <w:tcW w:w="260" w:type="dxa"/>
            <w:vAlign w:val="bottom"/>
            <w:shd w:val="clear" w:color="auto" w:fill="CFF0FC"/>
          </w:tcPr>
          <w:p>
            <w:pPr>
              <w:spacing w:after="0"/>
              <w:rPr>
                <w:sz w:val="14"/>
                <w:szCs w:val="14"/>
                <w:color w:val="auto"/>
              </w:rPr>
            </w:pPr>
          </w:p>
        </w:tc>
        <w:tc>
          <w:tcPr>
            <w:tcW w:w="1680" w:type="dxa"/>
            <w:vAlign w:val="bottom"/>
            <w:gridSpan w:val="2"/>
            <w:vMerge w:val="restart"/>
            <w:shd w:val="clear" w:color="auto" w:fill="CFF0FC"/>
          </w:tcPr>
          <w:p>
            <w:pPr>
              <w:jc w:val="right"/>
              <w:spacing w:after="0"/>
              <w:rPr>
                <w:sz w:val="20"/>
                <w:szCs w:val="20"/>
                <w:color w:val="auto"/>
              </w:rPr>
            </w:pPr>
            <w:r>
              <w:rPr>
                <w:rFonts w:ascii="Calibri" w:cs="Calibri" w:eastAsia="Calibri" w:hAnsi="Calibri"/>
                <w:sz w:val="14"/>
                <w:szCs w:val="14"/>
                <w:color w:val="auto"/>
              </w:rPr>
              <w:t>1,499 %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interests</w:t>
            </w:r>
          </w:p>
        </w:tc>
        <w:tc>
          <w:tcPr>
            <w:tcW w:w="100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80" w:type="dxa"/>
            <w:vAlign w:val="bottom"/>
            <w:gridSpan w:val="2"/>
            <w:vMerge w:val="continue"/>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0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tcPr>
          <w:p>
            <w:pPr>
              <w:ind w:left="20"/>
              <w:spacing w:after="0"/>
              <w:rPr>
                <w:sz w:val="20"/>
                <w:szCs w:val="20"/>
                <w:color w:val="auto"/>
              </w:rPr>
            </w:pPr>
            <w:r>
              <w:rPr>
                <w:rFonts w:ascii="Calibri" w:cs="Calibri" w:eastAsia="Calibri" w:hAnsi="Calibri"/>
                <w:sz w:val="14"/>
                <w:szCs w:val="14"/>
                <w:b w:val="1"/>
                <w:bCs w:val="1"/>
                <w:color w:val="auto"/>
              </w:rPr>
              <w:t>Net income (loss) atributable to Class A Common Stockholders</w:t>
            </w:r>
          </w:p>
        </w:tc>
        <w:tc>
          <w:tcPr>
            <w:tcW w:w="1000" w:type="dxa"/>
            <w:vAlign w:val="bottom"/>
          </w:tcPr>
          <w:p>
            <w:pPr>
              <w:jc w:val="right"/>
              <w:ind w:right="848"/>
              <w:spacing w:after="0"/>
              <w:rPr>
                <w:sz w:val="20"/>
                <w:szCs w:val="20"/>
                <w:color w:val="auto"/>
              </w:rPr>
            </w:pPr>
            <w:r>
              <w:rPr>
                <w:rFonts w:ascii="Calibri" w:cs="Calibri" w:eastAsia="Calibri" w:hAnsi="Calibri"/>
                <w:sz w:val="14"/>
                <w:szCs w:val="14"/>
                <w:b w:val="1"/>
                <w:bCs w:val="1"/>
                <w:color w:val="auto"/>
                <w:w w:val="83"/>
              </w:rPr>
              <w:t>$</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28,662</w:t>
            </w:r>
          </w:p>
        </w:tc>
        <w:tc>
          <w:tcPr>
            <w:tcW w:w="3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Calibri" w:cs="Calibri" w:eastAsia="Calibri" w:hAnsi="Calibri"/>
                <w:sz w:val="14"/>
                <w:szCs w:val="14"/>
                <w:b w:val="1"/>
                <w:bCs w:val="1"/>
                <w:color w:val="auto"/>
                <w:w w:val="83"/>
              </w:rPr>
              <w:t>$</w:t>
            </w:r>
          </w:p>
        </w:tc>
        <w:tc>
          <w:tcPr>
            <w:tcW w:w="840" w:type="dxa"/>
            <w:vAlign w:val="bottom"/>
            <w:gridSpan w:val="2"/>
          </w:tcPr>
          <w:p>
            <w:pPr>
              <w:jc w:val="right"/>
              <w:ind w:right="148"/>
              <w:spacing w:after="0"/>
              <w:rPr>
                <w:sz w:val="20"/>
                <w:szCs w:val="20"/>
                <w:color w:val="auto"/>
              </w:rPr>
            </w:pPr>
            <w:r>
              <w:rPr>
                <w:rFonts w:ascii="Calibri" w:cs="Calibri" w:eastAsia="Calibri" w:hAnsi="Calibri"/>
                <w:sz w:val="14"/>
                <w:szCs w:val="14"/>
                <w:b w:val="1"/>
                <w:bCs w:val="1"/>
                <w:color w:val="auto"/>
              </w:rPr>
              <w:t>(3,283 )</w:t>
            </w:r>
          </w:p>
        </w:tc>
        <w:tc>
          <w:tcPr>
            <w:tcW w:w="320" w:type="dxa"/>
            <w:vAlign w:val="bottom"/>
          </w:tcPr>
          <w:p>
            <w:pPr>
              <w:jc w:val="right"/>
              <w:ind w:right="148"/>
              <w:spacing w:after="0"/>
              <w:rPr>
                <w:sz w:val="20"/>
                <w:szCs w:val="20"/>
                <w:color w:val="auto"/>
              </w:rPr>
            </w:pPr>
            <w:r>
              <w:rPr>
                <w:rFonts w:ascii="Calibri" w:cs="Calibri" w:eastAsia="Calibri" w:hAnsi="Calibri"/>
                <w:sz w:val="14"/>
                <w:szCs w:val="14"/>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14"/>
                <w:szCs w:val="14"/>
                <w:b w:val="1"/>
                <w:bCs w:val="1"/>
                <w:color w:val="auto"/>
              </w:rPr>
              <w:t>31,945</w:t>
            </w:r>
          </w:p>
        </w:tc>
        <w:tc>
          <w:tcPr>
            <w:tcW w:w="26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973 %</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-1687830</wp:posOffset>
            </wp:positionV>
            <wp:extent cx="7747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-1687830</wp:posOffset>
            </wp:positionV>
            <wp:extent cx="6858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-1687830</wp:posOffset>
            </wp:positionV>
            <wp:extent cx="6858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-162560</wp:posOffset>
            </wp:positionV>
            <wp:extent cx="7747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-162560</wp:posOffset>
            </wp:positionV>
            <wp:extent cx="6858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-162560</wp:posOffset>
            </wp:positionV>
            <wp:extent cx="685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revenues by segment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2022</w:t>
            </w:r>
          </w:p>
        </w:tc>
        <w:tc>
          <w:tcPr>
            <w:tcW w:w="58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Calibri" w:cs="Calibri" w:eastAsia="Calibri" w:hAnsi="Calibri"/>
                <w:sz w:val="14"/>
                <w:szCs w:val="14"/>
                <w:b w:val="1"/>
                <w:bCs w:val="1"/>
                <w:color w:val="auto"/>
              </w:rPr>
              <w:t>2021</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4"/>
                <w:szCs w:val="14"/>
                <w:color w:val="auto"/>
              </w:rPr>
            </w:pPr>
          </w:p>
        </w:tc>
        <w:tc>
          <w:tcPr>
            <w:tcW w:w="1860" w:type="dxa"/>
            <w:vAlign w:val="bottom"/>
            <w:gridSpan w:val="3"/>
          </w:tcPr>
          <w:p>
            <w:pPr>
              <w:ind w:left="58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06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10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7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60" w:type="dxa"/>
            <w:vAlign w:val="bottom"/>
          </w:tcPr>
          <w:p>
            <w:pPr>
              <w:ind w:left="20"/>
              <w:spacing w:after="0"/>
              <w:rPr>
                <w:sz w:val="20"/>
                <w:szCs w:val="20"/>
                <w:color w:val="auto"/>
              </w:rPr>
            </w:pPr>
            <w:r>
              <w:rPr>
                <w:rFonts w:ascii="Calibri" w:cs="Calibri" w:eastAsia="Calibri" w:hAnsi="Calibri"/>
                <w:sz w:val="14"/>
                <w:szCs w:val="14"/>
                <w:color w:val="auto"/>
              </w:rPr>
              <w:t>Marketplace</w:t>
            </w:r>
          </w:p>
        </w:tc>
        <w:tc>
          <w:tcPr>
            <w:tcW w:w="1020" w:type="dxa"/>
            <w:vAlign w:val="bottom"/>
          </w:tcPr>
          <w:p>
            <w:pPr>
              <w:jc w:val="right"/>
              <w:ind w:right="868"/>
              <w:spacing w:after="0"/>
              <w:rPr>
                <w:sz w:val="20"/>
                <w:szCs w:val="20"/>
                <w:color w:val="auto"/>
              </w:rPr>
            </w:pPr>
            <w:r>
              <w:rPr>
                <w:rFonts w:ascii="Calibri" w:cs="Calibri" w:eastAsia="Calibri" w:hAnsi="Calibri"/>
                <w:sz w:val="14"/>
                <w:szCs w:val="14"/>
                <w:color w:val="auto"/>
                <w:w w:val="83"/>
              </w:rPr>
              <w:t>$</w:t>
            </w:r>
          </w:p>
        </w:tc>
        <w:tc>
          <w:tcPr>
            <w:tcW w:w="580" w:type="dxa"/>
            <w:vAlign w:val="bottom"/>
          </w:tcPr>
          <w:p>
            <w:pPr>
              <w:jc w:val="right"/>
              <w:spacing w:after="0"/>
              <w:rPr>
                <w:sz w:val="20"/>
                <w:szCs w:val="20"/>
                <w:color w:val="auto"/>
              </w:rPr>
            </w:pPr>
            <w:r>
              <w:rPr>
                <w:rFonts w:ascii="Calibri" w:cs="Calibri" w:eastAsia="Calibri" w:hAnsi="Calibri"/>
                <w:sz w:val="14"/>
                <w:szCs w:val="14"/>
                <w:color w:val="auto"/>
              </w:rPr>
              <w:t>511,094</w:t>
            </w:r>
          </w:p>
        </w:tc>
        <w:tc>
          <w:tcPr>
            <w:tcW w:w="1240" w:type="dxa"/>
            <w:vAlign w:val="bottom"/>
            <w:gridSpan w:val="2"/>
          </w:tcPr>
          <w:p>
            <w:pPr>
              <w:jc w:val="right"/>
              <w:ind w:right="848"/>
              <w:spacing w:after="0"/>
              <w:rPr>
                <w:sz w:val="20"/>
                <w:szCs w:val="20"/>
                <w:color w:val="auto"/>
              </w:rPr>
            </w:pPr>
            <w:r>
              <w:rPr>
                <w:rFonts w:ascii="Calibri" w:cs="Calibri" w:eastAsia="Calibri" w:hAnsi="Calibri"/>
                <w:sz w:val="14"/>
                <w:szCs w:val="14"/>
                <w:color w:val="auto"/>
              </w:rPr>
              <w:t>$</w:t>
            </w:r>
          </w:p>
        </w:tc>
        <w:tc>
          <w:tcPr>
            <w:tcW w:w="560" w:type="dxa"/>
            <w:vAlign w:val="bottom"/>
          </w:tcPr>
          <w:p>
            <w:pPr>
              <w:jc w:val="right"/>
              <w:spacing w:after="0"/>
              <w:rPr>
                <w:sz w:val="20"/>
                <w:szCs w:val="20"/>
                <w:color w:val="auto"/>
              </w:rPr>
            </w:pPr>
            <w:r>
              <w:rPr>
                <w:rFonts w:ascii="Calibri" w:cs="Calibri" w:eastAsia="Calibri" w:hAnsi="Calibri"/>
                <w:sz w:val="14"/>
                <w:szCs w:val="14"/>
                <w:color w:val="auto"/>
              </w:rPr>
              <w:t>389,668</w:t>
            </w:r>
          </w:p>
        </w:tc>
        <w:tc>
          <w:tcPr>
            <w:tcW w:w="520" w:type="dxa"/>
            <w:vAlign w:val="bottom"/>
            <w:gridSpan w:val="2"/>
          </w:tcPr>
          <w:p>
            <w:pPr>
              <w:jc w:val="right"/>
              <w:ind w:right="148"/>
              <w:spacing w:after="0"/>
              <w:rPr>
                <w:sz w:val="20"/>
                <w:szCs w:val="20"/>
                <w:color w:val="auto"/>
              </w:rPr>
            </w:pPr>
            <w:r>
              <w:rPr>
                <w:rFonts w:ascii="Calibri" w:cs="Calibri" w:eastAsia="Calibri" w:hAnsi="Calibri"/>
                <w:sz w:val="14"/>
                <w:szCs w:val="14"/>
                <w:color w:val="auto"/>
              </w:rPr>
              <w:t>$</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121,426</w:t>
            </w:r>
          </w:p>
        </w:tc>
        <w:tc>
          <w:tcPr>
            <w:tcW w:w="2060" w:type="dxa"/>
            <w:vAlign w:val="bottom"/>
            <w:gridSpan w:val="3"/>
          </w:tcPr>
          <w:p>
            <w:pPr>
              <w:jc w:val="right"/>
              <w:spacing w:after="0"/>
              <w:rPr>
                <w:sz w:val="20"/>
                <w:szCs w:val="20"/>
                <w:color w:val="auto"/>
              </w:rPr>
            </w:pPr>
            <w:r>
              <w:rPr>
                <w:rFonts w:ascii="Calibri" w:cs="Calibri" w:eastAsia="Calibri" w:hAnsi="Calibri"/>
                <w:sz w:val="14"/>
                <w:szCs w:val="14"/>
                <w:color w:val="auto"/>
              </w:rPr>
              <w:t>31 %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60" w:type="dxa"/>
            <w:vAlign w:val="bottom"/>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Resale</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89,180</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53,370</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35,810</w:t>
            </w:r>
          </w:p>
        </w:tc>
        <w:tc>
          <w:tcPr>
            <w:tcW w:w="220" w:type="dxa"/>
            <w:vAlign w:val="bottom"/>
            <w:shd w:val="clear" w:color="auto" w:fill="CFF0FC"/>
          </w:tcPr>
          <w:p>
            <w:pPr>
              <w:spacing w:after="0"/>
              <w:rPr>
                <w:sz w:val="16"/>
                <w:szCs w:val="16"/>
                <w:color w:val="auto"/>
              </w:rPr>
            </w:pPr>
          </w:p>
        </w:tc>
        <w:tc>
          <w:tcPr>
            <w:tcW w:w="184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67 %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ind w:left="20"/>
              <w:spacing w:after="0"/>
              <w:rPr>
                <w:sz w:val="20"/>
                <w:szCs w:val="20"/>
                <w:color w:val="auto"/>
              </w:rPr>
            </w:pPr>
            <w:r>
              <w:rPr>
                <w:rFonts w:ascii="Calibri" w:cs="Calibri" w:eastAsia="Calibri" w:hAnsi="Calibri"/>
                <w:sz w:val="14"/>
                <w:szCs w:val="14"/>
                <w:b w:val="1"/>
                <w:bCs w:val="1"/>
                <w:color w:val="auto"/>
              </w:rPr>
              <w:t>Total revenues</w:t>
            </w:r>
          </w:p>
        </w:tc>
        <w:tc>
          <w:tcPr>
            <w:tcW w:w="1020" w:type="dxa"/>
            <w:vAlign w:val="bottom"/>
          </w:tcPr>
          <w:p>
            <w:pPr>
              <w:jc w:val="right"/>
              <w:ind w:right="868"/>
              <w:spacing w:after="0"/>
              <w:rPr>
                <w:sz w:val="20"/>
                <w:szCs w:val="20"/>
                <w:color w:val="auto"/>
              </w:rPr>
            </w:pPr>
            <w:r>
              <w:rPr>
                <w:rFonts w:ascii="Calibri" w:cs="Calibri" w:eastAsia="Calibri" w:hAnsi="Calibri"/>
                <w:sz w:val="14"/>
                <w:szCs w:val="14"/>
                <w:b w:val="1"/>
                <w:bCs w:val="1"/>
                <w:color w:val="auto"/>
                <w:w w:val="83"/>
              </w:rPr>
              <w:t>$</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600,274</w:t>
            </w:r>
          </w:p>
        </w:tc>
        <w:tc>
          <w:tcPr>
            <w:tcW w:w="240" w:type="dxa"/>
            <w:vAlign w:val="bottom"/>
          </w:tcPr>
          <w:p>
            <w:pPr>
              <w:spacing w:after="0"/>
              <w:rPr>
                <w:sz w:val="17"/>
                <w:szCs w:val="17"/>
                <w:color w:val="auto"/>
              </w:rPr>
            </w:pPr>
          </w:p>
        </w:tc>
        <w:tc>
          <w:tcPr>
            <w:tcW w:w="1000" w:type="dxa"/>
            <w:vAlign w:val="bottom"/>
          </w:tcPr>
          <w:p>
            <w:pPr>
              <w:jc w:val="right"/>
              <w:ind w:right="848"/>
              <w:spacing w:after="0"/>
              <w:rPr>
                <w:sz w:val="20"/>
                <w:szCs w:val="20"/>
                <w:color w:val="auto"/>
              </w:rPr>
            </w:pPr>
            <w:r>
              <w:rPr>
                <w:rFonts w:ascii="Calibri" w:cs="Calibri" w:eastAsia="Calibri" w:hAnsi="Calibri"/>
                <w:sz w:val="14"/>
                <w:szCs w:val="14"/>
                <w:b w:val="1"/>
                <w:bCs w:val="1"/>
                <w:color w:val="auto"/>
                <w:w w:val="83"/>
              </w:rPr>
              <w:t>$</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443,038</w:t>
            </w:r>
          </w:p>
        </w:tc>
        <w:tc>
          <w:tcPr>
            <w:tcW w:w="2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Calibri" w:cs="Calibri" w:eastAsia="Calibri" w:hAnsi="Calibri"/>
                <w:sz w:val="14"/>
                <w:szCs w:val="14"/>
                <w:b w:val="1"/>
                <w:bCs w:val="1"/>
                <w:color w:val="auto"/>
                <w:w w:val="83"/>
              </w:rPr>
              <w:t>$</w:t>
            </w:r>
          </w:p>
        </w:tc>
        <w:tc>
          <w:tcPr>
            <w:tcW w:w="1200" w:type="dxa"/>
            <w:vAlign w:val="bottom"/>
          </w:tcPr>
          <w:p>
            <w:pPr>
              <w:jc w:val="right"/>
              <w:spacing w:after="0"/>
              <w:rPr>
                <w:sz w:val="20"/>
                <w:szCs w:val="20"/>
                <w:color w:val="auto"/>
              </w:rPr>
            </w:pPr>
            <w:r>
              <w:rPr>
                <w:rFonts w:ascii="Calibri" w:cs="Calibri" w:eastAsia="Calibri" w:hAnsi="Calibri"/>
                <w:sz w:val="14"/>
                <w:szCs w:val="14"/>
                <w:b w:val="1"/>
                <w:bCs w:val="1"/>
                <w:color w:val="auto"/>
              </w:rPr>
              <w:t>157,236</w:t>
            </w:r>
          </w:p>
        </w:tc>
        <w:tc>
          <w:tcPr>
            <w:tcW w:w="22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35 %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-162560</wp:posOffset>
            </wp:positionV>
            <wp:extent cx="7747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-162560</wp:posOffset>
            </wp:positionV>
            <wp:extent cx="685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6858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06"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Total revenues increased $157.2 million for the year ended December 31, 2022 compared to the year ended December 31, 2021. The increase, which occurred in both our Marketplace and Resale segments, resulted from an increase in new orders processed resultng from the resumpton and increasing number of live events and fewer event cancellatons. The pandemic and resultng mitgaton measures had a signifcant adverse efect on order volume and event cancellatons during the year ended December 31, 2021. In the second quarter of 2021, most local governments began to lif large scale restrictons on live events such that there was a signifcant increase in live events held for the year ended December 31, 2022 compared to the year ended December 31, 2021.</w:t>
      </w:r>
    </w:p>
    <w:p>
      <w:pPr>
        <w:spacing w:after="0" w:line="108"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93" w:right="27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i w:val="1"/>
          <w:iCs w:val="1"/>
          <w:color w:val="auto"/>
        </w:rPr>
        <w:t>Marketplace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revenues in our Marketplace segment by event category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2022</w:t>
            </w:r>
          </w:p>
        </w:tc>
        <w:tc>
          <w:tcPr>
            <w:tcW w:w="58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2021</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4"/>
                <w:szCs w:val="14"/>
                <w:color w:val="auto"/>
              </w:rPr>
            </w:pPr>
          </w:p>
        </w:tc>
        <w:tc>
          <w:tcPr>
            <w:tcW w:w="1860" w:type="dxa"/>
            <w:vAlign w:val="bottom"/>
            <w:gridSpan w:val="3"/>
          </w:tcPr>
          <w:p>
            <w:pPr>
              <w:ind w:left="58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06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10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7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60" w:type="dxa"/>
            <w:vAlign w:val="bottom"/>
          </w:tcPr>
          <w:p>
            <w:pPr>
              <w:ind w:left="20"/>
              <w:spacing w:after="0"/>
              <w:rPr>
                <w:sz w:val="20"/>
                <w:szCs w:val="20"/>
                <w:color w:val="auto"/>
              </w:rPr>
            </w:pPr>
            <w:r>
              <w:rPr>
                <w:rFonts w:ascii="Calibri" w:cs="Calibri" w:eastAsia="Calibri" w:hAnsi="Calibri"/>
                <w:sz w:val="14"/>
                <w:szCs w:val="14"/>
                <w:color w:val="auto"/>
              </w:rPr>
              <w:t>Concerts</w:t>
            </w:r>
          </w:p>
        </w:tc>
        <w:tc>
          <w:tcPr>
            <w:tcW w:w="1020" w:type="dxa"/>
            <w:vAlign w:val="bottom"/>
          </w:tcPr>
          <w:p>
            <w:pPr>
              <w:jc w:val="right"/>
              <w:ind w:right="868"/>
              <w:spacing w:after="0"/>
              <w:rPr>
                <w:sz w:val="20"/>
                <w:szCs w:val="20"/>
                <w:color w:val="auto"/>
              </w:rPr>
            </w:pPr>
            <w:r>
              <w:rPr>
                <w:rFonts w:ascii="Calibri" w:cs="Calibri" w:eastAsia="Calibri" w:hAnsi="Calibri"/>
                <w:sz w:val="14"/>
                <w:szCs w:val="14"/>
                <w:color w:val="auto"/>
                <w:w w:val="83"/>
              </w:rPr>
              <w:t>$</w:t>
            </w:r>
          </w:p>
        </w:tc>
        <w:tc>
          <w:tcPr>
            <w:tcW w:w="580" w:type="dxa"/>
            <w:vAlign w:val="bottom"/>
          </w:tcPr>
          <w:p>
            <w:pPr>
              <w:jc w:val="right"/>
              <w:spacing w:after="0"/>
              <w:rPr>
                <w:sz w:val="20"/>
                <w:szCs w:val="20"/>
                <w:color w:val="auto"/>
              </w:rPr>
            </w:pPr>
            <w:r>
              <w:rPr>
                <w:rFonts w:ascii="Calibri" w:cs="Calibri" w:eastAsia="Calibri" w:hAnsi="Calibri"/>
                <w:sz w:val="14"/>
                <w:szCs w:val="14"/>
                <w:color w:val="auto"/>
              </w:rPr>
              <w:t>251,423</w:t>
            </w:r>
          </w:p>
        </w:tc>
        <w:tc>
          <w:tcPr>
            <w:tcW w:w="1240" w:type="dxa"/>
            <w:vAlign w:val="bottom"/>
            <w:gridSpan w:val="2"/>
          </w:tcPr>
          <w:p>
            <w:pPr>
              <w:jc w:val="right"/>
              <w:ind w:right="920"/>
              <w:spacing w:after="0"/>
              <w:rPr>
                <w:sz w:val="20"/>
                <w:szCs w:val="20"/>
                <w:color w:val="auto"/>
              </w:rPr>
            </w:pPr>
            <w:r>
              <w:rPr>
                <w:rFonts w:ascii="Calibri" w:cs="Calibri" w:eastAsia="Calibri" w:hAnsi="Calibri"/>
                <w:sz w:val="14"/>
                <w:szCs w:val="14"/>
                <w:color w:val="auto"/>
              </w:rPr>
              <w:t>$</w:t>
            </w:r>
          </w:p>
        </w:tc>
        <w:tc>
          <w:tcPr>
            <w:tcW w:w="560" w:type="dxa"/>
            <w:vAlign w:val="bottom"/>
          </w:tcPr>
          <w:p>
            <w:pPr>
              <w:jc w:val="right"/>
              <w:spacing w:after="0"/>
              <w:rPr>
                <w:sz w:val="20"/>
                <w:szCs w:val="20"/>
                <w:color w:val="auto"/>
              </w:rPr>
            </w:pPr>
            <w:r>
              <w:rPr>
                <w:rFonts w:ascii="Calibri" w:cs="Calibri" w:eastAsia="Calibri" w:hAnsi="Calibri"/>
                <w:sz w:val="14"/>
                <w:szCs w:val="14"/>
                <w:color w:val="auto"/>
              </w:rPr>
              <w:t>171,149</w:t>
            </w:r>
          </w:p>
        </w:tc>
        <w:tc>
          <w:tcPr>
            <w:tcW w:w="52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80,274</w:t>
            </w:r>
          </w:p>
        </w:tc>
        <w:tc>
          <w:tcPr>
            <w:tcW w:w="2060" w:type="dxa"/>
            <w:vAlign w:val="bottom"/>
            <w:gridSpan w:val="3"/>
          </w:tcPr>
          <w:p>
            <w:pPr>
              <w:jc w:val="right"/>
              <w:spacing w:after="0"/>
              <w:rPr>
                <w:sz w:val="20"/>
                <w:szCs w:val="20"/>
                <w:color w:val="auto"/>
              </w:rPr>
            </w:pPr>
            <w:r>
              <w:rPr>
                <w:rFonts w:ascii="Calibri" w:cs="Calibri" w:eastAsia="Calibri" w:hAnsi="Calibri"/>
                <w:sz w:val="14"/>
                <w:szCs w:val="14"/>
                <w:color w:val="auto"/>
              </w:rPr>
              <w:t>47 %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60" w:type="dxa"/>
            <w:vAlign w:val="bottom"/>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Sports</w:t>
            </w:r>
          </w:p>
        </w:tc>
        <w:tc>
          <w:tcPr>
            <w:tcW w:w="10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196,467</w:t>
            </w: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175,471</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20,996</w:t>
            </w:r>
          </w:p>
        </w:tc>
        <w:tc>
          <w:tcPr>
            <w:tcW w:w="2060" w:type="dxa"/>
            <w:vAlign w:val="bottom"/>
            <w:tcBorders>
              <w:bottom w:val="single" w:sz="8" w:color="CFF0FC"/>
            </w:tcBorders>
            <w:gridSpan w:val="3"/>
            <w:shd w:val="clear" w:color="auto" w:fill="CFF0FC"/>
          </w:tcPr>
          <w:p>
            <w:pPr>
              <w:jc w:val="right"/>
              <w:spacing w:after="0"/>
              <w:rPr>
                <w:sz w:val="20"/>
                <w:szCs w:val="20"/>
                <w:color w:val="auto"/>
              </w:rPr>
            </w:pPr>
            <w:r>
              <w:rPr>
                <w:rFonts w:ascii="Calibri" w:cs="Calibri" w:eastAsia="Calibri" w:hAnsi="Calibri"/>
                <w:sz w:val="14"/>
                <w:szCs w:val="14"/>
                <w:color w:val="auto"/>
              </w:rPr>
              <w:t>12 %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60" w:type="dxa"/>
            <w:vAlign w:val="bottom"/>
          </w:tcPr>
          <w:p>
            <w:pPr>
              <w:ind w:left="20"/>
              <w:spacing w:after="0"/>
              <w:rPr>
                <w:sz w:val="20"/>
                <w:szCs w:val="20"/>
                <w:color w:val="auto"/>
              </w:rPr>
            </w:pPr>
            <w:r>
              <w:rPr>
                <w:rFonts w:ascii="Calibri" w:cs="Calibri" w:eastAsia="Calibri" w:hAnsi="Calibri"/>
                <w:sz w:val="14"/>
                <w:szCs w:val="14"/>
                <w:color w:val="auto"/>
              </w:rPr>
              <w:t>Theater</w:t>
            </w:r>
          </w:p>
        </w:tc>
        <w:tc>
          <w:tcPr>
            <w:tcW w:w="10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61,483</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41,745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19,738</w:t>
            </w:r>
          </w:p>
        </w:tc>
        <w:tc>
          <w:tcPr>
            <w:tcW w:w="2060" w:type="dxa"/>
            <w:vAlign w:val="bottom"/>
            <w:gridSpan w:val="3"/>
          </w:tcPr>
          <w:p>
            <w:pPr>
              <w:jc w:val="right"/>
              <w:spacing w:after="0"/>
              <w:rPr>
                <w:sz w:val="20"/>
                <w:szCs w:val="20"/>
                <w:color w:val="auto"/>
              </w:rPr>
            </w:pPr>
            <w:r>
              <w:rPr>
                <w:rFonts w:ascii="Calibri" w:cs="Calibri" w:eastAsia="Calibri" w:hAnsi="Calibri"/>
                <w:sz w:val="14"/>
                <w:szCs w:val="14"/>
                <w:color w:val="auto"/>
              </w:rPr>
              <w:t>47 %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60" w:type="dxa"/>
            <w:vAlign w:val="bottom"/>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Other</w:t>
            </w:r>
          </w:p>
        </w:tc>
        <w:tc>
          <w:tcPr>
            <w:tcW w:w="10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1,721</w:t>
            </w: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1,303</w:t>
            </w:r>
          </w:p>
        </w:tc>
        <w:tc>
          <w:tcPr>
            <w:tcW w:w="2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418</w:t>
            </w:r>
          </w:p>
        </w:tc>
        <w:tc>
          <w:tcPr>
            <w:tcW w:w="2060" w:type="dxa"/>
            <w:vAlign w:val="bottom"/>
            <w:tcBorders>
              <w:bottom w:val="single" w:sz="8" w:color="auto"/>
            </w:tcBorders>
            <w:gridSpan w:val="3"/>
            <w:shd w:val="clear" w:color="auto" w:fill="CFF0FC"/>
          </w:tcPr>
          <w:p>
            <w:pPr>
              <w:jc w:val="right"/>
              <w:spacing w:after="0"/>
              <w:rPr>
                <w:sz w:val="20"/>
                <w:szCs w:val="20"/>
                <w:color w:val="auto"/>
              </w:rPr>
            </w:pPr>
            <w:r>
              <w:rPr>
                <w:rFonts w:ascii="Calibri" w:cs="Calibri" w:eastAsia="Calibri" w:hAnsi="Calibri"/>
                <w:sz w:val="14"/>
                <w:szCs w:val="14"/>
                <w:color w:val="auto"/>
              </w:rPr>
              <w:t>32 %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Marketplace revenues</w:t>
            </w:r>
          </w:p>
        </w:tc>
        <w:tc>
          <w:tcPr>
            <w:tcW w:w="1020" w:type="dxa"/>
            <w:vAlign w:val="bottom"/>
          </w:tcPr>
          <w:p>
            <w:pPr>
              <w:jc w:val="right"/>
              <w:ind w:right="868"/>
              <w:spacing w:after="0"/>
              <w:rPr>
                <w:sz w:val="20"/>
                <w:szCs w:val="20"/>
                <w:color w:val="auto"/>
              </w:rPr>
            </w:pPr>
            <w:r>
              <w:rPr>
                <w:rFonts w:ascii="Calibri" w:cs="Calibri" w:eastAsia="Calibri" w:hAnsi="Calibri"/>
                <w:sz w:val="14"/>
                <w:szCs w:val="14"/>
                <w:b w:val="1"/>
                <w:bCs w:val="1"/>
                <w:color w:val="auto"/>
                <w:w w:val="83"/>
              </w:rPr>
              <w:t>$</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511,094</w:t>
            </w:r>
          </w:p>
        </w:tc>
        <w:tc>
          <w:tcPr>
            <w:tcW w:w="1240" w:type="dxa"/>
            <w:vAlign w:val="bottom"/>
            <w:gridSpan w:val="2"/>
          </w:tcPr>
          <w:p>
            <w:pPr>
              <w:jc w:val="right"/>
              <w:ind w:right="920"/>
              <w:spacing w:after="0"/>
              <w:rPr>
                <w:sz w:val="20"/>
                <w:szCs w:val="20"/>
                <w:color w:val="auto"/>
              </w:rPr>
            </w:pPr>
            <w:r>
              <w:rPr>
                <w:rFonts w:ascii="Calibri" w:cs="Calibri" w:eastAsia="Calibri" w:hAnsi="Calibri"/>
                <w:sz w:val="14"/>
                <w:szCs w:val="14"/>
                <w:b w:val="1"/>
                <w:bCs w:val="1"/>
                <w:color w:val="auto"/>
              </w:rPr>
              <w:t>$</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389,668</w:t>
            </w:r>
          </w:p>
        </w:tc>
        <w:tc>
          <w:tcPr>
            <w:tcW w:w="520" w:type="dxa"/>
            <w:vAlign w:val="bottom"/>
            <w:gridSpan w:val="2"/>
          </w:tcPr>
          <w:p>
            <w:pPr>
              <w:jc w:val="right"/>
              <w:ind w:right="220"/>
              <w:spacing w:after="0"/>
              <w:rPr>
                <w:sz w:val="20"/>
                <w:szCs w:val="20"/>
                <w:color w:val="auto"/>
              </w:rPr>
            </w:pPr>
            <w:r>
              <w:rPr>
                <w:rFonts w:ascii="Calibri" w:cs="Calibri" w:eastAsia="Calibri" w:hAnsi="Calibri"/>
                <w:sz w:val="14"/>
                <w:szCs w:val="14"/>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14"/>
                <w:szCs w:val="14"/>
                <w:b w:val="1"/>
                <w:bCs w:val="1"/>
                <w:color w:val="auto"/>
              </w:rPr>
              <w:t>121,426</w:t>
            </w:r>
          </w:p>
        </w:tc>
        <w:tc>
          <w:tcPr>
            <w:tcW w:w="20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31 %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-162560</wp:posOffset>
            </wp:positionV>
            <wp:extent cx="7747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-162560</wp:posOffset>
            </wp:positionV>
            <wp:extent cx="6858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6858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0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Marketplace revenues increased $121.4 million during the year ended December 31, 2022 compared to the year ended December 31, 2021. The increase in Marketplace revenues for the year ended December 31, 2022 resulted primarily from an overall increase in new orders processed, driven by the resumpton and increasing number of live events, and fewer event cancellatons compared to the year ended December 31, 2021. The increase in Marketplace revenues was primarily driven by the concert category and resulted from an increase in new orders processed, driven by the resumpton and overall increasing number of events, rescheduling of postponed events and reduced event cancellatons.</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color w:val="auto"/>
        </w:rPr>
        <w:t>Total Marketplace orders increased 2.5 million, or 38%, during the year ended December 31, 2022 compared to the year ended December 31, 2021.</w:t>
      </w:r>
    </w:p>
    <w:p>
      <w:pPr>
        <w:spacing w:after="0" w:line="13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Cancellaton charges, which are recognized as a reducton to revenues, were $27.8 million for the year ended December 31, 2022, compared to $34.5 million for the year ended December 31, 2021. Cancellaton charges for the year ended December 31, 2022 were lower than the year ended December 31, 2021 due to lower event cancellatons in all event categories and higher recorded breakage on customer credits, partally ofset by higher customer refunds that increase as order volume increases.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color w:val="auto"/>
        </w:rPr>
        <w:t>Marketplace revenues by business model consisted of the following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2022</w:t>
            </w:r>
          </w:p>
        </w:tc>
        <w:tc>
          <w:tcPr>
            <w:tcW w:w="58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Calibri" w:cs="Calibri" w:eastAsia="Calibri" w:hAnsi="Calibri"/>
                <w:sz w:val="14"/>
                <w:szCs w:val="14"/>
                <w:b w:val="1"/>
                <w:bCs w:val="1"/>
                <w:color w:val="auto"/>
              </w:rPr>
              <w:t>2021</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4"/>
                <w:szCs w:val="14"/>
                <w:color w:val="auto"/>
              </w:rPr>
            </w:pPr>
          </w:p>
        </w:tc>
        <w:tc>
          <w:tcPr>
            <w:tcW w:w="1860" w:type="dxa"/>
            <w:vAlign w:val="bottom"/>
            <w:gridSpan w:val="3"/>
          </w:tcPr>
          <w:p>
            <w:pPr>
              <w:ind w:left="58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06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10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7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60" w:type="dxa"/>
            <w:vAlign w:val="bottom"/>
          </w:tcPr>
          <w:p>
            <w:pPr>
              <w:ind w:left="20"/>
              <w:spacing w:after="0"/>
              <w:rPr>
                <w:sz w:val="20"/>
                <w:szCs w:val="20"/>
                <w:color w:val="auto"/>
              </w:rPr>
            </w:pPr>
            <w:r>
              <w:rPr>
                <w:rFonts w:ascii="Calibri" w:cs="Calibri" w:eastAsia="Calibri" w:hAnsi="Calibri"/>
                <w:sz w:val="14"/>
                <w:szCs w:val="14"/>
                <w:color w:val="auto"/>
              </w:rPr>
              <w:t>Owned Propertes</w:t>
            </w:r>
          </w:p>
        </w:tc>
        <w:tc>
          <w:tcPr>
            <w:tcW w:w="1020" w:type="dxa"/>
            <w:vAlign w:val="bottom"/>
          </w:tcPr>
          <w:p>
            <w:pPr>
              <w:jc w:val="right"/>
              <w:ind w:right="868"/>
              <w:spacing w:after="0"/>
              <w:rPr>
                <w:sz w:val="20"/>
                <w:szCs w:val="20"/>
                <w:color w:val="auto"/>
              </w:rPr>
            </w:pPr>
            <w:r>
              <w:rPr>
                <w:rFonts w:ascii="Calibri" w:cs="Calibri" w:eastAsia="Calibri" w:hAnsi="Calibri"/>
                <w:sz w:val="14"/>
                <w:szCs w:val="14"/>
                <w:color w:val="auto"/>
                <w:w w:val="83"/>
              </w:rPr>
              <w:t>$</w:t>
            </w:r>
          </w:p>
        </w:tc>
        <w:tc>
          <w:tcPr>
            <w:tcW w:w="580" w:type="dxa"/>
            <w:vAlign w:val="bottom"/>
          </w:tcPr>
          <w:p>
            <w:pPr>
              <w:jc w:val="right"/>
              <w:spacing w:after="0"/>
              <w:rPr>
                <w:sz w:val="20"/>
                <w:szCs w:val="20"/>
                <w:color w:val="auto"/>
              </w:rPr>
            </w:pPr>
            <w:r>
              <w:rPr>
                <w:rFonts w:ascii="Calibri" w:cs="Calibri" w:eastAsia="Calibri" w:hAnsi="Calibri"/>
                <w:sz w:val="14"/>
                <w:szCs w:val="14"/>
                <w:color w:val="auto"/>
              </w:rPr>
              <w:t>400,413</w:t>
            </w:r>
          </w:p>
        </w:tc>
        <w:tc>
          <w:tcPr>
            <w:tcW w:w="1240" w:type="dxa"/>
            <w:vAlign w:val="bottom"/>
            <w:gridSpan w:val="2"/>
          </w:tcPr>
          <w:p>
            <w:pPr>
              <w:jc w:val="right"/>
              <w:ind w:right="848"/>
              <w:spacing w:after="0"/>
              <w:rPr>
                <w:sz w:val="20"/>
                <w:szCs w:val="20"/>
                <w:color w:val="auto"/>
              </w:rPr>
            </w:pPr>
            <w:r>
              <w:rPr>
                <w:rFonts w:ascii="Calibri" w:cs="Calibri" w:eastAsia="Calibri" w:hAnsi="Calibri"/>
                <w:sz w:val="14"/>
                <w:szCs w:val="14"/>
                <w:color w:val="auto"/>
              </w:rPr>
              <w:t>$</w:t>
            </w:r>
          </w:p>
        </w:tc>
        <w:tc>
          <w:tcPr>
            <w:tcW w:w="560" w:type="dxa"/>
            <w:vAlign w:val="bottom"/>
          </w:tcPr>
          <w:p>
            <w:pPr>
              <w:jc w:val="right"/>
              <w:spacing w:after="0"/>
              <w:rPr>
                <w:sz w:val="20"/>
                <w:szCs w:val="20"/>
                <w:color w:val="auto"/>
              </w:rPr>
            </w:pPr>
            <w:r>
              <w:rPr>
                <w:rFonts w:ascii="Calibri" w:cs="Calibri" w:eastAsia="Calibri" w:hAnsi="Calibri"/>
                <w:sz w:val="14"/>
                <w:szCs w:val="14"/>
                <w:color w:val="auto"/>
              </w:rPr>
              <w:t>308,226</w:t>
            </w:r>
          </w:p>
        </w:tc>
        <w:tc>
          <w:tcPr>
            <w:tcW w:w="520" w:type="dxa"/>
            <w:vAlign w:val="bottom"/>
            <w:gridSpan w:val="2"/>
          </w:tcPr>
          <w:p>
            <w:pPr>
              <w:jc w:val="right"/>
              <w:ind w:right="148"/>
              <w:spacing w:after="0"/>
              <w:rPr>
                <w:sz w:val="20"/>
                <w:szCs w:val="20"/>
                <w:color w:val="auto"/>
              </w:rPr>
            </w:pPr>
            <w:r>
              <w:rPr>
                <w:rFonts w:ascii="Calibri" w:cs="Calibri" w:eastAsia="Calibri" w:hAnsi="Calibri"/>
                <w:sz w:val="14"/>
                <w:szCs w:val="14"/>
                <w:color w:val="auto"/>
              </w:rPr>
              <w:t>$</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92,187</w:t>
            </w:r>
          </w:p>
        </w:tc>
        <w:tc>
          <w:tcPr>
            <w:tcW w:w="2060" w:type="dxa"/>
            <w:vAlign w:val="bottom"/>
            <w:gridSpan w:val="3"/>
          </w:tcPr>
          <w:p>
            <w:pPr>
              <w:jc w:val="right"/>
              <w:spacing w:after="0"/>
              <w:rPr>
                <w:sz w:val="20"/>
                <w:szCs w:val="20"/>
                <w:color w:val="auto"/>
              </w:rPr>
            </w:pPr>
            <w:r>
              <w:rPr>
                <w:rFonts w:ascii="Calibri" w:cs="Calibri" w:eastAsia="Calibri" w:hAnsi="Calibri"/>
                <w:sz w:val="14"/>
                <w:szCs w:val="14"/>
                <w:color w:val="auto"/>
              </w:rPr>
              <w:t>30 %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60" w:type="dxa"/>
            <w:vAlign w:val="bottom"/>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Private Label</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110,681</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81,442</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29,239</w:t>
            </w:r>
          </w:p>
        </w:tc>
        <w:tc>
          <w:tcPr>
            <w:tcW w:w="220" w:type="dxa"/>
            <w:vAlign w:val="bottom"/>
            <w:shd w:val="clear" w:color="auto" w:fill="CFF0FC"/>
          </w:tcPr>
          <w:p>
            <w:pPr>
              <w:spacing w:after="0"/>
              <w:rPr>
                <w:sz w:val="16"/>
                <w:szCs w:val="16"/>
                <w:color w:val="auto"/>
              </w:rPr>
            </w:pPr>
          </w:p>
        </w:tc>
        <w:tc>
          <w:tcPr>
            <w:tcW w:w="184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36 %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Marketplace revenues</w:t>
            </w:r>
          </w:p>
        </w:tc>
        <w:tc>
          <w:tcPr>
            <w:tcW w:w="1020" w:type="dxa"/>
            <w:vAlign w:val="bottom"/>
          </w:tcPr>
          <w:p>
            <w:pPr>
              <w:jc w:val="right"/>
              <w:ind w:right="868"/>
              <w:spacing w:after="0"/>
              <w:rPr>
                <w:sz w:val="20"/>
                <w:szCs w:val="20"/>
                <w:color w:val="auto"/>
              </w:rPr>
            </w:pPr>
            <w:r>
              <w:rPr>
                <w:rFonts w:ascii="Calibri" w:cs="Calibri" w:eastAsia="Calibri" w:hAnsi="Calibri"/>
                <w:sz w:val="14"/>
                <w:szCs w:val="14"/>
                <w:b w:val="1"/>
                <w:bCs w:val="1"/>
                <w:color w:val="auto"/>
                <w:w w:val="83"/>
              </w:rPr>
              <w:t>$</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511,094</w:t>
            </w:r>
          </w:p>
        </w:tc>
        <w:tc>
          <w:tcPr>
            <w:tcW w:w="240" w:type="dxa"/>
            <w:vAlign w:val="bottom"/>
          </w:tcPr>
          <w:p>
            <w:pPr>
              <w:spacing w:after="0"/>
              <w:rPr>
                <w:sz w:val="17"/>
                <w:szCs w:val="17"/>
                <w:color w:val="auto"/>
              </w:rPr>
            </w:pPr>
          </w:p>
        </w:tc>
        <w:tc>
          <w:tcPr>
            <w:tcW w:w="1000" w:type="dxa"/>
            <w:vAlign w:val="bottom"/>
          </w:tcPr>
          <w:p>
            <w:pPr>
              <w:jc w:val="right"/>
              <w:ind w:right="848"/>
              <w:spacing w:after="0"/>
              <w:rPr>
                <w:sz w:val="20"/>
                <w:szCs w:val="20"/>
                <w:color w:val="auto"/>
              </w:rPr>
            </w:pPr>
            <w:r>
              <w:rPr>
                <w:rFonts w:ascii="Calibri" w:cs="Calibri" w:eastAsia="Calibri" w:hAnsi="Calibri"/>
                <w:sz w:val="14"/>
                <w:szCs w:val="14"/>
                <w:b w:val="1"/>
                <w:bCs w:val="1"/>
                <w:color w:val="auto"/>
                <w:w w:val="83"/>
              </w:rPr>
              <w:t>$</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389,668</w:t>
            </w:r>
          </w:p>
        </w:tc>
        <w:tc>
          <w:tcPr>
            <w:tcW w:w="2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Calibri" w:cs="Calibri" w:eastAsia="Calibri" w:hAnsi="Calibri"/>
                <w:sz w:val="14"/>
                <w:szCs w:val="14"/>
                <w:b w:val="1"/>
                <w:bCs w:val="1"/>
                <w:color w:val="auto"/>
                <w:w w:val="83"/>
              </w:rPr>
              <w:t>$</w:t>
            </w:r>
          </w:p>
        </w:tc>
        <w:tc>
          <w:tcPr>
            <w:tcW w:w="1200" w:type="dxa"/>
            <w:vAlign w:val="bottom"/>
          </w:tcPr>
          <w:p>
            <w:pPr>
              <w:jc w:val="right"/>
              <w:spacing w:after="0"/>
              <w:rPr>
                <w:sz w:val="20"/>
                <w:szCs w:val="20"/>
                <w:color w:val="auto"/>
              </w:rPr>
            </w:pPr>
            <w:r>
              <w:rPr>
                <w:rFonts w:ascii="Calibri" w:cs="Calibri" w:eastAsia="Calibri" w:hAnsi="Calibri"/>
                <w:sz w:val="14"/>
                <w:szCs w:val="14"/>
                <w:b w:val="1"/>
                <w:bCs w:val="1"/>
                <w:color w:val="auto"/>
              </w:rPr>
              <w:t>121,426</w:t>
            </w:r>
          </w:p>
        </w:tc>
        <w:tc>
          <w:tcPr>
            <w:tcW w:w="22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31 %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-162560</wp:posOffset>
            </wp:positionV>
            <wp:extent cx="7747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-162560</wp:posOffset>
            </wp:positionV>
            <wp:extent cx="6858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6858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0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increases in revenue from both Owned Propertes and Private Label during the year ended December 31, 2022 compared to the year ended December 31, 2021 resulted from an increase in new orders processed, partcularly in the concert category, and fewer event cancellatons.</w:t>
      </w:r>
    </w:p>
    <w:p>
      <w:pPr>
        <w:spacing w:after="0" w:line="13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Within the Marketplace segment, we also earn referral fee revenue by ofering event tcket insurance to tcket buyers, using a third-party insurance provider. Our referral fee revenue was $33.4 million and $33.5 million during the years ended December 31, 2022 and 2021, respectvely. Referral fees were fat compared to 2021 as insurance atachment rate to orders declined.</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50" w:lineRule="exact"/>
        <w:rPr>
          <w:sz w:val="20"/>
          <w:szCs w:val="20"/>
          <w:color w:val="auto"/>
        </w:rPr>
      </w:pPr>
    </w:p>
    <w:p>
      <w:pPr>
        <w:spacing w:after="0"/>
        <w:rPr>
          <w:sz w:val="20"/>
          <w:szCs w:val="20"/>
          <w:color w:val="auto"/>
        </w:rPr>
      </w:pPr>
      <w:r>
        <w:rPr>
          <w:rFonts w:ascii="Calibri" w:cs="Calibri" w:eastAsia="Calibri" w:hAnsi="Calibri"/>
          <w:sz w:val="17"/>
          <w:szCs w:val="17"/>
          <w:color w:val="auto"/>
        </w:rPr>
        <w:t>Revenue for our Resale segment increased $35.8 million, or 67%, during the year ended December 31, 2022 compared to the year ended December 31, 2021.</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The increase resulted primarily from higher order volume in the concert category. Total Resale orders increased 0.1 million, or 57%, during the year ended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December 31, 2022 compared to the year ended December 31, 2021. Cancellaton charges, classifed as a reducton of revenue,</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93" w:right="319" w:bottom="1440" w:gutter="0" w:footer="0" w:header="0"/>
        </w:sectPr>
      </w:pPr>
    </w:p>
    <w:bookmarkStart w:id="49" w:name="page50"/>
    <w:bookmarkEnd w:id="49"/>
    <w:p>
      <w:pPr>
        <w:spacing w:after="0"/>
        <w:rPr>
          <w:sz w:val="20"/>
          <w:szCs w:val="20"/>
          <w:color w:val="auto"/>
        </w:rPr>
      </w:pPr>
      <w:r>
        <w:rPr>
          <w:rFonts w:ascii="Calibri" w:cs="Calibri" w:eastAsia="Calibri" w:hAnsi="Calibri"/>
          <w:sz w:val="18"/>
          <w:szCs w:val="18"/>
          <w:color w:val="auto"/>
        </w:rPr>
        <w:t>negatvely impacted Resale revenue by less than $0.1 million and $2.8 million for the years ended December 31, 2022 and 2021, respectvely.</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Cost of Revenues (exclusive of Depreciaton and Amortzaton)</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cost of revenues by segment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2022</w:t>
            </w:r>
          </w:p>
        </w:tc>
        <w:tc>
          <w:tcPr>
            <w:tcW w:w="580" w:type="dxa"/>
            <w:vAlign w:val="bottom"/>
          </w:tcPr>
          <w:p>
            <w:pPr>
              <w:spacing w:after="0"/>
              <w:rPr>
                <w:sz w:val="14"/>
                <w:szCs w:val="14"/>
                <w:color w:val="auto"/>
              </w:rPr>
            </w:pPr>
          </w:p>
        </w:tc>
        <w:tc>
          <w:tcPr>
            <w:tcW w:w="1280" w:type="dxa"/>
            <w:vAlign w:val="bottom"/>
            <w:gridSpan w:val="2"/>
          </w:tcPr>
          <w:p>
            <w:pPr>
              <w:jc w:val="right"/>
              <w:ind w:right="48"/>
              <w:spacing w:after="0"/>
              <w:rPr>
                <w:sz w:val="20"/>
                <w:szCs w:val="20"/>
                <w:color w:val="auto"/>
              </w:rPr>
            </w:pPr>
            <w:r>
              <w:rPr>
                <w:rFonts w:ascii="Calibri" w:cs="Calibri" w:eastAsia="Calibri" w:hAnsi="Calibri"/>
                <w:sz w:val="14"/>
                <w:szCs w:val="14"/>
                <w:b w:val="1"/>
                <w:bCs w:val="1"/>
                <w:color w:val="auto"/>
              </w:rPr>
              <w:t>2021</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4"/>
                <w:szCs w:val="14"/>
                <w:color w:val="auto"/>
              </w:rPr>
            </w:pPr>
          </w:p>
        </w:tc>
        <w:tc>
          <w:tcPr>
            <w:tcW w:w="1860" w:type="dxa"/>
            <w:vAlign w:val="bottom"/>
            <w:gridSpan w:val="3"/>
          </w:tcPr>
          <w:p>
            <w:pPr>
              <w:ind w:left="58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06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Cost of revenues:</w:t>
            </w:r>
          </w:p>
        </w:tc>
        <w:tc>
          <w:tcPr>
            <w:tcW w:w="10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7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60" w:type="dxa"/>
            <w:vAlign w:val="bottom"/>
          </w:tcPr>
          <w:p>
            <w:pPr>
              <w:ind w:left="20"/>
              <w:spacing w:after="0"/>
              <w:rPr>
                <w:sz w:val="20"/>
                <w:szCs w:val="20"/>
                <w:color w:val="auto"/>
              </w:rPr>
            </w:pPr>
            <w:r>
              <w:rPr>
                <w:rFonts w:ascii="Calibri" w:cs="Calibri" w:eastAsia="Calibri" w:hAnsi="Calibri"/>
                <w:sz w:val="14"/>
                <w:szCs w:val="14"/>
                <w:color w:val="auto"/>
              </w:rPr>
              <w:t>Marketplace</w:t>
            </w:r>
          </w:p>
        </w:tc>
        <w:tc>
          <w:tcPr>
            <w:tcW w:w="1020" w:type="dxa"/>
            <w:vAlign w:val="bottom"/>
          </w:tcPr>
          <w:p>
            <w:pPr>
              <w:jc w:val="right"/>
              <w:ind w:right="868"/>
              <w:spacing w:after="0"/>
              <w:rPr>
                <w:sz w:val="20"/>
                <w:szCs w:val="20"/>
                <w:color w:val="auto"/>
              </w:rPr>
            </w:pPr>
            <w:r>
              <w:rPr>
                <w:rFonts w:ascii="Calibri" w:cs="Calibri" w:eastAsia="Calibri" w:hAnsi="Calibri"/>
                <w:sz w:val="14"/>
                <w:szCs w:val="14"/>
                <w:color w:val="auto"/>
                <w:w w:val="83"/>
              </w:rPr>
              <w:t>$</w:t>
            </w:r>
          </w:p>
        </w:tc>
        <w:tc>
          <w:tcPr>
            <w:tcW w:w="580" w:type="dxa"/>
            <w:vAlign w:val="bottom"/>
          </w:tcPr>
          <w:p>
            <w:pPr>
              <w:jc w:val="right"/>
              <w:spacing w:after="0"/>
              <w:rPr>
                <w:sz w:val="20"/>
                <w:szCs w:val="20"/>
                <w:color w:val="auto"/>
              </w:rPr>
            </w:pPr>
            <w:r>
              <w:rPr>
                <w:rFonts w:ascii="Calibri" w:cs="Calibri" w:eastAsia="Calibri" w:hAnsi="Calibri"/>
                <w:sz w:val="14"/>
                <w:szCs w:val="14"/>
                <w:color w:val="auto"/>
              </w:rPr>
              <w:t>73,126</w:t>
            </w:r>
          </w:p>
        </w:tc>
        <w:tc>
          <w:tcPr>
            <w:tcW w:w="1280" w:type="dxa"/>
            <w:vAlign w:val="bottom"/>
            <w:gridSpan w:val="2"/>
          </w:tcPr>
          <w:p>
            <w:pPr>
              <w:jc w:val="right"/>
              <w:ind w:right="888"/>
              <w:spacing w:after="0"/>
              <w:rPr>
                <w:sz w:val="20"/>
                <w:szCs w:val="20"/>
                <w:color w:val="auto"/>
              </w:rPr>
            </w:pPr>
            <w:r>
              <w:rPr>
                <w:rFonts w:ascii="Calibri" w:cs="Calibri" w:eastAsia="Calibri" w:hAnsi="Calibri"/>
                <w:sz w:val="14"/>
                <w:szCs w:val="14"/>
                <w:color w:val="auto"/>
              </w:rPr>
              <w:t>$</w:t>
            </w:r>
          </w:p>
        </w:tc>
        <w:tc>
          <w:tcPr>
            <w:tcW w:w="520" w:type="dxa"/>
            <w:vAlign w:val="bottom"/>
          </w:tcPr>
          <w:p>
            <w:pPr>
              <w:jc w:val="right"/>
              <w:spacing w:after="0"/>
              <w:rPr>
                <w:sz w:val="20"/>
                <w:szCs w:val="20"/>
                <w:color w:val="auto"/>
              </w:rPr>
            </w:pPr>
            <w:r>
              <w:rPr>
                <w:rFonts w:ascii="Calibri" w:cs="Calibri" w:eastAsia="Calibri" w:hAnsi="Calibri"/>
                <w:sz w:val="14"/>
                <w:szCs w:val="14"/>
                <w:color w:val="auto"/>
              </w:rPr>
              <w:t>51,702</w:t>
            </w:r>
          </w:p>
        </w:tc>
        <w:tc>
          <w:tcPr>
            <w:tcW w:w="520" w:type="dxa"/>
            <w:vAlign w:val="bottom"/>
            <w:gridSpan w:val="2"/>
          </w:tcPr>
          <w:p>
            <w:pPr>
              <w:jc w:val="right"/>
              <w:ind w:right="148"/>
              <w:spacing w:after="0"/>
              <w:rPr>
                <w:sz w:val="20"/>
                <w:szCs w:val="20"/>
                <w:color w:val="auto"/>
              </w:rPr>
            </w:pPr>
            <w:r>
              <w:rPr>
                <w:rFonts w:ascii="Calibri" w:cs="Calibri" w:eastAsia="Calibri" w:hAnsi="Calibri"/>
                <w:sz w:val="14"/>
                <w:szCs w:val="14"/>
                <w:color w:val="auto"/>
              </w:rPr>
              <w:t>$</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21,424</w:t>
            </w:r>
          </w:p>
        </w:tc>
        <w:tc>
          <w:tcPr>
            <w:tcW w:w="2060" w:type="dxa"/>
            <w:vAlign w:val="bottom"/>
            <w:gridSpan w:val="3"/>
          </w:tcPr>
          <w:p>
            <w:pPr>
              <w:jc w:val="right"/>
              <w:spacing w:after="0"/>
              <w:rPr>
                <w:sz w:val="20"/>
                <w:szCs w:val="20"/>
                <w:color w:val="auto"/>
              </w:rPr>
            </w:pPr>
            <w:r>
              <w:rPr>
                <w:rFonts w:ascii="Calibri" w:cs="Calibri" w:eastAsia="Calibri" w:hAnsi="Calibri"/>
                <w:sz w:val="14"/>
                <w:szCs w:val="14"/>
                <w:color w:val="auto"/>
              </w:rPr>
              <w:t>41 %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60" w:type="dxa"/>
            <w:vAlign w:val="bottom"/>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Resale</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67,382</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38,915</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28,467</w:t>
            </w:r>
          </w:p>
        </w:tc>
        <w:tc>
          <w:tcPr>
            <w:tcW w:w="220" w:type="dxa"/>
            <w:vAlign w:val="bottom"/>
            <w:shd w:val="clear" w:color="auto" w:fill="CFF0FC"/>
          </w:tcPr>
          <w:p>
            <w:pPr>
              <w:spacing w:after="0"/>
              <w:rPr>
                <w:sz w:val="16"/>
                <w:szCs w:val="16"/>
                <w:color w:val="auto"/>
              </w:rPr>
            </w:pPr>
          </w:p>
        </w:tc>
        <w:tc>
          <w:tcPr>
            <w:tcW w:w="184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73 %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ind w:left="20"/>
              <w:spacing w:after="0"/>
              <w:rPr>
                <w:sz w:val="20"/>
                <w:szCs w:val="20"/>
                <w:color w:val="auto"/>
              </w:rPr>
            </w:pPr>
            <w:r>
              <w:rPr>
                <w:rFonts w:ascii="Calibri" w:cs="Calibri" w:eastAsia="Calibri" w:hAnsi="Calibri"/>
                <w:sz w:val="14"/>
                <w:szCs w:val="14"/>
                <w:b w:val="1"/>
                <w:bCs w:val="1"/>
                <w:color w:val="auto"/>
              </w:rPr>
              <w:t>Total cost of revenues</w:t>
            </w:r>
          </w:p>
        </w:tc>
        <w:tc>
          <w:tcPr>
            <w:tcW w:w="1020" w:type="dxa"/>
            <w:vAlign w:val="bottom"/>
          </w:tcPr>
          <w:p>
            <w:pPr>
              <w:jc w:val="right"/>
              <w:ind w:right="868"/>
              <w:spacing w:after="0"/>
              <w:rPr>
                <w:sz w:val="20"/>
                <w:szCs w:val="20"/>
                <w:color w:val="auto"/>
              </w:rPr>
            </w:pPr>
            <w:r>
              <w:rPr>
                <w:rFonts w:ascii="Calibri" w:cs="Calibri" w:eastAsia="Calibri" w:hAnsi="Calibri"/>
                <w:sz w:val="14"/>
                <w:szCs w:val="14"/>
                <w:b w:val="1"/>
                <w:bCs w:val="1"/>
                <w:color w:val="auto"/>
                <w:w w:val="83"/>
              </w:rPr>
              <w:t>$</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140,508</w:t>
            </w:r>
          </w:p>
        </w:tc>
        <w:tc>
          <w:tcPr>
            <w:tcW w:w="240" w:type="dxa"/>
            <w:vAlign w:val="bottom"/>
          </w:tcPr>
          <w:p>
            <w:pPr>
              <w:spacing w:after="0"/>
              <w:rPr>
                <w:sz w:val="17"/>
                <w:szCs w:val="17"/>
                <w:color w:val="auto"/>
              </w:rPr>
            </w:pPr>
          </w:p>
        </w:tc>
        <w:tc>
          <w:tcPr>
            <w:tcW w:w="1040" w:type="dxa"/>
            <w:vAlign w:val="bottom"/>
          </w:tcPr>
          <w:p>
            <w:pPr>
              <w:jc w:val="right"/>
              <w:ind w:right="888"/>
              <w:spacing w:after="0"/>
              <w:rPr>
                <w:sz w:val="20"/>
                <w:szCs w:val="20"/>
                <w:color w:val="auto"/>
              </w:rPr>
            </w:pPr>
            <w:r>
              <w:rPr>
                <w:rFonts w:ascii="Calibri" w:cs="Calibri" w:eastAsia="Calibri" w:hAnsi="Calibri"/>
                <w:sz w:val="14"/>
                <w:szCs w:val="14"/>
                <w:b w:val="1"/>
                <w:bCs w:val="1"/>
                <w:color w:val="auto"/>
                <w:w w:val="83"/>
              </w:rPr>
              <w:t>$</w:t>
            </w:r>
          </w:p>
        </w:tc>
        <w:tc>
          <w:tcPr>
            <w:tcW w:w="520" w:type="dxa"/>
            <w:vAlign w:val="bottom"/>
          </w:tcPr>
          <w:p>
            <w:pPr>
              <w:jc w:val="right"/>
              <w:spacing w:after="0"/>
              <w:rPr>
                <w:sz w:val="20"/>
                <w:szCs w:val="20"/>
                <w:color w:val="auto"/>
              </w:rPr>
            </w:pPr>
            <w:r>
              <w:rPr>
                <w:rFonts w:ascii="Calibri" w:cs="Calibri" w:eastAsia="Calibri" w:hAnsi="Calibri"/>
                <w:sz w:val="14"/>
                <w:szCs w:val="14"/>
                <w:b w:val="1"/>
                <w:bCs w:val="1"/>
                <w:color w:val="auto"/>
              </w:rPr>
              <w:t>90,617</w:t>
            </w:r>
          </w:p>
        </w:tc>
        <w:tc>
          <w:tcPr>
            <w:tcW w:w="2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Calibri" w:cs="Calibri" w:eastAsia="Calibri" w:hAnsi="Calibri"/>
                <w:sz w:val="14"/>
                <w:szCs w:val="14"/>
                <w:b w:val="1"/>
                <w:bCs w:val="1"/>
                <w:color w:val="auto"/>
                <w:w w:val="83"/>
              </w:rPr>
              <w:t>$</w:t>
            </w:r>
          </w:p>
        </w:tc>
        <w:tc>
          <w:tcPr>
            <w:tcW w:w="1200" w:type="dxa"/>
            <w:vAlign w:val="bottom"/>
          </w:tcPr>
          <w:p>
            <w:pPr>
              <w:jc w:val="right"/>
              <w:spacing w:after="0"/>
              <w:rPr>
                <w:sz w:val="20"/>
                <w:szCs w:val="20"/>
                <w:color w:val="auto"/>
              </w:rPr>
            </w:pPr>
            <w:r>
              <w:rPr>
                <w:rFonts w:ascii="Calibri" w:cs="Calibri" w:eastAsia="Calibri" w:hAnsi="Calibri"/>
                <w:sz w:val="14"/>
                <w:szCs w:val="14"/>
                <w:b w:val="1"/>
                <w:bCs w:val="1"/>
                <w:color w:val="auto"/>
              </w:rPr>
              <w:t>49,891</w:t>
            </w:r>
          </w:p>
        </w:tc>
        <w:tc>
          <w:tcPr>
            <w:tcW w:w="22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55 %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-162560</wp:posOffset>
            </wp:positionV>
            <wp:extent cx="7747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-162560</wp:posOffset>
            </wp:positionV>
            <wp:extent cx="6858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6858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0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Total cost of revenues increased $49.9 million, or 55%, for the year ended December 31, 2022 compared to the year ended December 31, 2021. The increase to total cost of revenues resulted primarily from higher order volume in both our Marketplace and Resale segments and a higher proporton of revenue from our Resale segment.</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5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Marketplace cost of revenues increased $21.4 million, or 41%, for the year ended December 31, 2022 compared to the year ended December 31, 2021. The increase in cost of revenues is fairly consistent with the increase in total Marketplace orders, which increased by 2.5 million orders, or 38%, for the year ended December 31, 2022 compared to the year ended December 31, 2021.</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3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Resale cost of revenues increased $28.5 million, or 73%, for the year ended December 31, 2022 compared to the year ended December 31, 2021. The increase resulted from an increase in total Resale orders of 0.1 million orders, or 57%, during the year ended December 31, 2022 compared to the year ended December 31, 2021. The increase in Resale cost of revenues is not consistent with the increase in Resale revenues for the year ended December 31, 2022 compared to the year ended December 31, 2021. This was driven by strong post-COVID recovery demand in 2021 that resulted in abnormally high margins. Cancellaton charges resulted in a reducton to Resale cost of revenues of $0.5 million and $1.4 million for the years ended December 31, 2022 and 2021, respectvely.</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Marketng and Selling</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marketng and selling expenses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b w:val="1"/>
                <w:bCs w:val="1"/>
                <w:color w:val="auto"/>
              </w:rPr>
              <w:t>2022</w:t>
            </w:r>
          </w:p>
        </w:tc>
        <w:tc>
          <w:tcPr>
            <w:tcW w:w="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2021</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4"/>
                <w:szCs w:val="14"/>
                <w:color w:val="auto"/>
              </w:rPr>
            </w:pPr>
          </w:p>
        </w:tc>
        <w:tc>
          <w:tcPr>
            <w:tcW w:w="1860" w:type="dxa"/>
            <w:vAlign w:val="bottom"/>
            <w:gridSpan w:val="3"/>
          </w:tcPr>
          <w:p>
            <w:pPr>
              <w:ind w:left="58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40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Marketng and selling:</w:t>
            </w:r>
          </w:p>
        </w:tc>
        <w:tc>
          <w:tcPr>
            <w:tcW w:w="9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7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400" w:type="dxa"/>
            <w:vAlign w:val="bottom"/>
          </w:tcPr>
          <w:p>
            <w:pPr>
              <w:ind w:left="20"/>
              <w:spacing w:after="0"/>
              <w:rPr>
                <w:sz w:val="20"/>
                <w:szCs w:val="20"/>
                <w:color w:val="auto"/>
              </w:rPr>
            </w:pPr>
            <w:r>
              <w:rPr>
                <w:rFonts w:ascii="Calibri" w:cs="Calibri" w:eastAsia="Calibri" w:hAnsi="Calibri"/>
                <w:sz w:val="14"/>
                <w:szCs w:val="14"/>
                <w:color w:val="auto"/>
              </w:rPr>
              <w:t>Online</w:t>
            </w:r>
          </w:p>
        </w:tc>
        <w:tc>
          <w:tcPr>
            <w:tcW w:w="940" w:type="dxa"/>
            <w:vAlign w:val="bottom"/>
          </w:tcPr>
          <w:p>
            <w:pPr>
              <w:jc w:val="right"/>
              <w:ind w:right="788"/>
              <w:spacing w:after="0"/>
              <w:rPr>
                <w:sz w:val="20"/>
                <w:szCs w:val="20"/>
                <w:color w:val="auto"/>
              </w:rPr>
            </w:pPr>
            <w:r>
              <w:rPr>
                <w:rFonts w:ascii="Calibri" w:cs="Calibri" w:eastAsia="Calibri" w:hAnsi="Calibri"/>
                <w:sz w:val="14"/>
                <w:szCs w:val="14"/>
                <w:color w:val="auto"/>
                <w:w w:val="83"/>
              </w:rPr>
              <w:t>$</w:t>
            </w:r>
          </w:p>
        </w:tc>
        <w:tc>
          <w:tcPr>
            <w:tcW w:w="560" w:type="dxa"/>
            <w:vAlign w:val="bottom"/>
          </w:tcPr>
          <w:p>
            <w:pPr>
              <w:jc w:val="right"/>
              <w:spacing w:after="0"/>
              <w:rPr>
                <w:sz w:val="20"/>
                <w:szCs w:val="20"/>
                <w:color w:val="auto"/>
              </w:rPr>
            </w:pPr>
            <w:r>
              <w:rPr>
                <w:rFonts w:ascii="Calibri" w:cs="Calibri" w:eastAsia="Calibri" w:hAnsi="Calibri"/>
                <w:sz w:val="14"/>
                <w:szCs w:val="14"/>
                <w:color w:val="auto"/>
              </w:rPr>
              <w:t>224,872</w:t>
            </w:r>
          </w:p>
        </w:tc>
        <w:tc>
          <w:tcPr>
            <w:tcW w:w="1160" w:type="dxa"/>
            <w:vAlign w:val="bottom"/>
            <w:gridSpan w:val="2"/>
          </w:tcPr>
          <w:p>
            <w:pPr>
              <w:jc w:val="right"/>
              <w:ind w:right="768"/>
              <w:spacing w:after="0"/>
              <w:rPr>
                <w:sz w:val="20"/>
                <w:szCs w:val="20"/>
                <w:color w:val="auto"/>
              </w:rPr>
            </w:pPr>
            <w:r>
              <w:rPr>
                <w:rFonts w:ascii="Calibri" w:cs="Calibri" w:eastAsia="Calibri" w:hAnsi="Calibri"/>
                <w:sz w:val="14"/>
                <w:szCs w:val="14"/>
                <w:color w:val="auto"/>
              </w:rPr>
              <w:t>$</w:t>
            </w:r>
          </w:p>
        </w:tc>
        <w:tc>
          <w:tcPr>
            <w:tcW w:w="540" w:type="dxa"/>
            <w:vAlign w:val="bottom"/>
          </w:tcPr>
          <w:p>
            <w:pPr>
              <w:jc w:val="right"/>
              <w:spacing w:after="0"/>
              <w:rPr>
                <w:sz w:val="20"/>
                <w:szCs w:val="20"/>
                <w:color w:val="auto"/>
              </w:rPr>
            </w:pPr>
            <w:r>
              <w:rPr>
                <w:rFonts w:ascii="Calibri" w:cs="Calibri" w:eastAsia="Calibri" w:hAnsi="Calibri"/>
                <w:sz w:val="14"/>
                <w:szCs w:val="14"/>
                <w:color w:val="auto"/>
              </w:rPr>
              <w:t>160,420</w:t>
            </w:r>
          </w:p>
        </w:tc>
        <w:tc>
          <w:tcPr>
            <w:tcW w:w="500" w:type="dxa"/>
            <w:vAlign w:val="bottom"/>
            <w:gridSpan w:val="2"/>
          </w:tcPr>
          <w:p>
            <w:pPr>
              <w:jc w:val="right"/>
              <w:ind w:right="108"/>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spacing w:after="0"/>
              <w:rPr>
                <w:sz w:val="20"/>
                <w:szCs w:val="20"/>
                <w:color w:val="auto"/>
              </w:rPr>
            </w:pPr>
            <w:r>
              <w:rPr>
                <w:rFonts w:ascii="Calibri" w:cs="Calibri" w:eastAsia="Calibri" w:hAnsi="Calibri"/>
                <w:sz w:val="14"/>
                <w:szCs w:val="14"/>
                <w:color w:val="auto"/>
              </w:rPr>
              <w:t>64,452</w:t>
            </w:r>
          </w:p>
        </w:tc>
        <w:tc>
          <w:tcPr>
            <w:tcW w:w="2060" w:type="dxa"/>
            <w:vAlign w:val="bottom"/>
            <w:gridSpan w:val="3"/>
          </w:tcPr>
          <w:p>
            <w:pPr>
              <w:jc w:val="right"/>
              <w:spacing w:after="0"/>
              <w:rPr>
                <w:sz w:val="20"/>
                <w:szCs w:val="20"/>
                <w:color w:val="auto"/>
              </w:rPr>
            </w:pPr>
            <w:r>
              <w:rPr>
                <w:rFonts w:ascii="Calibri" w:cs="Calibri" w:eastAsia="Calibri" w:hAnsi="Calibri"/>
                <w:sz w:val="14"/>
                <w:szCs w:val="14"/>
                <w:color w:val="auto"/>
              </w:rPr>
              <w:t>40 %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60" w:type="dxa"/>
            <w:vAlign w:val="bottom"/>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4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Ofine</w:t>
            </w: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23,503</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20,938</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2,565</w:t>
            </w:r>
          </w:p>
        </w:tc>
        <w:tc>
          <w:tcPr>
            <w:tcW w:w="220" w:type="dxa"/>
            <w:vAlign w:val="bottom"/>
            <w:shd w:val="clear" w:color="auto" w:fill="CFF0FC"/>
          </w:tcPr>
          <w:p>
            <w:pPr>
              <w:spacing w:after="0"/>
              <w:rPr>
                <w:sz w:val="16"/>
                <w:szCs w:val="16"/>
                <w:color w:val="auto"/>
              </w:rPr>
            </w:pPr>
          </w:p>
        </w:tc>
        <w:tc>
          <w:tcPr>
            <w:tcW w:w="184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12 %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marketng and selling</w:t>
            </w:r>
          </w:p>
        </w:tc>
        <w:tc>
          <w:tcPr>
            <w:tcW w:w="940" w:type="dxa"/>
            <w:vAlign w:val="bottom"/>
          </w:tcPr>
          <w:p>
            <w:pPr>
              <w:jc w:val="right"/>
              <w:ind w:right="788"/>
              <w:spacing w:after="0"/>
              <w:rPr>
                <w:sz w:val="20"/>
                <w:szCs w:val="20"/>
                <w:color w:val="auto"/>
              </w:rPr>
            </w:pPr>
            <w:r>
              <w:rPr>
                <w:rFonts w:ascii="Calibri" w:cs="Calibri" w:eastAsia="Calibri" w:hAnsi="Calibri"/>
                <w:sz w:val="14"/>
                <w:szCs w:val="14"/>
                <w:b w:val="1"/>
                <w:bCs w:val="1"/>
                <w:color w:val="auto"/>
                <w:w w:val="83"/>
              </w:rPr>
              <w:t>$</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248,375</w:t>
            </w:r>
          </w:p>
        </w:tc>
        <w:tc>
          <w:tcPr>
            <w:tcW w:w="240" w:type="dxa"/>
            <w:vAlign w:val="bottom"/>
          </w:tcPr>
          <w:p>
            <w:pPr>
              <w:spacing w:after="0"/>
              <w:rPr>
                <w:sz w:val="17"/>
                <w:szCs w:val="17"/>
                <w:color w:val="auto"/>
              </w:rPr>
            </w:pPr>
          </w:p>
        </w:tc>
        <w:tc>
          <w:tcPr>
            <w:tcW w:w="920" w:type="dxa"/>
            <w:vAlign w:val="bottom"/>
          </w:tcPr>
          <w:p>
            <w:pPr>
              <w:jc w:val="right"/>
              <w:ind w:right="768"/>
              <w:spacing w:after="0"/>
              <w:rPr>
                <w:sz w:val="20"/>
                <w:szCs w:val="20"/>
                <w:color w:val="auto"/>
              </w:rPr>
            </w:pPr>
            <w:r>
              <w:rPr>
                <w:rFonts w:ascii="Calibri" w:cs="Calibri" w:eastAsia="Calibri" w:hAnsi="Calibri"/>
                <w:sz w:val="14"/>
                <w:szCs w:val="14"/>
                <w:b w:val="1"/>
                <w:bCs w:val="1"/>
                <w:color w:val="auto"/>
                <w:w w:val="83"/>
              </w:rPr>
              <w:t>$</w:t>
            </w:r>
          </w:p>
        </w:tc>
        <w:tc>
          <w:tcPr>
            <w:tcW w:w="540" w:type="dxa"/>
            <w:vAlign w:val="bottom"/>
          </w:tcPr>
          <w:p>
            <w:pPr>
              <w:jc w:val="right"/>
              <w:spacing w:after="0"/>
              <w:rPr>
                <w:sz w:val="20"/>
                <w:szCs w:val="20"/>
                <w:color w:val="auto"/>
              </w:rPr>
            </w:pPr>
            <w:r>
              <w:rPr>
                <w:rFonts w:ascii="Calibri" w:cs="Calibri" w:eastAsia="Calibri" w:hAnsi="Calibri"/>
                <w:sz w:val="14"/>
                <w:szCs w:val="14"/>
                <w:b w:val="1"/>
                <w:bCs w:val="1"/>
                <w:color w:val="auto"/>
              </w:rPr>
              <w:t>181,358</w:t>
            </w:r>
          </w:p>
        </w:tc>
        <w:tc>
          <w:tcPr>
            <w:tcW w:w="2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Calibri" w:cs="Calibri" w:eastAsia="Calibri" w:hAnsi="Calibri"/>
                <w:sz w:val="14"/>
                <w:szCs w:val="14"/>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14"/>
                <w:szCs w:val="14"/>
                <w:b w:val="1"/>
                <w:bCs w:val="1"/>
                <w:color w:val="auto"/>
              </w:rPr>
              <w:t>67,017</w:t>
            </w:r>
          </w:p>
        </w:tc>
        <w:tc>
          <w:tcPr>
            <w:tcW w:w="22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37 %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-162560</wp:posOffset>
            </wp:positionV>
            <wp:extent cx="7747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-162560</wp:posOffset>
            </wp:positionV>
            <wp:extent cx="685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-162560</wp:posOffset>
            </wp:positionV>
            <wp:extent cx="6858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9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Marketng and selling expenses, which are entrely atributable to our Marketplace segment, increased $67.0 million, or 37%, during the year ended December 31, 2022 compared to the year ended December 31, 2021. The increase in expenses primarily resulted from greater spending on online advertsing. Our spending on online advertsing increased by $64.5 million, or 40%, during the year ended December 31, 2022 compared to the year ended December 31, 2021 as we scaled to capture an increase in live event demand and experienced increased competton in performance marketng channels. The increase in our ofine advertsing expense was driven by our revamped brand awareness marketng eforts, which began with a large campaign in the fourth quarter of 2021.</w:t>
      </w:r>
    </w:p>
    <w:p>
      <w:pPr>
        <w:spacing w:after="0" w:line="10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93" w:right="319" w:bottom="1440" w:gutter="0" w:footer="0" w:header="0"/>
        </w:sectPr>
      </w:pPr>
    </w:p>
    <w:bookmarkStart w:id="50" w:name="page51"/>
    <w:bookmarkEnd w:id="50"/>
    <w:p>
      <w:pPr>
        <w:spacing w:after="0"/>
        <w:rPr>
          <w:sz w:val="20"/>
          <w:szCs w:val="20"/>
          <w:color w:val="auto"/>
        </w:rPr>
      </w:pPr>
      <w:r>
        <w:rPr>
          <w:rFonts w:ascii="Calibri" w:cs="Calibri" w:eastAsia="Calibri" w:hAnsi="Calibri"/>
          <w:sz w:val="18"/>
          <w:szCs w:val="18"/>
          <w:b w:val="1"/>
          <w:bCs w:val="1"/>
          <w:color w:val="auto"/>
        </w:rPr>
        <w:t>General and Administratve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general and administratve expenses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b w:val="1"/>
                <w:bCs w:val="1"/>
                <w:color w:val="auto"/>
              </w:rPr>
              <w:t>2022</w:t>
            </w:r>
          </w:p>
        </w:tc>
        <w:tc>
          <w:tcPr>
            <w:tcW w:w="5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alibri" w:cs="Calibri" w:eastAsia="Calibri" w:hAnsi="Calibri"/>
                <w:sz w:val="14"/>
                <w:szCs w:val="14"/>
                <w:b w:val="1"/>
                <w:bCs w:val="1"/>
                <w:color w:val="auto"/>
              </w:rPr>
              <w:t>2021</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Calibri" w:cs="Calibri" w:eastAsia="Calibri" w:hAnsi="Calibri"/>
                <w:sz w:val="14"/>
                <w:szCs w:val="14"/>
                <w:b w:val="1"/>
                <w:bCs w:val="1"/>
                <w:color w:val="auto"/>
              </w:rPr>
              <w:t>Change</w:t>
            </w:r>
          </w:p>
        </w:tc>
        <w:tc>
          <w:tcPr>
            <w:tcW w:w="2000" w:type="dxa"/>
            <w:vAlign w:val="bottom"/>
            <w:gridSpan w:val="3"/>
          </w:tcPr>
          <w:p>
            <w:pPr>
              <w:jc w:val="right"/>
              <w:ind w:right="800"/>
              <w:spacing w:after="0"/>
              <w:rPr>
                <w:sz w:val="20"/>
                <w:szCs w:val="20"/>
                <w:color w:val="auto"/>
              </w:rPr>
            </w:pPr>
            <w:r>
              <w:rPr>
                <w:rFonts w:ascii="Calibri" w:cs="Calibri" w:eastAsia="Calibri" w:hAnsi="Calibri"/>
                <w:sz w:val="14"/>
                <w:szCs w:val="14"/>
                <w:b w:val="1"/>
                <w:bCs w:val="1"/>
                <w:color w:val="auto"/>
              </w:rPr>
              <w:t>% Change</w:t>
            </w:r>
          </w:p>
        </w:tc>
      </w:tr>
      <w:tr>
        <w:trPr>
          <w:trHeight w:val="33"/>
        </w:trPr>
        <w:tc>
          <w:tcPr>
            <w:tcW w:w="4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436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General and administratve:</w:t>
            </w:r>
          </w:p>
        </w:tc>
        <w:tc>
          <w:tcPr>
            <w:tcW w:w="9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8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4360" w:type="dxa"/>
            <w:vAlign w:val="bottom"/>
          </w:tcPr>
          <w:p>
            <w:pPr>
              <w:ind w:left="20"/>
              <w:spacing w:after="0"/>
              <w:rPr>
                <w:sz w:val="20"/>
                <w:szCs w:val="20"/>
                <w:color w:val="auto"/>
              </w:rPr>
            </w:pPr>
            <w:r>
              <w:rPr>
                <w:rFonts w:ascii="Calibri" w:cs="Calibri" w:eastAsia="Calibri" w:hAnsi="Calibri"/>
                <w:sz w:val="14"/>
                <w:szCs w:val="14"/>
                <w:color w:val="auto"/>
              </w:rPr>
              <w:t>Personnel expenses</w:t>
            </w:r>
          </w:p>
        </w:tc>
        <w:tc>
          <w:tcPr>
            <w:tcW w:w="940" w:type="dxa"/>
            <w:vAlign w:val="bottom"/>
          </w:tcPr>
          <w:p>
            <w:pPr>
              <w:jc w:val="right"/>
              <w:ind w:right="788"/>
              <w:spacing w:after="0"/>
              <w:rPr>
                <w:sz w:val="20"/>
                <w:szCs w:val="20"/>
                <w:color w:val="auto"/>
              </w:rPr>
            </w:pPr>
            <w:r>
              <w:rPr>
                <w:rFonts w:ascii="Calibri" w:cs="Calibri" w:eastAsia="Calibri" w:hAnsi="Calibri"/>
                <w:sz w:val="14"/>
                <w:szCs w:val="14"/>
                <w:color w:val="auto"/>
                <w:w w:val="83"/>
              </w:rPr>
              <w:t>$</w:t>
            </w:r>
          </w:p>
        </w:tc>
        <w:tc>
          <w:tcPr>
            <w:tcW w:w="540" w:type="dxa"/>
            <w:vAlign w:val="bottom"/>
          </w:tcPr>
          <w:p>
            <w:pPr>
              <w:jc w:val="right"/>
              <w:spacing w:after="0"/>
              <w:rPr>
                <w:sz w:val="20"/>
                <w:szCs w:val="20"/>
                <w:color w:val="auto"/>
              </w:rPr>
            </w:pPr>
            <w:r>
              <w:rPr>
                <w:rFonts w:ascii="Calibri" w:cs="Calibri" w:eastAsia="Calibri" w:hAnsi="Calibri"/>
                <w:sz w:val="14"/>
                <w:szCs w:val="14"/>
                <w:color w:val="auto"/>
              </w:rPr>
              <w:t>88,037</w:t>
            </w:r>
          </w:p>
        </w:tc>
        <w:tc>
          <w:tcPr>
            <w:tcW w:w="1200" w:type="dxa"/>
            <w:vAlign w:val="bottom"/>
            <w:gridSpan w:val="2"/>
          </w:tcPr>
          <w:p>
            <w:pPr>
              <w:jc w:val="right"/>
              <w:ind w:right="808"/>
              <w:spacing w:after="0"/>
              <w:rPr>
                <w:sz w:val="20"/>
                <w:szCs w:val="20"/>
                <w:color w:val="auto"/>
              </w:rPr>
            </w:pPr>
            <w:r>
              <w:rPr>
                <w:rFonts w:ascii="Calibri" w:cs="Calibri" w:eastAsia="Calibri" w:hAnsi="Calibri"/>
                <w:sz w:val="14"/>
                <w:szCs w:val="14"/>
                <w:color w:val="auto"/>
              </w:rPr>
              <w:t>$</w:t>
            </w:r>
          </w:p>
        </w:tc>
        <w:tc>
          <w:tcPr>
            <w:tcW w:w="500" w:type="dxa"/>
            <w:vAlign w:val="bottom"/>
          </w:tcPr>
          <w:p>
            <w:pPr>
              <w:jc w:val="right"/>
              <w:spacing w:after="0"/>
              <w:rPr>
                <w:sz w:val="20"/>
                <w:szCs w:val="20"/>
                <w:color w:val="auto"/>
              </w:rPr>
            </w:pPr>
            <w:r>
              <w:rPr>
                <w:rFonts w:ascii="Calibri" w:cs="Calibri" w:eastAsia="Calibri" w:hAnsi="Calibri"/>
                <w:sz w:val="14"/>
                <w:szCs w:val="14"/>
                <w:color w:val="auto"/>
              </w:rPr>
              <w:t>47,546</w:t>
            </w:r>
          </w:p>
        </w:tc>
        <w:tc>
          <w:tcPr>
            <w:tcW w:w="480" w:type="dxa"/>
            <w:vAlign w:val="bottom"/>
            <w:gridSpan w:val="2"/>
          </w:tcPr>
          <w:p>
            <w:pPr>
              <w:jc w:val="right"/>
              <w:ind w:right="108"/>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spacing w:after="0"/>
              <w:rPr>
                <w:sz w:val="20"/>
                <w:szCs w:val="20"/>
                <w:color w:val="auto"/>
              </w:rPr>
            </w:pPr>
            <w:r>
              <w:rPr>
                <w:rFonts w:ascii="Calibri" w:cs="Calibri" w:eastAsia="Calibri" w:hAnsi="Calibri"/>
                <w:sz w:val="14"/>
                <w:szCs w:val="14"/>
                <w:color w:val="auto"/>
              </w:rPr>
              <w:t>40,491</w:t>
            </w:r>
          </w:p>
        </w:tc>
        <w:tc>
          <w:tcPr>
            <w:tcW w:w="2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alibri" w:cs="Calibri" w:eastAsia="Calibri" w:hAnsi="Calibri"/>
                <w:sz w:val="14"/>
                <w:szCs w:val="14"/>
                <w:color w:val="auto"/>
              </w:rPr>
              <w:t>85 %</w:t>
            </w:r>
          </w:p>
        </w:tc>
        <w:tc>
          <w:tcPr>
            <w:tcW w:w="60" w:type="dxa"/>
            <w:vAlign w:val="bottom"/>
          </w:tcPr>
          <w:p>
            <w:pPr>
              <w:spacing w:after="0"/>
              <w:rPr>
                <w:sz w:val="14"/>
                <w:szCs w:val="14"/>
                <w:color w:val="auto"/>
              </w:rPr>
            </w:pPr>
          </w:p>
        </w:tc>
      </w:tr>
      <w:tr>
        <w:trPr>
          <w:trHeight w:val="202"/>
        </w:trPr>
        <w:tc>
          <w:tcPr>
            <w:tcW w:w="4360" w:type="dxa"/>
            <w:vAlign w:val="bottom"/>
          </w:tcPr>
          <w:p>
            <w:pPr>
              <w:ind w:left="20"/>
              <w:spacing w:after="0"/>
              <w:rPr>
                <w:sz w:val="20"/>
                <w:szCs w:val="20"/>
                <w:color w:val="auto"/>
              </w:rPr>
            </w:pPr>
            <w:r>
              <w:rPr>
                <w:rFonts w:ascii="Calibri" w:cs="Calibri" w:eastAsia="Calibri" w:hAnsi="Calibri"/>
                <w:sz w:val="14"/>
                <w:szCs w:val="14"/>
                <w:color w:val="auto"/>
              </w:rPr>
              <w:t>Non-income tax expenses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4,380</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Calibri" w:cs="Calibri" w:eastAsia="Calibri" w:hAnsi="Calibri"/>
                <w:sz w:val="14"/>
                <w:szCs w:val="14"/>
                <w:color w:val="auto"/>
              </w:rPr>
              <w:t>10,016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(5,636 )</w:t>
            </w:r>
          </w:p>
        </w:tc>
        <w:tc>
          <w:tcPr>
            <w:tcW w:w="2000" w:type="dxa"/>
            <w:vAlign w:val="bottom"/>
            <w:gridSpan w:val="3"/>
          </w:tcPr>
          <w:p>
            <w:pPr>
              <w:jc w:val="right"/>
              <w:spacing w:after="0"/>
              <w:rPr>
                <w:sz w:val="20"/>
                <w:szCs w:val="20"/>
                <w:color w:val="auto"/>
              </w:rPr>
            </w:pPr>
            <w:r>
              <w:rPr>
                <w:rFonts w:ascii="Calibri" w:cs="Calibri" w:eastAsia="Calibri" w:hAnsi="Calibri"/>
                <w:sz w:val="14"/>
                <w:szCs w:val="14"/>
                <w:color w:val="auto"/>
              </w:rPr>
              <w:t>(56 )%</w:t>
            </w:r>
          </w:p>
        </w:tc>
      </w:tr>
      <w:tr>
        <w:trPr>
          <w:trHeight w:val="229"/>
        </w:trPr>
        <w:tc>
          <w:tcPr>
            <w:tcW w:w="4360" w:type="dxa"/>
            <w:vAlign w:val="bottom"/>
          </w:tcPr>
          <w:p>
            <w:pPr>
              <w:ind w:left="20"/>
              <w:spacing w:after="0"/>
              <w:rPr>
                <w:sz w:val="20"/>
                <w:szCs w:val="20"/>
                <w:color w:val="auto"/>
              </w:rPr>
            </w:pPr>
            <w:r>
              <w:rPr>
                <w:rFonts w:ascii="Calibri" w:cs="Calibri" w:eastAsia="Calibri" w:hAnsi="Calibri"/>
                <w:sz w:val="14"/>
                <w:szCs w:val="14"/>
                <w:color w:val="auto"/>
              </w:rPr>
              <w:t>Other</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35,202</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34,608</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594</w:t>
            </w:r>
          </w:p>
        </w:tc>
        <w:tc>
          <w:tcPr>
            <w:tcW w:w="200" w:type="dxa"/>
            <w:vAlign w:val="bottom"/>
          </w:tcPr>
          <w:p>
            <w:pPr>
              <w:spacing w:after="0"/>
              <w:rPr>
                <w:sz w:val="19"/>
                <w:szCs w:val="19"/>
                <w:color w:val="auto"/>
              </w:rPr>
            </w:pPr>
          </w:p>
        </w:tc>
        <w:tc>
          <w:tcPr>
            <w:tcW w:w="2000" w:type="dxa"/>
            <w:vAlign w:val="bottom"/>
            <w:tcBorders>
              <w:bottom w:val="single" w:sz="8" w:color="auto"/>
            </w:tcBorders>
            <w:gridSpan w:val="3"/>
          </w:tcPr>
          <w:p>
            <w:pPr>
              <w:jc w:val="right"/>
              <w:ind w:right="60"/>
              <w:spacing w:after="0"/>
              <w:rPr>
                <w:sz w:val="20"/>
                <w:szCs w:val="20"/>
                <w:color w:val="auto"/>
              </w:rPr>
            </w:pPr>
            <w:r>
              <w:rPr>
                <w:rFonts w:ascii="Calibri" w:cs="Calibri" w:eastAsia="Calibri" w:hAnsi="Calibri"/>
                <w:sz w:val="14"/>
                <w:szCs w:val="14"/>
                <w:color w:val="auto"/>
              </w:rPr>
              <w:t>2 %</w:t>
            </w:r>
          </w:p>
        </w:tc>
      </w:tr>
      <w:tr>
        <w:trPr>
          <w:trHeight w:val="243"/>
        </w:trPr>
        <w:tc>
          <w:tcPr>
            <w:tcW w:w="43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Total general and administratve</w:t>
            </w: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Calibri" w:cs="Calibri" w:eastAsia="Calibri" w:hAnsi="Calibri"/>
                <w:sz w:val="14"/>
                <w:szCs w:val="14"/>
                <w:b w:val="1"/>
                <w:bCs w:val="1"/>
                <w:color w:val="auto"/>
                <w:w w:val="83"/>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127,619</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808"/>
              <w:spacing w:after="0"/>
              <w:rPr>
                <w:sz w:val="20"/>
                <w:szCs w:val="20"/>
                <w:color w:val="auto"/>
              </w:rPr>
            </w:pPr>
            <w:r>
              <w:rPr>
                <w:rFonts w:ascii="Calibri" w:cs="Calibri" w:eastAsia="Calibri" w:hAnsi="Calibri"/>
                <w:sz w:val="14"/>
                <w:szCs w:val="14"/>
                <w:b w:val="1"/>
                <w:bCs w:val="1"/>
                <w:color w:val="auto"/>
                <w:w w:val="83"/>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92,170</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Calibri" w:cs="Calibri" w:eastAsia="Calibri" w:hAnsi="Calibri"/>
                <w:sz w:val="14"/>
                <w:szCs w:val="14"/>
                <w:b w:val="1"/>
                <w:bCs w:val="1"/>
                <w:color w:val="auto"/>
                <w:w w:val="8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35,449</w:t>
            </w:r>
          </w:p>
        </w:tc>
        <w:tc>
          <w:tcPr>
            <w:tcW w:w="20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38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w w:val="77"/>
              </w:rPr>
              <w:t>%</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-25400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ind w:right="60"/>
        <w:spacing w:after="0" w:line="251" w:lineRule="auto"/>
        <w:rPr>
          <w:sz w:val="20"/>
          <w:szCs w:val="20"/>
          <w:color w:val="auto"/>
        </w:rPr>
      </w:pPr>
      <w:r>
        <w:rPr>
          <w:rFonts w:ascii="Calibri" w:cs="Calibri" w:eastAsia="Calibri" w:hAnsi="Calibri"/>
          <w:sz w:val="17"/>
          <w:szCs w:val="17"/>
          <w:color w:val="auto"/>
        </w:rPr>
        <w:t>Total general and administratve expenses increased $35.4 million, or 38%, for the year ended December 31, 2022 compared to the year ended December 31, 2021. The increase was primarily due to a higher personnel expenses atributable to higher employee headcount, an increase in costs for our outsourced customer service provider and an increase in stock compensaton expense from awards granted pursuant to the 2021 Plan, which became efectve on October 18, 2021. This increase was partally ofset by a decrease in non-income tax expense as we began collectng sales tax from customers in the required jurisdictons in the second half of 2021. The majority of the non-income tax expense in the prior periods represents the exposure for sales tax prior to the date we began collectng sales tax from customers, reduced by abatements received, and inclusive of any penaltes and interest assessed by the jurisdictons.</w:t>
      </w:r>
    </w:p>
    <w:p>
      <w:pPr>
        <w:spacing w:after="0" w:line="13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Depreciaton and Amortzaton</w:t>
      </w:r>
    </w:p>
    <w:p>
      <w:pPr>
        <w:spacing w:after="0" w:line="136"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Depreciaton and amortzaton expenses increased $5.4 million, or 233%, during the year ended December 31, 2022 compared to the year ended December 31, 2021 primarily as a result of an increase in development actvites related to our platorm and the intangibles acquired as part of the Vivid Picks acquisiton.</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 in fair value of contngent consideraton</w:t>
      </w:r>
    </w:p>
    <w:p>
      <w:pPr>
        <w:spacing w:after="0" w:line="150"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Change in fair value of contngent consideraton was $2.1 million during the year ended December 31, 2022 due to the fair value remeasurement of cash earnouts.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(Income) Expense</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 net</w:t>
      </w:r>
    </w:p>
    <w:p>
      <w:pPr>
        <w:spacing w:after="0" w:line="150"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Interest expense decreased $45.3 million, or 78%, for the year ended December 31, 2022 compared to the year ended December 31, 2021. We paid of the May 2020 First Lien Loan and made a partal payment of the outstanding principal on the June 2017 First Lien Loan in the fourth quarter of 2021. In additon, we further reduced our outstanding debt balance and efectve interest rate on February 3, 2022 when we refnanced the June 2017 First Lien Loan with the February 2022 First Lien Loan.</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Loss on extnguishment of debt</w:t>
      </w:r>
    </w:p>
    <w:p>
      <w:pPr>
        <w:spacing w:after="0" w:line="150"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Loss on extnguishment of debt decreased $31.5 million during the year ended December 31, 2022 compared to the year ended December 31, 2021. For the year ended December 31, 2022, loss on extnguishment of debt was due to the refnancing of the June 2017 First Lien Loan with the February 2022 First Lien Loan in the frst quarter of 2022. For the year ended December 31, 2021, loss on extnguishment of debt was due to our full repayment of the May 2020 First Lien Loan and a partal repayment of the outstanding principal on the June 2017 First Lien Loan. The loss includes $28.0 million for a prepayment penalty, $6.1 million for the amortzaton of the remaining balance of the original issuance discount and issuance costs related to the repayment of the May 2020 First Lien Loan in full and $1.7 million for the amortzaton of the balance of the original issuance discount and issuance costs related to the partal repayment of the outstanding principal on the June 2017 First Lien Loan.</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(income) expense</w:t>
      </w:r>
    </w:p>
    <w:p>
      <w:pPr>
        <w:spacing w:after="0" w:line="104"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93" w:right="279" w:bottom="1440" w:gutter="0" w:footer="0" w:header="0"/>
        </w:sectPr>
      </w:pPr>
    </w:p>
    <w:bookmarkStart w:id="51" w:name="page52"/>
    <w:bookmarkEnd w:id="51"/>
    <w:p>
      <w:pPr>
        <w:jc w:val="both"/>
        <w:spacing w:after="0" w:line="235" w:lineRule="auto"/>
        <w:rPr>
          <w:sz w:val="20"/>
          <w:szCs w:val="20"/>
          <w:color w:val="auto"/>
        </w:rPr>
      </w:pPr>
      <w:r>
        <w:rPr>
          <w:rFonts w:ascii="Calibri" w:cs="Calibri" w:eastAsia="Calibri" w:hAnsi="Calibri"/>
          <w:sz w:val="18"/>
          <w:szCs w:val="18"/>
          <w:color w:val="auto"/>
        </w:rPr>
        <w:t>Other (income) expense decreased $9.6 million during the year ended December 31, 2022 compared to the year ended December 31, 2021. For the year ended December 31, 2022, other (income) expense was related to the fair value remeasurement of the Hoya Intermediate Warrants. For the year ended December 31, 2021, other (income) expense was primarily related to our modifcaton of the terms of Public Warrants in connecton with the Merger Transacton.</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historically fnanced our operatons primarily through cash generated from our operatng actvites. Our primary short-term requirements for liquidity and capital are to fund general working capital, capital expenditures, and debt service requirements. Our primary long-term liquidity needs are related to debt repayment and potental acquisitons.</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primary sources of funds are cash generated from operatons and proceeds from borrowings, including our term loans. In response to the COVID-19 pandemic, we borrowed $50.0 million under our revolving credit facility in March 2020 and subsequently entered into the May 2020 First Lien Loan (defned below). We received $251.5 million in net cash proceeds from the May 2020 First Lien Loan, which we used to repay the $50.0 million in outstanding borrowings under the revolving credit facility in May 2020 and to fund our operatons. As noted in the “Liquidity and Capital Resources—Loan Agreements” secton below, we repaid the May 2020 First Lien Loan in connecton with, and using the proceeds from, the Merger Transacton and the PIPE Financing. Our existng cash and cash equivalents are sufcient to fund our liquidity needs for the next 12 months.</w:t>
      </w: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we had $251.5 million of cash and cash equivalents. Cash and cash equivalents consist of interest-bearing deposit accounts and money market accounts managed by fnancial insttutons. For the year ended December 31, 2022, we generated positve cash fows from our operatng actvites.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Loan Agreements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response to the COVID-19 pandemic, we entered into the May 2020 First Lien Loan, which resulted in $251.5 million in net cash proceeds. The May 2020 First Lien Loan, which is pari passu with the June 2017 First Lien Loan, carries a variable interest rate of LIBOR plus an applicable margin of 9.50%, or a base rate plus an applicable margin of 8.50%. The May 2020 First Lien Loan matures in May 2026, subject to an earlier springing maturity date of June 30, 2024 if the June 2017 First Lien Loan, or a refnancing thereof with scheduled payments of principal prior to June 30, 2024, remains outstanding as of that date. The efectve interest rate on the May 2020 First Lien Loan, which fuctuates based on certain paid-in-kind electons, was 11.50% per annum as of December 31, 2020. We made no payments during 2020 on the May 2020 First Lien Term Loan. Interest incurred under the May 2020 First Lien Loan was capitalized into the principal quarterly in August and November 2020, resultng in an outstanding principal of $275.7 million as of December 31, 2020. Additonal interest was capitalized into the principal in the frst nine months of 2021, resultng in an outstanding principal of $304.1 million as of September 30, 2021. On October 18, 2021, we repaid this loan in full in connecton with, and using the proceeds from, the Merger Transacton and the PIPE Financing and incurred a $28.0 million prepayment penalty.</w:t>
      </w:r>
    </w:p>
    <w:p>
      <w:pPr>
        <w:spacing w:after="0" w:line="14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had an outstanding loan balance of $465.7 million under the June 2017 First Lien Loan as of December 31, 2021. In the frst quarter of 2022, we repaid $190.7 million of the outstanding June 2017 First Lien Loan. On February 3, 2022, we entered into an amendment which refnanced the remaining June 2017 First Lien Loan with a new $275.0 million February 2022 First Lien Loan with a maturity date of February 3, 2029, added a new revolving credit facility (the “Revolving Facility”) in an aggregate principal amount of $100.0 million with a maturity date of February 3, 2027, replaced the LIBOR based foatng interest rate with a term secured overnight fnancing rate ("SOFR") based foatng interest rate and revised the springing fnancial covenant to require compliance with a frst lien net leverage rato when revolver borrowings exceed certain levels. The February 2022 First Lien Loan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carries an interest rate of SOFR plus 3.25%. The SOFR rate for the February 2022 First Lien Loan is subject to a 0.5% foor.</w:t>
      </w:r>
    </w:p>
    <w:p>
      <w:pPr>
        <w:spacing w:after="0" w:line="11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2" w:name="page53"/>
    <w:bookmarkEnd w:id="52"/>
    <w:p>
      <w:pPr>
        <w:jc w:val="both"/>
        <w:spacing w:after="0" w:line="235" w:lineRule="auto"/>
        <w:rPr>
          <w:sz w:val="20"/>
          <w:szCs w:val="20"/>
          <w:color w:val="auto"/>
        </w:rPr>
      </w:pPr>
      <w:r>
        <w:rPr>
          <w:rFonts w:ascii="Calibri" w:cs="Calibri" w:eastAsia="Calibri" w:hAnsi="Calibri"/>
          <w:sz w:val="18"/>
          <w:szCs w:val="18"/>
          <w:color w:val="auto"/>
        </w:rPr>
        <w:t>As of December 31, 2022, we are only party to one credit facility, the February 2022 First Lien Loan. At December 31, 2022, we had no outstanding borrowings under our Revolving Facility.</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Share Repurchase Program</w:t>
      </w:r>
    </w:p>
    <w:p>
      <w:pPr>
        <w:spacing w:after="0" w:line="15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On May 25, 2022, our board of directors authorized a share repurchase program of our Class A Common Stock of up to $40.0 million ("Repurchase Program"). The Repurchase Program was announced on May 26, 2022 and will be efectve untl March 31, 2023. We may repurchase shares from tme to tme in open market transactons, through privately negotated transactons or otherwise in accordance with applicable federal securites laws. The amount and tming of repurchases will depend upon market conditons and other factors including price. The Repurchase Program does not obligate us to acquire any partcular amount of stock, and it may be terminated, modifed, or suspended at any tme at our discreton. The Repurchase Program commenced on July 5, 2022 upon the completon of the Exchange of our Public Warrants. As of December 31, 2022, we have repurchased 4.3 million shares of our Class A Common Stock for $32.5 million under the Repurchase Program. The share repurchases are accounted for as Treasury stock in our Consolidated Balance Sheets.</w:t>
      </w:r>
    </w:p>
    <w:p>
      <w:pPr>
        <w:spacing w:after="0" w:line="13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Distributons to non-controlling interests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Per the Hoya Intermediate LLC agreement, Hoya Intermediate is required to make pro-rata tax distributons to its members, of which $5.2 million was distributed to non-controlling interests in the year ended December 31, 2022.</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Tax Receivable Agreement</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we entered into a Tax Receivable Agreement with the existng Hoya Intermediate shareholders that will provide for payment to Hoya Intermediate shareholders of 85% of the amount of the tax savings, if any, that we realize (or, under certain circumstances, is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Hoya Intermediate making payments under the Tax Receivable Agreement.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20" w:type="dxa"/>
            <w:vAlign w:val="bottom"/>
          </w:tcPr>
          <w:p>
            <w:pPr>
              <w:spacing w:after="0"/>
              <w:rPr>
                <w:sz w:val="20"/>
                <w:szCs w:val="20"/>
                <w:color w:val="auto"/>
              </w:rPr>
            </w:pPr>
            <w:r>
              <w:rPr>
                <w:rFonts w:ascii="Calibri" w:cs="Calibri" w:eastAsia="Calibri" w:hAnsi="Calibri"/>
                <w:sz w:val="18"/>
                <w:szCs w:val="18"/>
                <w:b w:val="1"/>
                <w:bCs w:val="1"/>
                <w:color w:val="auto"/>
              </w:rPr>
              <w:t>Cash Flows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4"/>
        </w:trPr>
        <w:tc>
          <w:tcPr>
            <w:tcW w:w="6520" w:type="dxa"/>
            <w:vAlign w:val="bottom"/>
          </w:tcPr>
          <w:p>
            <w:pPr>
              <w:spacing w:after="0"/>
              <w:rPr>
                <w:sz w:val="20"/>
                <w:szCs w:val="20"/>
                <w:color w:val="auto"/>
              </w:rPr>
            </w:pPr>
            <w:r>
              <w:rPr>
                <w:rFonts w:ascii="Calibri" w:cs="Calibri" w:eastAsia="Calibri" w:hAnsi="Calibri"/>
                <w:sz w:val="18"/>
                <w:szCs w:val="18"/>
                <w:color w:val="auto"/>
              </w:rPr>
              <w:t>The following table summarizes our cash fows for the periods indicated (in thousands):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Calibri" w:cs="Calibri" w:eastAsia="Calibri" w:hAnsi="Calibri"/>
                <w:sz w:val="18"/>
                <w:szCs w:val="18"/>
                <w:b w:val="1"/>
                <w:bCs w:val="1"/>
                <w:color w:val="auto"/>
              </w:rPr>
              <w:t>2022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Calibri" w:cs="Calibri" w:eastAsia="Calibri" w:hAnsi="Calibri"/>
                <w:sz w:val="18"/>
                <w:szCs w:val="18"/>
                <w:b w:val="1"/>
                <w:bCs w:val="1"/>
                <w:color w:val="auto"/>
              </w:rPr>
              <w:t>2021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Calibri" w:cs="Calibri" w:eastAsia="Calibri" w:hAnsi="Calibri"/>
                <w:sz w:val="18"/>
                <w:szCs w:val="18"/>
                <w:b w:val="1"/>
                <w:bCs w:val="1"/>
                <w:color w:val="auto"/>
              </w:rPr>
              <w:t>2020</w:t>
            </w:r>
          </w:p>
        </w:tc>
        <w:tc>
          <w:tcPr>
            <w:tcW w:w="100" w:type="dxa"/>
            <w:vAlign w:val="bottom"/>
          </w:tcPr>
          <w:p>
            <w:pPr>
              <w:spacing w:after="0"/>
              <w:rPr>
                <w:sz w:val="24"/>
                <w:szCs w:val="24"/>
                <w:color w:val="auto"/>
              </w:rPr>
            </w:pPr>
          </w:p>
        </w:tc>
      </w:tr>
      <w:tr>
        <w:trPr>
          <w:trHeight w:val="37"/>
        </w:trPr>
        <w:tc>
          <w:tcPr>
            <w:tcW w:w="65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5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cash provided by (used in) operatng actvites</w:t>
            </w:r>
          </w:p>
        </w:tc>
        <w:tc>
          <w:tcPr>
            <w:tcW w:w="300" w:type="dxa"/>
            <w:vAlign w:val="bottom"/>
            <w:tcBorders>
              <w:bottom w:val="single" w:sz="8" w:color="CFF0FC"/>
            </w:tcBorders>
            <w:shd w:val="clear" w:color="auto" w:fill="CFF0FC"/>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14,375</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175,790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(33,892</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72"/>
              </w:rPr>
              <w:t>)</w:t>
            </w:r>
          </w:p>
        </w:tc>
      </w:tr>
      <w:tr>
        <w:trPr>
          <w:trHeight w:val="215"/>
        </w:trPr>
        <w:tc>
          <w:tcPr>
            <w:tcW w:w="6520" w:type="dxa"/>
            <w:vAlign w:val="bottom"/>
          </w:tcPr>
          <w:p>
            <w:pPr>
              <w:ind w:left="20"/>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(15,415 )</w:t>
            </w:r>
          </w:p>
        </w:tc>
        <w:tc>
          <w:tcPr>
            <w:tcW w:w="300" w:type="dxa"/>
            <w:vAlign w:val="bottom"/>
          </w:tcPr>
          <w:p>
            <w:pPr>
              <w:spacing w:after="0"/>
              <w:rPr>
                <w:sz w:val="18"/>
                <w:szCs w:val="18"/>
                <w:color w:val="auto"/>
              </w:rPr>
            </w:pPr>
          </w:p>
        </w:tc>
        <w:tc>
          <w:tcPr>
            <w:tcW w:w="13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(9,345 )</w:t>
            </w:r>
          </w:p>
        </w:tc>
        <w:tc>
          <w:tcPr>
            <w:tcW w:w="300" w:type="dxa"/>
            <w:vAlign w:val="bottom"/>
          </w:tcPr>
          <w:p>
            <w:pPr>
              <w:spacing w:after="0"/>
              <w:rPr>
                <w:sz w:val="18"/>
                <w:szCs w:val="18"/>
                <w:color w:val="auto"/>
              </w:rPr>
            </w:pPr>
          </w:p>
        </w:tc>
        <w:tc>
          <w:tcPr>
            <w:tcW w:w="11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(7,605 )</w:t>
            </w:r>
          </w:p>
        </w:tc>
      </w:tr>
      <w:tr>
        <w:trPr>
          <w:trHeight w:val="28"/>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cash (used in) provided by fnancing actvites</w:t>
            </w:r>
          </w:p>
        </w:tc>
        <w:tc>
          <w:tcPr>
            <w:tcW w:w="3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(236,480 )</w:t>
            </w: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38,028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245,545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652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Net increase (decrease) in cash, cash equivalents, and restricted cash</w:t>
            </w: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b w:val="1"/>
                <w:bCs w:val="1"/>
                <w:color w:val="auto"/>
                <w:w w:val="87"/>
              </w:rPr>
              <w:t>$</w:t>
            </w:r>
          </w:p>
        </w:tc>
        <w:tc>
          <w:tcPr>
            <w:tcW w:w="1340" w:type="dxa"/>
            <w:vAlign w:val="bottom"/>
            <w:gridSpan w:val="2"/>
          </w:tcPr>
          <w:p>
            <w:pPr>
              <w:jc w:val="right"/>
              <w:ind w:right="200"/>
              <w:spacing w:after="0" w:line="208" w:lineRule="exact"/>
              <w:rPr>
                <w:sz w:val="20"/>
                <w:szCs w:val="20"/>
                <w:color w:val="auto"/>
              </w:rPr>
            </w:pPr>
            <w:r>
              <w:rPr>
                <w:rFonts w:ascii="Calibri" w:cs="Calibri" w:eastAsia="Calibri" w:hAnsi="Calibri"/>
                <w:sz w:val="18"/>
                <w:szCs w:val="18"/>
                <w:b w:val="1"/>
                <w:bCs w:val="1"/>
                <w:color w:val="auto"/>
              </w:rPr>
              <w:t>(237,520 )</w:t>
            </w: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204,473</w:t>
            </w:r>
          </w:p>
        </w:tc>
        <w:tc>
          <w:tcPr>
            <w:tcW w:w="26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204,048</w:t>
            </w:r>
          </w:p>
        </w:tc>
        <w:tc>
          <w:tcPr>
            <w:tcW w:w="100" w:type="dxa"/>
            <w:vAlign w:val="bottom"/>
          </w:tcPr>
          <w:p>
            <w:pPr>
              <w:spacing w:after="0"/>
              <w:rPr>
                <w:sz w:val="18"/>
                <w:szCs w:val="18"/>
                <w:color w:val="auto"/>
              </w:rPr>
            </w:pPr>
          </w:p>
        </w:tc>
      </w:tr>
      <w:tr>
        <w:trPr>
          <w:trHeight w:val="28"/>
        </w:trPr>
        <w:tc>
          <w:tcPr>
            <w:tcW w:w="6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-187960</wp:posOffset>
            </wp:positionV>
            <wp:extent cx="685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Provided by (Used in) Operatng Actvites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operatng actvites was $14.4 million for the year ended December 31, 2022 due to $70.8 million in net income, non-cash charges of $24.4 million, and net cash outlows from a $80.8 million change in net operatng liabilites. The net cash outlows from the change in our net operatng liabilites were primarily due to a $94.4 million decrease in accrued expenses and other current liabilites and a $30.8 million decrease in accounts payable, partally ofset by a $42.9 million decrease in prepaid expenses and other current assets. The decreases resulted primarily from sales tax liability setlements, the redempton of customer credits issued during the COVID-19 pandemic, and a decrease in amounts payable to tcket sellers as events postponed during the COVID-19 pandemic fnally occurred.</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operatng actvites was $175.8 million for the year ended December 31, 2021 due to $19.1 million in net loss, non-cash charges of $75.3 million, and net cash infows from a $119.7 million change in net operatng assets. The net cash infows from the change in our net operatng assets were primarily due to a $128.2</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3" w:name="page54"/>
    <w:bookmarkEnd w:id="53"/>
    <w:p>
      <w:pPr>
        <w:jc w:val="both"/>
        <w:spacing w:after="0" w:line="251" w:lineRule="auto"/>
        <w:rPr>
          <w:sz w:val="20"/>
          <w:szCs w:val="20"/>
          <w:color w:val="auto"/>
        </w:rPr>
      </w:pPr>
      <w:r>
        <w:rPr>
          <w:rFonts w:ascii="Calibri" w:cs="Calibri" w:eastAsia="Calibri" w:hAnsi="Calibri"/>
          <w:sz w:val="17"/>
          <w:szCs w:val="17"/>
          <w:color w:val="auto"/>
        </w:rPr>
        <w:t xml:space="preserve">million increase in accounts payable, $19.2 million increase in deferred revenue, and a $14.2 million increase in accrued expenses and other current liabilites, partally ofset by a $44.1 million decrease related to deferred paid-in-kind interest paid on May 2020 First Lien Loan, $7.6 million decrease in prepaid expenses and other current assets and a $4.3 million increase in inventory. Excluding the decrease related to deferred paid-in-kind interest, each of these resulted from higher order volume and lower event cancellatons in 2021. We identfed an immaterial error and revised the deferred interest payment of $44.1 million from an outlow in cash fows from fnancing actvites to an outlow in cash fows from operatng actvites in the Consolidated Statement of Cash Flows for the year ended December 31, 2021. This is outlined within Note 1, </w:t>
      </w:r>
      <w:r>
        <w:rPr>
          <w:rFonts w:ascii="Calibri" w:cs="Calibri" w:eastAsia="Calibri" w:hAnsi="Calibri"/>
          <w:sz w:val="17"/>
          <w:szCs w:val="17"/>
          <w:i w:val="1"/>
          <w:iCs w:val="1"/>
          <w:color w:val="auto"/>
        </w:rPr>
        <w:t>Background, Descripton of Business and Basis of Presentaton</w:t>
      </w:r>
      <w:r>
        <w:rPr>
          <w:rFonts w:ascii="Calibri" w:cs="Calibri" w:eastAsia="Calibri" w:hAnsi="Calibri"/>
          <w:sz w:val="17"/>
          <w:szCs w:val="17"/>
          <w:color w:val="auto"/>
        </w:rPr>
        <w:t>.</w:t>
      </w:r>
    </w:p>
    <w:p>
      <w:pPr>
        <w:spacing w:after="0" w:line="12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operatng actvites was $33.9 million for the year ended December 31, 2020 due to $774.2 million in net loss, non-cash charges of $646.8 million, and net cash outlows from a $93.5 million change in net operatng assets. The net cash outlows from the change in net operatng assets were primarily due to an increase of $195.4 million in accrued expenses and other current liabilites, partally ofset by a $67.6 million increase in prepaid expenses and other current assets and a $28.7 million decrease in accounts payable. These changes primarily resulted from lower order volume and higher cancellaton rates in 2020.</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Used in Investng Actvites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investng actvites for the year ended December 31, 2022 was $15.4 million, which was atributable to capital spending on development actvites related to our platorm and capital expenditures related to our new corporate headquarters in Chicago, which we moved into in late 2022.</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investng actvites for the years ended December 31, 2021 and 2020 was $9.3 million and $7.6 million, respectvely, which was primarily atributable to capital spending on development actvites related to our platorm.</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(Used in) Provided by Financing Actvites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fnancing actvites for the year ended December 31, 2022 was $236.5 million and was primarily related to the repayment of the June 2017 First Lien Loan in connecton with the refnancing and our Class A Common Stock Repurchase Program.</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Net cash provided by fnancing actvites was $38.0 million for the year ended December 31, 2021. This was due to capital contributons of $752.9 million, ofset by $441.0 million in debt payments and debt extnguishment costs, $236.0 million of preferred equity redemptons, $20.1 million of Merger Transacton costs, and $17.7 million of dividends paid. We identfed an immaterial error and revised the deferred interest payment of $44.1 million from an outlow in cash fows from fnancing actvites to an outlow in cash fows from operatng actvites in the Consolidated Statement of Cash Flows for the year ended December 31, 2021. This is outlined within Note 1, </w:t>
      </w:r>
      <w:r>
        <w:rPr>
          <w:rFonts w:ascii="Calibri" w:cs="Calibri" w:eastAsia="Calibri" w:hAnsi="Calibri"/>
          <w:sz w:val="18"/>
          <w:szCs w:val="18"/>
          <w:i w:val="1"/>
          <w:iCs w:val="1"/>
          <w:color w:val="auto"/>
        </w:rPr>
        <w:t>Background, Descripton of Business and Basis of Presentaton</w:t>
      </w:r>
      <w:r>
        <w:rPr>
          <w:rFonts w:ascii="Calibri" w:cs="Calibri" w:eastAsia="Calibri" w:hAnsi="Calibri"/>
          <w:sz w:val="18"/>
          <w:szCs w:val="18"/>
          <w:color w:val="auto"/>
        </w:rPr>
        <w:t>.</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fnancing actvites was $245.5 million for the year ended December 31, 2020, which resulted primarily from $260.0 million in proceeds from our May 2020 First Lien Loan. This was partally ofset by $6.5 million arranger fee on the May 2020 First Lien Loan, $5.9 million in principal payments on our June 2017 First Lien Loan, and $2.1 million in other debt-related costs. We also borrowed $50.0 million under our Revolving Facility, which we subsequently repaid in 2020.</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Of-Balance Sheet Arrangements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we did not have any of-balance sheet arrangements, as defned in item 303(a)(4)(ii) of Regulaton S-K promulgated under the Exchange Act, that have or are reasonably likely to have a current or future efect on our fnancial conditon, results of operatons, or cash fows.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Estmates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consolidated fnancial statements are prepared in accordance with accountng principles generally accepted in the United States of America (“GAAP”). Preparaton of our fnancial statements in conformity with GAAP requires us to make estmates and assumptons that afect the reported amounts of assets, liabilites, revenue, costs, and</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4" w:name="page55"/>
    <w:bookmarkEnd w:id="54"/>
    <w:p>
      <w:pPr>
        <w:jc w:val="both"/>
        <w:spacing w:after="0" w:line="235" w:lineRule="auto"/>
        <w:rPr>
          <w:sz w:val="20"/>
          <w:szCs w:val="20"/>
          <w:color w:val="auto"/>
        </w:rPr>
      </w:pPr>
      <w:r>
        <w:rPr>
          <w:rFonts w:ascii="Calibri" w:cs="Calibri" w:eastAsia="Calibri" w:hAnsi="Calibri"/>
          <w:sz w:val="18"/>
          <w:szCs w:val="18"/>
          <w:color w:val="auto"/>
        </w:rPr>
        <w:t>expenses, and related disclosures. On an ongoing basis, we evaluate our estmates and assumptons. Actual results may difer from these estmates under diferent assumptons or conditons. The assumptons and estmates associated with revenue recogniton; equity-based compensaton, warrants and earnouts, and impairment of our goodwill, indefnite-lived intangible assets, defnite-lived intangible assets, long-lived assets, and valuaton allowances have the greatest potental impact on our consolidated fnancial statements. Accordingly, these are the policies that are the most critcal to aid in fully understanding and evaluatng our Consolidated Balance Sheets, results of operatons, and cash fows.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Revenue from our Marketplace segment primarily consists of service and delivery fees from tcketng operatons, reduced by incentves provided to tcket buyers. We also recognize revenue for referral fees earned on the purchase of tcket insurance by tcket buyers from third-party insurers. We recognize revenue from our Marketplace segment when the tcket seller confrms an order with the tcket buyer, at which point the seller is obligated to deliver the tckets to the tcket buyer in accordance with the original marketplace listng. Revenue from Marketplace transactons is recognized on a net basis because we act as an agent for these transactons. Additonally, the revenue we earn from our daily fantasy sports ofering is the diference between cash entry fees collected and cash amounts paid out to users for winning picks, less customer promotons and incentves in a period.</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estmate and reserve for future cancellaton charges based on historical trends, with the corresponding charge reducing revenue. This reserve, known as accrued future customer compensaton, is classifed within Accrued expenses and other current liabilites, with a corresponding asset for expected recoveries from tcket sellers and distributon partners recorded within Prepaid expenses and other current assets on our Consolidated Balance Sheets.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Specifc judgments and assumptons considered when estmatng future cancellaton charges include historical cancellaton charges as a percentage of sales, the average length of tme to realize such charges, and the potental exposure based on the volume of recent sales actvity. Following the onset of the COVID-19 pandemic, estmates for future cancellaton charges resultng from event cancellatons have been determined based on historical event cancellaton rates during diferent phases of the recovery and management’s estmates of future event cancellaton trends.</w:t>
      </w:r>
    </w:p>
    <w:p>
      <w:pPr>
        <w:spacing w:after="0" w:line="15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Such estmates are inherently uncertain as we are unable to predict the rate at which actual cancellaton charges will occur. To the extent that actual cancellaton charges are materially diferent than previously estmated amounts, or changes in recent trends require updates to previously reserved amounts, revenue may be materially impacted. As a result of the COVID-19 pandemic, cancellaton charge reserves increased materially in 2020 due to the large volume of cancellatons that occurred from the pandemic. In 2021 and 2022, reserves reduced due to reductons in estmated future cancellaton rates. In extreme circumstances, should actual cancellaton charges exceed previous estmates by a signifcant amount, we may experience negatve overall revenue.</w:t>
      </w:r>
    </w:p>
    <w:p>
      <w:pPr>
        <w:spacing w:after="0" w:line="14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When an event is cancelled, tcket buyers may receive either a cash refund or credit for future purchases in our marketplace. Credits issued to buyers for cancellatons are recorded as accrued customer compensaton within Accrued expenses and other current liabilites on our Consolidated Balance Sheets. When a credit is redeemed, revenue is recognized for the newly placed order. Breakage income from customer credits that are not expected to be used, and are not subject to escheatment, is estmated and recognized as revenue in proporton to the patern of redempton for the customer credits that are used. We estmate breakage based on historical usage trends for credits issued by us and available data on comparable programs. To the extent that actual usage difers from expected usage, that trends in usage rates difer from those used to establish our breakage estmate, or that the volume of credits subject to escheatment changes, revenue may be materially impacted. In 2022, we increased our estmated breakage rates based on lower credit usage. Our recorded breakage estmates exclude credits subject to escheatment and are further constrained by our limited history of customer credits and exposure to events beyond our control.</w:t>
      </w:r>
    </w:p>
    <w:p>
      <w:pPr>
        <w:spacing w:after="0" w:line="14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ofer our customers the opportunity to partcipate in our loyalty program, Vivid Seats Rewards, through our Marketplace segment, which allows customers to earn and redeem credits on Owned Propertes transactons. We</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5" w:name="page56"/>
    <w:bookmarkEnd w:id="55"/>
    <w:p>
      <w:pPr>
        <w:jc w:val="both"/>
        <w:spacing w:after="0" w:line="235" w:lineRule="auto"/>
        <w:rPr>
          <w:sz w:val="20"/>
          <w:szCs w:val="20"/>
          <w:color w:val="auto"/>
        </w:rPr>
      </w:pPr>
      <w:r>
        <w:rPr>
          <w:rFonts w:ascii="Calibri" w:cs="Calibri" w:eastAsia="Calibri" w:hAnsi="Calibri"/>
          <w:sz w:val="18"/>
          <w:szCs w:val="18"/>
          <w:color w:val="auto"/>
        </w:rPr>
        <w:t>defer revenue associated with these credits, which is recorded as Deferred revenue on our Consolidated Balance Sheets. The deferred amount is based on expected future usage, including the frequency with which buyers reach the ten stamp threshold for reward credit conversions and the rate of credit redemptons, and is recognized as revenue when the credits are redeemed. To the extent that actual usage difers from expected usage, or that recent trends require a change in the estmated usage rate of unexpired credits, our revenue will be impacted by the change.</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Revenue from our Resale business primarily consists of sales of tckets to customers through online secondary tcket marketplaces. We recognize Resale revenue on a gross basis because we act as a principal in these transactons. We recognize Resale revenue when an order is confrmed.</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Equity-Based Compensaton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account for Restricted Stock Units ("RSUs"), stock optons, and profts interest at fair value as of the grant date. We award RSUs to our employees, directors and consultants. We also award stock optons to certain employees. The awards are subject to the recipient’s contnued service through the applicable vestng date. The grant-date fair value of stock optons is estmated using an opton pricing model. The model requires us to make assumptons and judgments about the variables used in the calculaton, the volatlity of our common stock, risk-free interest rate, and expected dividends. We estmate the fair value of profts interest using the Black-Scholes opton pricing model, which includes assumptons related to volatlity, expected term, dividend yield and risk-free interest rate. We account for forfeitures of outstanding, but unvested grants, in the period they occur. Expense related to grants of equity-based awards is recognized as equity-based compensaton in the Consolidated Statements of Operatons.</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Warrants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estmated fair value of warrant liabilites is determined by using the Black-Scholes model. The model requires us to make assumptons and judgments about the variables used in the calculaton related to volatlity, expected term, dividend yield and risk-free interest rate. The warrant liabilites are subject to re-measurement at each balance sheet date untl exercised, and any change in fair value is recognized in the Consolidated Statements of Operatons.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Impairment of Goodwill, Indefnite-Lived Intangible Assets, Defnite-Lived Intangible Assets, and Other Long-Lived Assets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assess goodwill and our indefnite-lived intangible asset (our trademark) for impairment annually, or more frequently if events or changes in circumstances indicate that an asset may be impaired. We assess defnite-lived intangible assets and other long-lived assets (collectvely, “long-lived assets”) for impairment whenever events or changes in circumstances indicate the carrying amount of an asset or asset group may not be recoverable.</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Goodwill and Indefnite-lived Intangible Asset (Trademark)</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account for acquired businesses using the acquisiton method of accountng which requires that the assets acquired, and liabilites assumed be recorded at the date of acquisiton at their respectve fair values. Our goodwill and our indefnite-lived trademark are held by our Marketplace segment, which contains one reportng unit.</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is not subject to amortzaton and is reviewed for impairment annually, or earlier whenever events or changes in business circumstances indicate an impairment may have occurred. We assess goodwill for impairment at the reportng unit level. Goodwill is considered impaired if the carrying value of the reportng unit exceeds its fair value, with an impairment charge recognized for the diference.</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When reviewing goodwill for impairment, we begin by performing a qualitatve assessment, which includes, but is not limited to, reviewing factors such as macroeconomic conditons, industry and market consideratons, cost factors, entty-specifc fnancial performance and other events, including changes in our management. If we determine that it is more likely than not that the fair value of a reportng unit is less than its carrying value, we then perform a quanttatve assessment. Depending upon the results of that assessment, the recorded goodwill may be writen down, and impairment expense is recorded in the consolidated statements of operatons when the carrying amount of the reportng unit exceeds the fair value of the reportng unit.</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6" w:name="page57"/>
    <w:bookmarkEnd w:id="56"/>
    <w:p>
      <w:pPr>
        <w:jc w:val="both"/>
        <w:spacing w:after="0" w:line="235" w:lineRule="auto"/>
        <w:rPr>
          <w:sz w:val="20"/>
          <w:szCs w:val="20"/>
          <w:color w:val="auto"/>
        </w:rPr>
      </w:pPr>
      <w:r>
        <w:rPr>
          <w:rFonts w:ascii="Calibri" w:cs="Calibri" w:eastAsia="Calibri" w:hAnsi="Calibri"/>
          <w:sz w:val="18"/>
          <w:szCs w:val="18"/>
          <w:color w:val="auto"/>
        </w:rPr>
        <w:t>For the year ended December 31, 2022, as part of our annual assessment, a qualitatve goodwill assessment was performed and we determined it was not more likely than not that the fair value of our reportng unit was less than its carrying value.</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Similar to goodwill, our indefnite-lived trademark is not amortzed, but reviewed for impairment annually, or earlier whenever events or changes in business circumstances indicate that the carrying value may not be recoverable. For the year ended December 31, 2022, as part of our annual assessment, a qualitatve assessment was performed resultng in no impairment. The qualitatve assessment included the history and longevity of our brand, our reputaton, market share, and importance of our brand in buying decisions.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Each reportng period, we perform an evaluaton of the remaining useful life of our indefnite-lived trademark to determine whether events and circumstances contnue to support an indefnite life. We consider the life of our indefnite-lived trademark to be appropriate for the years ended December 31, 2022.</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Long-lived assets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periodically review the carrying amount of our long-lived assets to determine whether current events or business circumstances indicate that the carrying amounts of an asset or asset group may not be recoverable. We classify our long-lived assets as a single asset group, which consists primarily of defnite-lived intangible assets, property and equipment, right-of-use assets, and personal seat licenses. Our defnite-lived intangible assets consist of developed technology, customer and supplier relatonships, and non-compete agreements.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year ended December 31, 2022, management did not identfy any events or changes in circumstances which would indicate the carrying amount of an asset or asset group may not be recoverable. As such, there were no long-lived asset impairments for the year ended December 31, 2022.</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Tax valuaton allowance</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recognize deferred tax assets for the expected future beneft from certain net operatng losses, tax credits, basis diferences from investments in operatng partnerships and other similar items. To the extent we believe these assets, or a porton of these assets, are not more likely than not to be realized, we record a valuaton allowance against the deferred tax asset’s value.</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determining the realizability of our deferred tax assets, we consider all available positve and negatve evidence, including historical taxable income or loss amounts, projected future taxable income, antcipated reversals of temporary book/tax diferences, tax planning strategies and recent results of operatons. This assessment requires us to make judgements that rely heavily on future projectons, and assumptons, that are inherently uncertain. In additon, we must make determinatons about the relatve weightng of certain positve and negatve evidence to arrive at a conclusion regarding the need for a valuaton allowance. To the extent actual results of operatons, or actual taxable income or loss, difers materially from our assumptons, we would need to modify the valuaton allowance with a corresponding adjustment to net income or net loss.</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See Note 2 to our Consolidated Financial Statements included elsewhere in this Annual Report on Form 10-K for a descripton of recently adopted accountng pronouncements and issued accountng pronouncements not yet adopted.</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JOBS Act Accountng Electon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Secton 107 of the JOBS Act allows emerging growth companies to take advantage of the extended transiton period for complying with new or revised accountng standards. Under Secton 107, an emerging growth company can delay the adopton of certain accountng standards untl those standards would otherwise apply to private companies. Any decision to opt out of the extended transiton period for complying with new or revised accountng standards is irrevocable. We have elected to use the extended transiton period under the JOBS Act.</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7" w:name="page58"/>
    <w:bookmarkEnd w:id="57"/>
    <w:p>
      <w:pPr>
        <w:jc w:val="center"/>
        <w:ind w:right="40"/>
        <w:spacing w:after="0"/>
        <w:rPr>
          <w:sz w:val="20"/>
          <w:szCs w:val="20"/>
          <w:color w:val="auto"/>
        </w:rPr>
      </w:pPr>
      <w:r>
        <w:rPr>
          <w:rFonts w:ascii="Calibri" w:cs="Calibri" w:eastAsia="Calibri" w:hAnsi="Calibri"/>
          <w:sz w:val="18"/>
          <w:szCs w:val="18"/>
          <w:b w:val="1"/>
          <w:bCs w:val="1"/>
          <w:color w:val="auto"/>
        </w:rPr>
        <w:t>Item 7A. Quanttatve and Qualitatve Disclosures about Market Risk</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 risk is the potental loss from adverse changes in interest rates, foreign exchange rates, and market prices. Our primary market risk is interest rate risk associated with our long-term debt. We manage our exposure to this risk through established policies and procedures. Our objectve is to mitgate potental income statement, cash fow, and market exposures from changes in interest rates.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Rate Risk</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market risk is afected by changes in interest rates. We maintain foatng-rate debt that bears interest based on market rates plus an applicable spread. Because our interest rate is ted to market rates, we will be susceptble to fuctuatons in interest rates if we do not hedge the interest rate exposure arising from our foatng-rate borrowings. A hypothetcal 1% increase or decrease in interest rates, assuming rates are above our interest rate foor, would change our interest expense by $3.0 million based on amounts outstanding under the June 2017 First Lien Loan and February 2022 First Lien Loan during the year ended December 31, 2022.</w:t>
      </w:r>
    </w:p>
    <w:p>
      <w:pPr>
        <w:spacing w:after="0" w:line="3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58" w:name="page59"/>
    <w:bookmarkEnd w:id="58"/>
    <w:p>
      <w:pPr>
        <w:jc w:val="center"/>
        <w:ind w:right="-19"/>
        <w:spacing w:after="0"/>
        <w:rPr>
          <w:sz w:val="20"/>
          <w:szCs w:val="20"/>
          <w:color w:val="auto"/>
        </w:rPr>
      </w:pPr>
      <w:r>
        <w:rPr>
          <w:rFonts w:ascii="Calibri" w:cs="Calibri" w:eastAsia="Calibri" w:hAnsi="Calibri"/>
          <w:sz w:val="18"/>
          <w:szCs w:val="18"/>
          <w:b w:val="1"/>
          <w:bCs w:val="1"/>
          <w:color w:val="auto"/>
        </w:rPr>
        <w:t>Item 8. Financial Statements and Supplementary Data</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Index to Consolidated Financial Statements</w:t>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Page</w:t>
            </w:r>
          </w:p>
        </w:tc>
      </w:tr>
      <w:tr>
        <w:trPr>
          <w:trHeight w:val="60"/>
        </w:trPr>
        <w:tc>
          <w:tcPr>
            <w:tcW w:w="2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96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r>
      <w:tr>
        <w:trPr>
          <w:trHeight w:val="385"/>
        </w:trPr>
        <w:tc>
          <w:tcPr>
            <w:tcW w:w="4840" w:type="dxa"/>
            <w:vAlign w:val="bottom"/>
            <w:gridSpan w:val="9"/>
          </w:tcPr>
          <w:p>
            <w:pPr>
              <w:ind w:left="20"/>
              <w:spacing w:after="0"/>
              <w:rPr>
                <w:sz w:val="20"/>
                <w:szCs w:val="20"/>
                <w:color w:val="auto"/>
              </w:rPr>
            </w:pPr>
            <w:r>
              <w:rPr>
                <w:rFonts w:ascii="Calibri" w:cs="Calibri" w:eastAsia="Calibri" w:hAnsi="Calibri"/>
                <w:sz w:val="18"/>
                <w:szCs w:val="18"/>
                <w:color w:val="0000FF"/>
              </w:rPr>
              <w:t>Report of Independent Registered Public Accountng Firm</w:t>
            </w:r>
          </w:p>
        </w:tc>
        <w:tc>
          <w:tcPr>
            <w:tcW w:w="6400" w:type="dxa"/>
            <w:vAlign w:val="bottom"/>
            <w:gridSpan w:val="2"/>
          </w:tcPr>
          <w:p>
            <w:pPr>
              <w:jc w:val="right"/>
              <w:spacing w:after="0"/>
              <w:rPr>
                <w:sz w:val="20"/>
                <w:szCs w:val="20"/>
                <w:color w:val="auto"/>
              </w:rPr>
            </w:pPr>
            <w:r>
              <w:rPr>
                <w:rFonts w:ascii="Calibri" w:cs="Calibri" w:eastAsia="Calibri" w:hAnsi="Calibri"/>
                <w:sz w:val="18"/>
                <w:szCs w:val="18"/>
                <w:color w:val="auto"/>
              </w:rPr>
              <w:t>57</w:t>
            </w:r>
          </w:p>
        </w:tc>
      </w:tr>
      <w:tr>
        <w:trPr>
          <w:trHeight w:val="209"/>
        </w:trPr>
        <w:tc>
          <w:tcPr>
            <w:tcW w:w="4100" w:type="dxa"/>
            <w:vAlign w:val="bottom"/>
            <w:tcBorders>
              <w:top w:val="single" w:sz="8" w:color="0000FF"/>
            </w:tcBorders>
            <w:gridSpan w:val="7"/>
          </w:tcPr>
          <w:p>
            <w:pPr>
              <w:ind w:left="20"/>
              <w:spacing w:after="0" w:line="209" w:lineRule="exact"/>
              <w:rPr>
                <w:sz w:val="20"/>
                <w:szCs w:val="20"/>
                <w:color w:val="auto"/>
              </w:rPr>
            </w:pPr>
            <w:r>
              <w:rPr>
                <w:rFonts w:ascii="Calibri" w:cs="Calibri" w:eastAsia="Calibri" w:hAnsi="Calibri"/>
                <w:sz w:val="18"/>
                <w:szCs w:val="18"/>
                <w:color w:val="0000FF"/>
              </w:rPr>
              <w:t>Consolidated Balance Sheets</w:t>
            </w:r>
          </w:p>
        </w:tc>
        <w:tc>
          <w:tcPr>
            <w:tcW w:w="740" w:type="dxa"/>
            <w:vAlign w:val="bottom"/>
            <w:gridSpan w:val="2"/>
          </w:tcPr>
          <w:p>
            <w:pPr>
              <w:spacing w:after="0"/>
              <w:rPr>
                <w:sz w:val="18"/>
                <w:szCs w:val="18"/>
                <w:color w:val="auto"/>
              </w:rPr>
            </w:pPr>
          </w:p>
        </w:tc>
        <w:tc>
          <w:tcPr>
            <w:tcW w:w="640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58</w:t>
            </w:r>
          </w:p>
        </w:tc>
      </w:tr>
      <w:tr>
        <w:trPr>
          <w:trHeight w:val="20"/>
        </w:trPr>
        <w:tc>
          <w:tcPr>
            <w:tcW w:w="20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r>
      <w:tr>
        <w:trPr>
          <w:trHeight w:val="210"/>
        </w:trPr>
        <w:tc>
          <w:tcPr>
            <w:tcW w:w="2840" w:type="dxa"/>
            <w:vAlign w:val="bottom"/>
            <w:tcBorders>
              <w:bottom w:val="single" w:sz="8" w:color="0000FF"/>
            </w:tcBorders>
            <w:gridSpan w:val="3"/>
          </w:tcPr>
          <w:p>
            <w:pPr>
              <w:ind w:left="20"/>
              <w:spacing w:after="0" w:line="209" w:lineRule="exact"/>
              <w:rPr>
                <w:sz w:val="20"/>
                <w:szCs w:val="20"/>
                <w:color w:val="auto"/>
              </w:rPr>
            </w:pPr>
            <w:r>
              <w:rPr>
                <w:rFonts w:ascii="Calibri" w:cs="Calibri" w:eastAsia="Calibri" w:hAnsi="Calibri"/>
                <w:sz w:val="18"/>
                <w:szCs w:val="18"/>
                <w:color w:val="0000FF"/>
                <w:w w:val="98"/>
              </w:rPr>
              <w:t>Consolidated Statements of Operatons</w:t>
            </w:r>
          </w:p>
        </w:tc>
        <w:tc>
          <w:tcPr>
            <w:tcW w:w="20" w:type="dxa"/>
            <w:vAlign w:val="bottom"/>
            <w:tcBorders>
              <w:bottom w:val="single" w:sz="8" w:color="0000EE"/>
            </w:tcBorders>
          </w:tcPr>
          <w:p>
            <w:pPr>
              <w:spacing w:after="0"/>
              <w:rPr>
                <w:sz w:val="18"/>
                <w:szCs w:val="18"/>
                <w:color w:val="auto"/>
              </w:rPr>
            </w:pPr>
          </w:p>
        </w:tc>
        <w:tc>
          <w:tcPr>
            <w:tcW w:w="1980" w:type="dxa"/>
            <w:vAlign w:val="bottom"/>
            <w:gridSpan w:val="5"/>
          </w:tcPr>
          <w:p>
            <w:pPr>
              <w:spacing w:after="0"/>
              <w:rPr>
                <w:sz w:val="18"/>
                <w:szCs w:val="18"/>
                <w:color w:val="auto"/>
              </w:rPr>
            </w:pPr>
          </w:p>
        </w:tc>
        <w:tc>
          <w:tcPr>
            <w:tcW w:w="640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59</w:t>
            </w:r>
          </w:p>
        </w:tc>
      </w:tr>
      <w:tr>
        <w:trPr>
          <w:trHeight w:val="209"/>
        </w:trPr>
        <w:tc>
          <w:tcPr>
            <w:tcW w:w="4160" w:type="dxa"/>
            <w:vAlign w:val="bottom"/>
            <w:tcBorders>
              <w:bottom w:val="single" w:sz="8" w:color="0000FF"/>
            </w:tcBorders>
            <w:gridSpan w:val="8"/>
          </w:tcPr>
          <w:p>
            <w:pPr>
              <w:ind w:left="20"/>
              <w:spacing w:after="0" w:line="209" w:lineRule="exact"/>
              <w:rPr>
                <w:sz w:val="20"/>
                <w:szCs w:val="20"/>
                <w:color w:val="auto"/>
              </w:rPr>
            </w:pPr>
            <w:r>
              <w:rPr>
                <w:rFonts w:ascii="Calibri" w:cs="Calibri" w:eastAsia="Calibri" w:hAnsi="Calibri"/>
                <w:sz w:val="18"/>
                <w:szCs w:val="18"/>
                <w:color w:val="0000FF"/>
                <w:w w:val="96"/>
              </w:rPr>
              <w:t>Consolidated Statements of Comprehensive Income (Loss)</w:t>
            </w:r>
          </w:p>
        </w:tc>
        <w:tc>
          <w:tcPr>
            <w:tcW w:w="680" w:type="dxa"/>
            <w:vAlign w:val="bottom"/>
          </w:tcPr>
          <w:p>
            <w:pPr>
              <w:spacing w:after="0"/>
              <w:rPr>
                <w:sz w:val="18"/>
                <w:szCs w:val="18"/>
                <w:color w:val="auto"/>
              </w:rPr>
            </w:pPr>
          </w:p>
        </w:tc>
        <w:tc>
          <w:tcPr>
            <w:tcW w:w="640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60</w:t>
            </w:r>
          </w:p>
        </w:tc>
      </w:tr>
      <w:tr>
        <w:trPr>
          <w:trHeight w:val="210"/>
        </w:trPr>
        <w:tc>
          <w:tcPr>
            <w:tcW w:w="4840" w:type="dxa"/>
            <w:vAlign w:val="bottom"/>
            <w:gridSpan w:val="9"/>
          </w:tcPr>
          <w:p>
            <w:pPr>
              <w:ind w:left="20"/>
              <w:spacing w:after="0" w:line="209" w:lineRule="exact"/>
              <w:rPr>
                <w:sz w:val="20"/>
                <w:szCs w:val="20"/>
                <w:color w:val="auto"/>
              </w:rPr>
            </w:pPr>
            <w:r>
              <w:rPr>
                <w:rFonts w:ascii="Calibri" w:cs="Calibri" w:eastAsia="Calibri" w:hAnsi="Calibri"/>
                <w:sz w:val="18"/>
                <w:szCs w:val="18"/>
                <w:color w:val="0000FF"/>
              </w:rPr>
              <w:t>Consolidated Statements of Equity (Defcit)</w:t>
            </w:r>
          </w:p>
        </w:tc>
        <w:tc>
          <w:tcPr>
            <w:tcW w:w="640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61</w:t>
            </w:r>
          </w:p>
        </w:tc>
      </w:tr>
      <w:tr>
        <w:trPr>
          <w:trHeight w:val="209"/>
        </w:trPr>
        <w:tc>
          <w:tcPr>
            <w:tcW w:w="2820" w:type="dxa"/>
            <w:vAlign w:val="bottom"/>
            <w:tcBorders>
              <w:top w:val="single" w:sz="8" w:color="0000FF"/>
              <w:bottom w:val="single" w:sz="8" w:color="0000FF"/>
            </w:tcBorders>
            <w:gridSpan w:val="2"/>
          </w:tcPr>
          <w:p>
            <w:pPr>
              <w:ind w:left="20"/>
              <w:spacing w:after="0" w:line="209" w:lineRule="exact"/>
              <w:rPr>
                <w:sz w:val="20"/>
                <w:szCs w:val="20"/>
                <w:color w:val="auto"/>
              </w:rPr>
            </w:pPr>
            <w:r>
              <w:rPr>
                <w:rFonts w:ascii="Calibri" w:cs="Calibri" w:eastAsia="Calibri" w:hAnsi="Calibri"/>
                <w:sz w:val="18"/>
                <w:szCs w:val="18"/>
                <w:color w:val="0000FF"/>
                <w:w w:val="96"/>
              </w:rPr>
              <w:t>Consolidated Statements of Cash Flows</w:t>
            </w:r>
          </w:p>
        </w:tc>
        <w:tc>
          <w:tcPr>
            <w:tcW w:w="20" w:type="dxa"/>
            <w:vAlign w:val="bottom"/>
            <w:tcBorders>
              <w:top w:val="single" w:sz="8" w:color="0000FF"/>
              <w:bottom w:val="single" w:sz="8" w:color="0000EE"/>
            </w:tcBorders>
          </w:tcPr>
          <w:p>
            <w:pPr>
              <w:spacing w:after="0"/>
              <w:rPr>
                <w:sz w:val="18"/>
                <w:szCs w:val="18"/>
                <w:color w:val="auto"/>
              </w:rPr>
            </w:pPr>
          </w:p>
        </w:tc>
        <w:tc>
          <w:tcPr>
            <w:tcW w:w="240" w:type="dxa"/>
            <w:vAlign w:val="bottom"/>
            <w:tcBorders>
              <w:top w:val="single" w:sz="8" w:color="0000FF"/>
            </w:tcBorders>
            <w:gridSpan w:val="2"/>
          </w:tcPr>
          <w:p>
            <w:pPr>
              <w:spacing w:after="0"/>
              <w:rPr>
                <w:sz w:val="18"/>
                <w:szCs w:val="18"/>
                <w:color w:val="auto"/>
              </w:rPr>
            </w:pPr>
          </w:p>
        </w:tc>
        <w:tc>
          <w:tcPr>
            <w:tcW w:w="1760" w:type="dxa"/>
            <w:vAlign w:val="bottom"/>
            <w:gridSpan w:val="4"/>
          </w:tcPr>
          <w:p>
            <w:pPr>
              <w:spacing w:after="0"/>
              <w:rPr>
                <w:sz w:val="18"/>
                <w:szCs w:val="18"/>
                <w:color w:val="auto"/>
              </w:rPr>
            </w:pPr>
          </w:p>
        </w:tc>
        <w:tc>
          <w:tcPr>
            <w:tcW w:w="640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64</w:t>
            </w:r>
          </w:p>
        </w:tc>
      </w:tr>
      <w:tr>
        <w:trPr>
          <w:trHeight w:val="209"/>
        </w:trPr>
        <w:tc>
          <w:tcPr>
            <w:tcW w:w="4840" w:type="dxa"/>
            <w:vAlign w:val="bottom"/>
            <w:gridSpan w:val="9"/>
          </w:tcPr>
          <w:p>
            <w:pPr>
              <w:ind w:left="20"/>
              <w:spacing w:after="0" w:line="209" w:lineRule="exact"/>
              <w:rPr>
                <w:sz w:val="20"/>
                <w:szCs w:val="20"/>
                <w:color w:val="auto"/>
              </w:rPr>
            </w:pPr>
            <w:r>
              <w:rPr>
                <w:rFonts w:ascii="Calibri" w:cs="Calibri" w:eastAsia="Calibri" w:hAnsi="Calibri"/>
                <w:sz w:val="18"/>
                <w:szCs w:val="18"/>
                <w:color w:val="0000FF"/>
              </w:rPr>
              <w:t>Notes to the Consolidated Financial Statements</w:t>
            </w:r>
          </w:p>
        </w:tc>
        <w:tc>
          <w:tcPr>
            <w:tcW w:w="640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66</w:t>
            </w:r>
          </w:p>
        </w:tc>
      </w:tr>
      <w:tr>
        <w:trPr>
          <w:trHeight w:val="456"/>
        </w:trPr>
        <w:tc>
          <w:tcPr>
            <w:tcW w:w="20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60" w:type="dxa"/>
            <w:vAlign w:val="bottom"/>
          </w:tcPr>
          <w:p>
            <w:pPr>
              <w:jc w:val="right"/>
              <w:ind w:right="4990"/>
              <w:spacing w:after="0"/>
              <w:rPr>
                <w:sz w:val="20"/>
                <w:szCs w:val="20"/>
                <w:color w:val="auto"/>
              </w:rPr>
            </w:pPr>
            <w:r>
              <w:rPr>
                <w:rFonts w:ascii="Calibri" w:cs="Calibri" w:eastAsia="Calibri" w:hAnsi="Calibri"/>
                <w:sz w:val="18"/>
                <w:szCs w:val="18"/>
                <w:color w:val="auto"/>
              </w:rPr>
              <w:t>56</w:t>
            </w:r>
          </w:p>
        </w:tc>
        <w:tc>
          <w:tcPr>
            <w:tcW w:w="440" w:type="dxa"/>
            <w:vAlign w:val="bottom"/>
          </w:tcPr>
          <w:p>
            <w:pPr>
              <w:spacing w:after="0"/>
              <w:rPr>
                <w:sz w:val="24"/>
                <w:szCs w:val="24"/>
                <w:color w:val="auto"/>
              </w:rPr>
            </w:pPr>
          </w:p>
        </w:tc>
      </w:tr>
      <w:tr>
        <w:trPr>
          <w:trHeight w:val="138"/>
        </w:trPr>
        <w:tc>
          <w:tcPr>
            <w:tcW w:w="2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59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9" w:name="page60"/>
    <w:bookmarkEnd w:id="59"/>
    <w:p>
      <w:pPr>
        <w:ind w:left="3540"/>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shareholders and the Board of Directors of Vivid Seats Inc.</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the Financial Statements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audited the accompanying consolidated balance sheets of Vivid Seats Inc. and subsidiaries (the "Company") as of December 31, 2022 and 2021, the related consolidated statements of operatons, comprehensive income (loss), defcit, and cash fows for each of the three years in the period ended December 31, 2022, and the related notes (collectvely referred to as the "fnancial statements"). In our opinion, the fnancial statements present fairly, in all material respects, the fnancial positon of the Company as of December 31, 2022 and 2021, and the results of its operatons and its cash fows for each of the three years in the period ended December 31, 2022, in conformity with accountng principles generally accepted in the United States of America.</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fnancial statements are the responsibility of the Company's management. Our responsibility is to express an opinion on the Company's fnancial statements based on our audits.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The Company is not required to have, nor were we engaged to perform, an audit of its internal control over fnancial reportng. As part of our audits, we are required to obtain an understanding of internal control over fnancial reportng but not for the purpose of expressing an opinion on the efectveness of the Company's internal control over fnancial reportng. Accordingly, we express no such opinion.</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Emphasis of Mater</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discussed in Note 1 to the fnancial statements, the Company consummated a merger on October 18, 2021, which has been accounted for as a reverse recapitalizaton. The fnancial statements of the Company represent a contnuaton of the fnancial statements of Hoya Intermediate, LLC.</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alibri" w:cs="Calibri" w:eastAsia="Calibri" w:hAnsi="Calibri"/>
          <w:sz w:val="18"/>
          <w:szCs w:val="18"/>
          <w:color w:val="auto"/>
        </w:rPr>
        <w:t>/s/ Deloite &amp; Touche LLP</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Chicago, Illinois</w:t>
      </w:r>
    </w:p>
    <w:p>
      <w:pPr>
        <w:spacing w:after="0" w:line="235" w:lineRule="auto"/>
        <w:rPr>
          <w:sz w:val="20"/>
          <w:szCs w:val="20"/>
          <w:color w:val="auto"/>
        </w:rPr>
      </w:pPr>
      <w:r>
        <w:rPr>
          <w:rFonts w:ascii="Calibri" w:cs="Calibri" w:eastAsia="Calibri" w:hAnsi="Calibri"/>
          <w:sz w:val="18"/>
          <w:szCs w:val="18"/>
          <w:color w:val="auto"/>
        </w:rPr>
        <w:t>March 7, 2023</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2021.</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60" w:name="page61"/>
    <w:bookmarkEnd w:id="6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700"/>
              <w:spacing w:after="0"/>
              <w:rPr>
                <w:sz w:val="20"/>
                <w:szCs w:val="20"/>
                <w:color w:val="auto"/>
              </w:rPr>
            </w:pPr>
            <w:r>
              <w:rPr>
                <w:rFonts w:ascii="Calibri" w:cs="Calibri" w:eastAsia="Calibri" w:hAnsi="Calibri"/>
                <w:sz w:val="18"/>
                <w:szCs w:val="18"/>
                <w:b w:val="1"/>
                <w:bCs w:val="1"/>
                <w:color w:val="auto"/>
              </w:rPr>
              <w:t>December 31,</w:t>
            </w:r>
          </w:p>
        </w:tc>
        <w:tc>
          <w:tcPr>
            <w:tcW w:w="260" w:type="dxa"/>
            <w:vAlign w:val="bottom"/>
          </w:tcPr>
          <w:p>
            <w:pPr>
              <w:spacing w:after="0"/>
              <w:rPr>
                <w:sz w:val="19"/>
                <w:szCs w:val="19"/>
                <w:color w:val="auto"/>
              </w:rPr>
            </w:pPr>
          </w:p>
        </w:tc>
        <w:tc>
          <w:tcPr>
            <w:tcW w:w="1680" w:type="dxa"/>
            <w:vAlign w:val="bottom"/>
            <w:gridSpan w:val="2"/>
          </w:tcPr>
          <w:p>
            <w:pPr>
              <w:jc w:val="right"/>
              <w:ind w:right="52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7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650"/>
              <w:spacing w:after="0"/>
              <w:rPr>
                <w:sz w:val="20"/>
                <w:szCs w:val="20"/>
                <w:color w:val="auto"/>
              </w:rPr>
            </w:pPr>
            <w:r>
              <w:rPr>
                <w:rFonts w:ascii="Calibri" w:cs="Calibri" w:eastAsia="Calibri" w:hAnsi="Calibri"/>
                <w:sz w:val="18"/>
                <w:szCs w:val="18"/>
                <w:b w:val="1"/>
                <w:bCs w:val="1"/>
                <w:color w:val="auto"/>
              </w:rPr>
              <w:t>2022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65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21"/>
                <w:szCs w:val="21"/>
                <w:color w:val="auto"/>
              </w:rPr>
            </w:pPr>
          </w:p>
        </w:tc>
      </w:tr>
      <w:tr>
        <w:trPr>
          <w:trHeight w:val="37"/>
        </w:trPr>
        <w:tc>
          <w:tcPr>
            <w:tcW w:w="7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71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Assets</w:t>
            </w:r>
          </w:p>
        </w:tc>
        <w:tc>
          <w:tcPr>
            <w:tcW w:w="2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18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Cash and cash equivalents</w:t>
            </w:r>
          </w:p>
        </w:tc>
        <w:tc>
          <w:tcPr>
            <w:tcW w:w="26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251,542</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489,530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180" w:type="dxa"/>
            <w:vAlign w:val="bottom"/>
          </w:tcPr>
          <w:p>
            <w:pPr>
              <w:ind w:left="120"/>
              <w:spacing w:after="0" w:line="215" w:lineRule="exact"/>
              <w:rPr>
                <w:sz w:val="20"/>
                <w:szCs w:val="20"/>
                <w:color w:val="auto"/>
              </w:rPr>
            </w:pPr>
            <w:r>
              <w:rPr>
                <w:rFonts w:ascii="Calibri" w:cs="Calibri" w:eastAsia="Calibri" w:hAnsi="Calibri"/>
                <w:sz w:val="18"/>
                <w:szCs w:val="18"/>
                <w:color w:val="auto"/>
              </w:rPr>
              <w:t>Restricted cash</w:t>
            </w: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748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280</w:t>
            </w:r>
          </w:p>
        </w:tc>
        <w:tc>
          <w:tcPr>
            <w:tcW w:w="100" w:type="dxa"/>
            <w:vAlign w:val="bottom"/>
          </w:tcPr>
          <w:p>
            <w:pPr>
              <w:spacing w:after="0"/>
              <w:rPr>
                <w:sz w:val="18"/>
                <w:szCs w:val="18"/>
                <w:color w:val="auto"/>
              </w:rPr>
            </w:pPr>
          </w:p>
        </w:tc>
      </w:tr>
      <w:tr>
        <w:trPr>
          <w:trHeight w:val="28"/>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Accounts receivable – net</w:t>
            </w: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36,531</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36,124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180" w:type="dxa"/>
            <w:vAlign w:val="bottom"/>
          </w:tcPr>
          <w:p>
            <w:pPr>
              <w:ind w:left="120"/>
              <w:spacing w:after="0" w:line="215" w:lineRule="exact"/>
              <w:rPr>
                <w:sz w:val="20"/>
                <w:szCs w:val="20"/>
                <w:color w:val="auto"/>
              </w:rPr>
            </w:pPr>
            <w:r>
              <w:rPr>
                <w:rFonts w:ascii="Calibri" w:cs="Calibri" w:eastAsia="Calibri" w:hAnsi="Calibri"/>
                <w:sz w:val="18"/>
                <w:szCs w:val="18"/>
                <w:color w:val="auto"/>
              </w:rPr>
              <w:t>Inventory – net</w:t>
            </w: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12,783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11,773</w:t>
            </w:r>
          </w:p>
        </w:tc>
        <w:tc>
          <w:tcPr>
            <w:tcW w:w="100" w:type="dxa"/>
            <w:vAlign w:val="bottom"/>
          </w:tcPr>
          <w:p>
            <w:pPr>
              <w:spacing w:after="0"/>
              <w:rPr>
                <w:sz w:val="18"/>
                <w:szCs w:val="18"/>
                <w:color w:val="auto"/>
              </w:rPr>
            </w:pPr>
          </w:p>
        </w:tc>
      </w:tr>
      <w:tr>
        <w:trPr>
          <w:trHeight w:val="28"/>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18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Prepaid expenses and other current assets</w:t>
            </w:r>
          </w:p>
        </w:tc>
        <w:tc>
          <w:tcPr>
            <w:tcW w:w="26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29,912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72,504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18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Total current assets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331,516</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610,211</w:t>
            </w:r>
          </w:p>
        </w:tc>
        <w:tc>
          <w:tcPr>
            <w:tcW w:w="100" w:type="dxa"/>
            <w:vAlign w:val="bottom"/>
            <w:tcBorders>
              <w:top w:val="single" w:sz="8" w:color="CFF0FC"/>
            </w:tcBorders>
          </w:tcPr>
          <w:p>
            <w:pPr>
              <w:spacing w:after="0"/>
              <w:rPr>
                <w:sz w:val="18"/>
                <w:szCs w:val="18"/>
                <w:color w:val="auto"/>
              </w:rPr>
            </w:pPr>
          </w:p>
        </w:tc>
      </w:tr>
      <w:tr>
        <w:trPr>
          <w:trHeight w:val="28"/>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Property and equipment – net</w:t>
            </w: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10,431</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180" w:type="dxa"/>
            <w:vAlign w:val="bottom"/>
          </w:tcPr>
          <w:p>
            <w:pPr>
              <w:ind w:left="20"/>
              <w:spacing w:after="0" w:line="215" w:lineRule="exact"/>
              <w:rPr>
                <w:sz w:val="20"/>
                <w:szCs w:val="20"/>
                <w:color w:val="auto"/>
              </w:rPr>
            </w:pPr>
            <w:r>
              <w:rPr>
                <w:rFonts w:ascii="Calibri" w:cs="Calibri" w:eastAsia="Calibri" w:hAnsi="Calibri"/>
                <w:sz w:val="18"/>
                <w:szCs w:val="18"/>
                <w:color w:val="auto"/>
              </w:rPr>
              <w:t>Right-of-use assets – net</w:t>
            </w: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7,859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Intangible assets – net</w:t>
            </w: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81,976</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78,511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18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715,258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718,204</w:t>
            </w:r>
          </w:p>
        </w:tc>
        <w:tc>
          <w:tcPr>
            <w:tcW w:w="100" w:type="dxa"/>
            <w:vAlign w:val="bottom"/>
          </w:tcPr>
          <w:p>
            <w:pPr>
              <w:spacing w:after="0"/>
              <w:rPr>
                <w:sz w:val="18"/>
                <w:szCs w:val="18"/>
                <w:color w:val="auto"/>
              </w:rPr>
            </w:pPr>
          </w:p>
        </w:tc>
      </w:tr>
      <w:tr>
        <w:trPr>
          <w:trHeight w:val="28"/>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1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 non-current assets</w:t>
            </w:r>
          </w:p>
        </w:tc>
        <w:tc>
          <w:tcPr>
            <w:tcW w:w="26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4,391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18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15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1,151,431</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15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1,408,795</w:t>
            </w:r>
          </w:p>
        </w:tc>
        <w:tc>
          <w:tcPr>
            <w:tcW w:w="100" w:type="dxa"/>
            <w:vAlign w:val="bottom"/>
            <w:tcBorders>
              <w:top w:val="single" w:sz="8" w:color="CFF0FC"/>
            </w:tcBorders>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7180" w:type="dxa"/>
            <w:vAlign w:val="bottom"/>
            <w:tcBorders>
              <w:bottom w:val="single" w:sz="8" w:color="CFF0FC"/>
            </w:tcBorders>
            <w:shd w:val="clear" w:color="auto" w:fill="CFF0FC"/>
          </w:tcPr>
          <w:p>
            <w:pPr>
              <w:ind w:left="20"/>
              <w:spacing w:after="0" w:line="196" w:lineRule="exact"/>
              <w:rPr>
                <w:sz w:val="20"/>
                <w:szCs w:val="20"/>
                <w:color w:val="auto"/>
              </w:rPr>
            </w:pPr>
            <w:r>
              <w:rPr>
                <w:rFonts w:ascii="Calibri" w:cs="Calibri" w:eastAsia="Calibri" w:hAnsi="Calibri"/>
                <w:sz w:val="18"/>
                <w:szCs w:val="18"/>
                <w:b w:val="1"/>
                <w:bCs w:val="1"/>
                <w:color w:val="auto"/>
              </w:rPr>
              <w:t>Liabilites and equity (defcit)</w:t>
            </w:r>
          </w:p>
        </w:tc>
        <w:tc>
          <w:tcPr>
            <w:tcW w:w="2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15"/>
        </w:trPr>
        <w:tc>
          <w:tcPr>
            <w:tcW w:w="718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Accounts payable</w:t>
            </w:r>
          </w:p>
        </w:tc>
        <w:tc>
          <w:tcPr>
            <w:tcW w:w="26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161,312</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191,201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18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181,970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281,156</w:t>
            </w:r>
          </w:p>
        </w:tc>
        <w:tc>
          <w:tcPr>
            <w:tcW w:w="100" w:type="dxa"/>
            <w:vAlign w:val="bottom"/>
          </w:tcPr>
          <w:p>
            <w:pPr>
              <w:spacing w:after="0"/>
              <w:rPr>
                <w:sz w:val="18"/>
                <w:szCs w:val="18"/>
                <w:color w:val="auto"/>
              </w:rPr>
            </w:pPr>
          </w:p>
        </w:tc>
      </w:tr>
      <w:tr>
        <w:trPr>
          <w:trHeight w:val="28"/>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Deferred revenue</w:t>
            </w: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31,983</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25,139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9"/>
        </w:trPr>
        <w:tc>
          <w:tcPr>
            <w:tcW w:w="7180" w:type="dxa"/>
            <w:vAlign w:val="bottom"/>
          </w:tcPr>
          <w:p>
            <w:pPr>
              <w:ind w:left="120"/>
              <w:spacing w:after="0"/>
              <w:rPr>
                <w:sz w:val="20"/>
                <w:szCs w:val="20"/>
                <w:color w:val="auto"/>
              </w:rPr>
            </w:pPr>
            <w:r>
              <w:rPr>
                <w:rFonts w:ascii="Calibri" w:cs="Calibri" w:eastAsia="Calibri" w:hAnsi="Calibri"/>
                <w:sz w:val="18"/>
                <w:szCs w:val="18"/>
                <w:color w:val="auto"/>
              </w:rPr>
              <w:t>Current maturites of long-term debt</w:t>
            </w:r>
          </w:p>
        </w:tc>
        <w:tc>
          <w:tcPr>
            <w:tcW w:w="260" w:type="dxa"/>
            <w:vAlign w:val="bottom"/>
          </w:tcPr>
          <w:p>
            <w:pPr>
              <w:spacing w:after="0"/>
              <w:rPr>
                <w:sz w:val="19"/>
                <w:szCs w:val="19"/>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2,750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7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1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Total current liabilites</w:t>
            </w:r>
          </w:p>
        </w:tc>
        <w:tc>
          <w:tcPr>
            <w:tcW w:w="2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378,015</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497,496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18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 net</w:t>
            </w: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264,898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460,132</w:t>
            </w:r>
          </w:p>
        </w:tc>
        <w:tc>
          <w:tcPr>
            <w:tcW w:w="100" w:type="dxa"/>
            <w:vAlign w:val="bottom"/>
          </w:tcPr>
          <w:p>
            <w:pPr>
              <w:spacing w:after="0"/>
              <w:rPr>
                <w:sz w:val="18"/>
                <w:szCs w:val="18"/>
                <w:color w:val="auto"/>
              </w:rPr>
            </w:pPr>
          </w:p>
        </w:tc>
      </w:tr>
      <w:tr>
        <w:trPr>
          <w:trHeight w:val="28"/>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r>
      <w:tr>
        <w:trPr>
          <w:trHeight w:val="223"/>
        </w:trPr>
        <w:tc>
          <w:tcPr>
            <w:tcW w:w="71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Long-term lease liabilites</w:t>
            </w: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14,911</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20"/>
        </w:trPr>
        <w:tc>
          <w:tcPr>
            <w:tcW w:w="7180" w:type="dxa"/>
            <w:vAlign w:val="bottom"/>
          </w:tcPr>
          <w:p>
            <w:pPr>
              <w:ind w:left="20"/>
              <w:spacing w:after="0"/>
              <w:rPr>
                <w:sz w:val="20"/>
                <w:szCs w:val="20"/>
                <w:color w:val="auto"/>
              </w:rPr>
            </w:pPr>
            <w:r>
              <w:rPr>
                <w:rFonts w:ascii="Calibri" w:cs="Calibri" w:eastAsia="Calibri" w:hAnsi="Calibri"/>
                <w:sz w:val="18"/>
                <w:szCs w:val="18"/>
                <w:color w:val="auto"/>
              </w:rPr>
              <w:t>Other liabilites</w:t>
            </w:r>
          </w:p>
        </w:tc>
        <w:tc>
          <w:tcPr>
            <w:tcW w:w="260" w:type="dxa"/>
            <w:vAlign w:val="bottom"/>
          </w:tcPr>
          <w:p>
            <w:pPr>
              <w:spacing w:after="0"/>
              <w:rPr>
                <w:sz w:val="19"/>
                <w:szCs w:val="19"/>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13,445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25,834</w:t>
            </w:r>
          </w:p>
        </w:tc>
        <w:tc>
          <w:tcPr>
            <w:tcW w:w="100" w:type="dxa"/>
            <w:vAlign w:val="bottom"/>
          </w:tcPr>
          <w:p>
            <w:pPr>
              <w:spacing w:after="0"/>
              <w:rPr>
                <w:sz w:val="19"/>
                <w:szCs w:val="19"/>
                <w:color w:val="auto"/>
              </w:rPr>
            </w:pPr>
          </w:p>
        </w:tc>
      </w:tr>
      <w:tr>
        <w:trPr>
          <w:trHeight w:val="23"/>
        </w:trPr>
        <w:tc>
          <w:tcPr>
            <w:tcW w:w="7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1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Total long-term liabilites</w:t>
            </w:r>
          </w:p>
        </w:tc>
        <w:tc>
          <w:tcPr>
            <w:tcW w:w="2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293,254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485,966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1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Commitments and contngencies (Note 17)</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Redeemable noncontrolling interests</w:t>
            </w: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862,860</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1,286,016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1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Shareholders' defcit</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18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rPr>
              <w:t>Class A common stock, $0.0001 par value; 500,000,000 shares authorized, 82,410,774 issued</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180" w:type="dxa"/>
            <w:vAlign w:val="bottom"/>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and outstanding at December 31, 2022; 79,091,871 shares issued and outstanding at December</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3"/>
        </w:trPr>
        <w:tc>
          <w:tcPr>
            <w:tcW w:w="718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31, 2021</w:t>
            </w:r>
          </w:p>
        </w:tc>
        <w:tc>
          <w:tcPr>
            <w:tcW w:w="2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7"/>
        </w:trPr>
        <w:tc>
          <w:tcPr>
            <w:tcW w:w="7180" w:type="dxa"/>
            <w:vAlign w:val="bottom"/>
          </w:tcPr>
          <w:p>
            <w:pPr>
              <w:ind w:left="120"/>
              <w:spacing w:after="0" w:line="207" w:lineRule="exact"/>
              <w:rPr>
                <w:sz w:val="20"/>
                <w:szCs w:val="20"/>
                <w:color w:val="auto"/>
              </w:rPr>
            </w:pPr>
            <w:r>
              <w:rPr>
                <w:rFonts w:ascii="Calibri" w:cs="Calibri" w:eastAsia="Calibri" w:hAnsi="Calibri"/>
                <w:sz w:val="18"/>
                <w:szCs w:val="18"/>
                <w:color w:val="auto"/>
              </w:rPr>
              <w:t>Class B common stock, $0.0001 par value; 250,000,000 shares authorized, 118,200,000 issued</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180" w:type="dxa"/>
            <w:vAlign w:val="bottom"/>
          </w:tcPr>
          <w:p>
            <w:pPr>
              <w:ind w:left="120"/>
              <w:spacing w:after="0" w:line="215" w:lineRule="exact"/>
              <w:rPr>
                <w:sz w:val="20"/>
                <w:szCs w:val="20"/>
                <w:color w:val="auto"/>
              </w:rPr>
            </w:pPr>
            <w:r>
              <w:rPr>
                <w:rFonts w:ascii="Calibri" w:cs="Calibri" w:eastAsia="Calibri" w:hAnsi="Calibri"/>
                <w:sz w:val="18"/>
                <w:szCs w:val="18"/>
                <w:color w:val="auto"/>
              </w:rPr>
              <w:t>and outstanding at December 31, 2022 and December 31, 2021</w:t>
            </w: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18"/>
                <w:szCs w:val="18"/>
                <w:color w:val="auto"/>
              </w:rPr>
            </w:pPr>
          </w:p>
        </w:tc>
      </w:tr>
      <w:tr>
        <w:trPr>
          <w:trHeight w:val="37"/>
        </w:trPr>
        <w:tc>
          <w:tcPr>
            <w:tcW w:w="7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71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Additonal paid-in capital</w:t>
            </w: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663,908</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182,091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180" w:type="dxa"/>
            <w:vAlign w:val="bottom"/>
          </w:tcPr>
          <w:p>
            <w:pPr>
              <w:ind w:left="120"/>
              <w:spacing w:after="0" w:line="215" w:lineRule="exact"/>
              <w:rPr>
                <w:sz w:val="20"/>
                <w:szCs w:val="20"/>
                <w:color w:val="auto"/>
              </w:rPr>
            </w:pPr>
            <w:r>
              <w:rPr>
                <w:rFonts w:ascii="Calibri" w:cs="Calibri" w:eastAsia="Calibri" w:hAnsi="Calibri"/>
                <w:sz w:val="18"/>
                <w:szCs w:val="18"/>
                <w:color w:val="auto"/>
                <w:w w:val="99"/>
              </w:rPr>
              <w:t>Treasury stock, at cost, 4,342,477 shares at December 31, 2022; no shares at December 31, 2021</w:t>
            </w:r>
          </w:p>
        </w:tc>
        <w:tc>
          <w:tcPr>
            <w:tcW w:w="260" w:type="dxa"/>
            <w:vAlign w:val="bottom"/>
          </w:tcPr>
          <w:p>
            <w:pPr>
              <w:spacing w:after="0"/>
              <w:rPr>
                <w:sz w:val="18"/>
                <w:szCs w:val="18"/>
                <w:color w:val="auto"/>
              </w:rPr>
            </w:pPr>
          </w:p>
        </w:tc>
        <w:tc>
          <w:tcPr>
            <w:tcW w:w="18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(32,494 )</w:t>
            </w:r>
          </w:p>
        </w:tc>
        <w:tc>
          <w:tcPr>
            <w:tcW w:w="260" w:type="dxa"/>
            <w:vAlign w:val="bottom"/>
          </w:tcPr>
          <w:p>
            <w:pPr>
              <w:spacing w:after="0"/>
              <w:rPr>
                <w:sz w:val="18"/>
                <w:szCs w:val="18"/>
                <w:color w:val="auto"/>
              </w:rPr>
            </w:pPr>
          </w:p>
        </w:tc>
        <w:tc>
          <w:tcPr>
            <w:tcW w:w="16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r>
      <w:tr>
        <w:trPr>
          <w:trHeight w:val="223"/>
        </w:trPr>
        <w:tc>
          <w:tcPr>
            <w:tcW w:w="718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Accumulated defcit</w:t>
            </w:r>
          </w:p>
        </w:tc>
        <w:tc>
          <w:tcPr>
            <w:tcW w:w="26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(1,014,132 )</w:t>
            </w:r>
          </w:p>
        </w:tc>
        <w:tc>
          <w:tcPr>
            <w:tcW w:w="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(1,042,794 )</w:t>
            </w:r>
          </w:p>
        </w:tc>
      </w:tr>
      <w:tr>
        <w:trPr>
          <w:trHeight w:val="20"/>
        </w:trPr>
        <w:tc>
          <w:tcPr>
            <w:tcW w:w="7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3"/>
        </w:trPr>
        <w:tc>
          <w:tcPr>
            <w:tcW w:w="7180" w:type="dxa"/>
            <w:vAlign w:val="bottom"/>
          </w:tcPr>
          <w:p>
            <w:pPr>
              <w:ind w:left="120"/>
              <w:spacing w:after="0" w:line="213" w:lineRule="exact"/>
              <w:rPr>
                <w:sz w:val="20"/>
                <w:szCs w:val="20"/>
                <w:color w:val="auto"/>
              </w:rPr>
            </w:pPr>
            <w:r>
              <w:rPr>
                <w:rFonts w:ascii="Calibri" w:cs="Calibri" w:eastAsia="Calibri" w:hAnsi="Calibri"/>
                <w:sz w:val="18"/>
                <w:szCs w:val="18"/>
                <w:color w:val="auto"/>
              </w:rPr>
              <w:t>Total Shareholders' defcit</w:t>
            </w:r>
          </w:p>
        </w:tc>
        <w:tc>
          <w:tcPr>
            <w:tcW w:w="260" w:type="dxa"/>
            <w:vAlign w:val="bottom"/>
          </w:tcPr>
          <w:p>
            <w:pPr>
              <w:spacing w:after="0"/>
              <w:rPr>
                <w:sz w:val="18"/>
                <w:szCs w:val="18"/>
                <w:color w:val="auto"/>
              </w:rPr>
            </w:pPr>
          </w:p>
        </w:tc>
        <w:tc>
          <w:tcPr>
            <w:tcW w:w="1860" w:type="dxa"/>
            <w:vAlign w:val="bottom"/>
            <w:gridSpan w:val="2"/>
          </w:tcPr>
          <w:p>
            <w:pPr>
              <w:jc w:val="right"/>
              <w:ind w:right="200"/>
              <w:spacing w:after="0" w:line="213" w:lineRule="exact"/>
              <w:rPr>
                <w:sz w:val="20"/>
                <w:szCs w:val="20"/>
                <w:color w:val="auto"/>
              </w:rPr>
            </w:pPr>
            <w:r>
              <w:rPr>
                <w:rFonts w:ascii="Calibri" w:cs="Calibri" w:eastAsia="Calibri" w:hAnsi="Calibri"/>
                <w:sz w:val="18"/>
                <w:szCs w:val="18"/>
                <w:color w:val="auto"/>
              </w:rPr>
              <w:t>(382,698 )</w:t>
            </w:r>
          </w:p>
        </w:tc>
        <w:tc>
          <w:tcPr>
            <w:tcW w:w="260" w:type="dxa"/>
            <w:vAlign w:val="bottom"/>
          </w:tcPr>
          <w:p>
            <w:pPr>
              <w:spacing w:after="0"/>
              <w:rPr>
                <w:sz w:val="18"/>
                <w:szCs w:val="18"/>
                <w:color w:val="auto"/>
              </w:rPr>
            </w:pPr>
          </w:p>
        </w:tc>
        <w:tc>
          <w:tcPr>
            <w:tcW w:w="1680" w:type="dxa"/>
            <w:vAlign w:val="bottom"/>
            <w:gridSpan w:val="2"/>
          </w:tcPr>
          <w:p>
            <w:pPr>
              <w:jc w:val="right"/>
              <w:ind w:right="40"/>
              <w:spacing w:after="0" w:line="213" w:lineRule="exact"/>
              <w:rPr>
                <w:sz w:val="20"/>
                <w:szCs w:val="20"/>
                <w:color w:val="auto"/>
              </w:rPr>
            </w:pPr>
            <w:r>
              <w:rPr>
                <w:rFonts w:ascii="Calibri" w:cs="Calibri" w:eastAsia="Calibri" w:hAnsi="Calibri"/>
                <w:sz w:val="18"/>
                <w:szCs w:val="18"/>
                <w:color w:val="auto"/>
              </w:rPr>
              <w:t>(860,683 )</w:t>
            </w:r>
          </w:p>
        </w:tc>
      </w:tr>
      <w:tr>
        <w:trPr>
          <w:trHeight w:val="23"/>
        </w:trPr>
        <w:tc>
          <w:tcPr>
            <w:tcW w:w="7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71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Total liabilites, Redeemable noncontrolling interests, and Shareholders' defcit</w:t>
            </w:r>
          </w:p>
        </w:tc>
        <w:tc>
          <w:tcPr>
            <w:tcW w:w="260" w:type="dxa"/>
            <w:vAlign w:val="bottom"/>
            <w:tcBorders>
              <w:bottom w:val="single" w:sz="8" w:color="auto"/>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15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1,151,431</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15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1,408,795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-4834255</wp:posOffset>
            </wp:positionV>
            <wp:extent cx="6858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-4834255</wp:posOffset>
            </wp:positionV>
            <wp:extent cx="6858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-3899535</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-3899535</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-350520</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CONSOLIDATED STATEMENTS OF OPERATIONS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60" w:type="dxa"/>
            <w:vAlign w:val="bottom"/>
            <w:gridSpan w:val="5"/>
          </w:tcPr>
          <w:p>
            <w:pPr>
              <w:jc w:val="right"/>
              <w:ind w:right="130"/>
              <w:spacing w:after="0"/>
              <w:rPr>
                <w:sz w:val="20"/>
                <w:szCs w:val="20"/>
                <w:color w:val="auto"/>
              </w:rPr>
            </w:pPr>
            <w:r>
              <w:rPr>
                <w:rFonts w:ascii="Calibri" w:cs="Calibri" w:eastAsia="Calibri" w:hAnsi="Calibri"/>
                <w:sz w:val="18"/>
                <w:szCs w:val="18"/>
                <w:b w:val="1"/>
                <w:bCs w:val="1"/>
                <w:color w:val="auto"/>
              </w:rPr>
              <w:t>Years Ended December 31,</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650"/>
              <w:spacing w:after="0"/>
              <w:rPr>
                <w:sz w:val="20"/>
                <w:szCs w:val="20"/>
                <w:color w:val="auto"/>
              </w:rPr>
            </w:pPr>
            <w:r>
              <w:rPr>
                <w:rFonts w:ascii="Calibri" w:cs="Calibri" w:eastAsia="Calibri" w:hAnsi="Calibri"/>
                <w:sz w:val="18"/>
                <w:szCs w:val="18"/>
                <w:b w:val="1"/>
                <w:bCs w:val="1"/>
                <w:color w:val="auto"/>
              </w:rPr>
              <w:t>2022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Calibri" w:cs="Calibri" w:eastAsia="Calibri" w:hAnsi="Calibri"/>
                <w:sz w:val="18"/>
                <w:szCs w:val="18"/>
                <w:b w:val="1"/>
                <w:bCs w:val="1"/>
                <w:color w:val="auto"/>
              </w:rPr>
              <w:t>2021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Calibri" w:cs="Calibri" w:eastAsia="Calibri" w:hAnsi="Calibri"/>
                <w:sz w:val="18"/>
                <w:szCs w:val="18"/>
                <w:b w:val="1"/>
                <w:bCs w:val="1"/>
                <w:color w:val="auto"/>
              </w:rPr>
              <w:t>2020</w:t>
            </w:r>
          </w:p>
        </w:tc>
        <w:tc>
          <w:tcPr>
            <w:tcW w:w="100" w:type="dxa"/>
            <w:vAlign w:val="bottom"/>
          </w:tcPr>
          <w:p>
            <w:pPr>
              <w:spacing w:after="0"/>
              <w:rPr>
                <w:sz w:val="21"/>
                <w:szCs w:val="21"/>
                <w:color w:val="auto"/>
              </w:rPr>
            </w:pPr>
          </w:p>
        </w:tc>
      </w:tr>
      <w:tr>
        <w:trPr>
          <w:trHeight w:val="37"/>
        </w:trPr>
        <w:tc>
          <w:tcPr>
            <w:tcW w:w="55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55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Revenues</w:t>
            </w:r>
          </w:p>
        </w:tc>
        <w:tc>
          <w:tcPr>
            <w:tcW w:w="420" w:type="dxa"/>
            <w:vAlign w:val="bottom"/>
            <w:tcBorders>
              <w:bottom w:val="single" w:sz="8" w:color="CFF0FC"/>
            </w:tcBorders>
            <w:shd w:val="clear" w:color="auto" w:fill="CFF0FC"/>
          </w:tcPr>
          <w:p>
            <w:pPr>
              <w:jc w:val="right"/>
              <w:ind w:right="210"/>
              <w:spacing w:after="0" w:line="208"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600,274</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jc w:val="right"/>
              <w:ind w:right="170"/>
              <w:spacing w:after="0" w:line="208"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443,038</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jc w:val="right"/>
              <w:ind w:right="170"/>
              <w:spacing w:after="0" w:line="208" w:lineRule="exact"/>
              <w:rPr>
                <w:sz w:val="20"/>
                <w:szCs w:val="20"/>
                <w:color w:val="auto"/>
              </w:rPr>
            </w:pPr>
            <w:r>
              <w:rPr>
                <w:rFonts w:ascii="Calibri" w:cs="Calibri" w:eastAsia="Calibri" w:hAnsi="Calibri"/>
                <w:sz w:val="18"/>
                <w:szCs w:val="18"/>
                <w:color w:val="auto"/>
                <w:w w:val="87"/>
              </w:rPr>
              <w:t>$</w:t>
            </w:r>
          </w:p>
        </w:tc>
        <w:tc>
          <w:tcPr>
            <w:tcW w:w="12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35,077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5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Costs and expenses:</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556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rPr>
              <w:t>Cost of revenues (exclusive of depreciaton and amortzaton shown</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5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separately below)</w:t>
            </w:r>
          </w:p>
        </w:tc>
        <w:tc>
          <w:tcPr>
            <w:tcW w:w="4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140,508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90,617</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24,690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5560" w:type="dxa"/>
            <w:vAlign w:val="bottom"/>
          </w:tcPr>
          <w:p>
            <w:pPr>
              <w:ind w:left="120"/>
              <w:spacing w:after="0" w:line="215" w:lineRule="exact"/>
              <w:rPr>
                <w:sz w:val="20"/>
                <w:szCs w:val="20"/>
                <w:color w:val="auto"/>
              </w:rPr>
            </w:pPr>
            <w:r>
              <w:rPr>
                <w:rFonts w:ascii="Calibri" w:cs="Calibri" w:eastAsia="Calibri" w:hAnsi="Calibri"/>
                <w:sz w:val="18"/>
                <w:szCs w:val="18"/>
                <w:color w:val="auto"/>
              </w:rPr>
              <w:t>Marketng and selling</w:t>
            </w:r>
          </w:p>
        </w:tc>
        <w:tc>
          <w:tcPr>
            <w:tcW w:w="4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248,375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181,358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38,121</w:t>
            </w:r>
          </w:p>
        </w:tc>
        <w:tc>
          <w:tcPr>
            <w:tcW w:w="100" w:type="dxa"/>
            <w:vAlign w:val="bottom"/>
          </w:tcPr>
          <w:p>
            <w:pPr>
              <w:spacing w:after="0"/>
              <w:rPr>
                <w:sz w:val="18"/>
                <w:szCs w:val="18"/>
                <w:color w:val="auto"/>
              </w:rPr>
            </w:pPr>
          </w:p>
        </w:tc>
      </w:tr>
      <w:tr>
        <w:trPr>
          <w:trHeight w:val="28"/>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General and administratve</w:t>
            </w:r>
          </w:p>
        </w:tc>
        <w:tc>
          <w:tcPr>
            <w:tcW w:w="4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127,619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92,170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66,199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56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4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7,732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2,322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48,247</w:t>
            </w:r>
          </w:p>
        </w:tc>
        <w:tc>
          <w:tcPr>
            <w:tcW w:w="100" w:type="dxa"/>
            <w:vAlign w:val="bottom"/>
          </w:tcPr>
          <w:p>
            <w:pPr>
              <w:spacing w:after="0"/>
              <w:rPr>
                <w:sz w:val="18"/>
                <w:szCs w:val="18"/>
                <w:color w:val="auto"/>
              </w:rPr>
            </w:pPr>
          </w:p>
        </w:tc>
      </w:tr>
      <w:tr>
        <w:trPr>
          <w:trHeight w:val="28"/>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Impairment charges</w:t>
            </w:r>
          </w:p>
        </w:tc>
        <w:tc>
          <w:tcPr>
            <w:tcW w:w="4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gridSpan w:val="2"/>
            <w:shd w:val="clear" w:color="auto" w:fill="CFF0FC"/>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2"/>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573,838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5560" w:type="dxa"/>
            <w:vAlign w:val="bottom"/>
          </w:tcPr>
          <w:p>
            <w:pPr>
              <w:ind w:left="120"/>
              <w:spacing w:after="0"/>
              <w:rPr>
                <w:sz w:val="20"/>
                <w:szCs w:val="20"/>
                <w:color w:val="auto"/>
              </w:rPr>
            </w:pPr>
            <w:r>
              <w:rPr>
                <w:rFonts w:ascii="Calibri" w:cs="Calibri" w:eastAsia="Calibri" w:hAnsi="Calibri"/>
                <w:sz w:val="18"/>
                <w:szCs w:val="18"/>
                <w:color w:val="auto"/>
              </w:rPr>
              <w:t>Change in fair value of contngent consideraton</w:t>
            </w:r>
          </w:p>
        </w:tc>
        <w:tc>
          <w:tcPr>
            <w:tcW w:w="420" w:type="dxa"/>
            <w:vAlign w:val="bottom"/>
          </w:tcPr>
          <w:p>
            <w:pPr>
              <w:spacing w:after="0"/>
              <w:rPr>
                <w:sz w:val="19"/>
                <w:szCs w:val="19"/>
                <w:color w:val="auto"/>
              </w:rPr>
            </w:pPr>
          </w:p>
        </w:tc>
        <w:tc>
          <w:tcPr>
            <w:tcW w:w="1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(2,065 )</w:t>
            </w:r>
          </w:p>
        </w:tc>
        <w:tc>
          <w:tcPr>
            <w:tcW w:w="360" w:type="dxa"/>
            <w:vAlign w:val="bottom"/>
          </w:tcPr>
          <w:p>
            <w:pPr>
              <w:spacing w:after="0"/>
              <w:rPr>
                <w:sz w:val="19"/>
                <w:szCs w:val="19"/>
                <w:color w:val="auto"/>
              </w:rPr>
            </w:pPr>
          </w:p>
        </w:tc>
        <w:tc>
          <w:tcPr>
            <w:tcW w:w="150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r>
      <w:tr>
        <w:trPr>
          <w:trHeight w:val="217"/>
        </w:trPr>
        <w:tc>
          <w:tcPr>
            <w:tcW w:w="55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Income (loss) from operatons</w:t>
            </w:r>
          </w:p>
        </w:tc>
        <w:tc>
          <w:tcPr>
            <w:tcW w:w="420" w:type="dxa"/>
            <w:vAlign w:val="bottom"/>
            <w:tcBorders>
              <w:top w:val="single" w:sz="8" w:color="auto"/>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78,105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76,571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(716,018</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w w:val="70"/>
              </w:rPr>
              <w:t>)</w:t>
            </w:r>
          </w:p>
        </w:tc>
      </w:tr>
      <w:tr>
        <w:trPr>
          <w:trHeight w:val="215"/>
        </w:trPr>
        <w:tc>
          <w:tcPr>
            <w:tcW w:w="55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Other (income) expense:</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Interest expense – net</w:t>
            </w:r>
          </w:p>
        </w:tc>
        <w:tc>
          <w:tcPr>
            <w:tcW w:w="4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12,858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58,179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57,482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560" w:type="dxa"/>
            <w:vAlign w:val="bottom"/>
          </w:tcPr>
          <w:p>
            <w:pPr>
              <w:ind w:left="120"/>
              <w:spacing w:after="0" w:line="215" w:lineRule="exact"/>
              <w:rPr>
                <w:sz w:val="20"/>
                <w:szCs w:val="20"/>
                <w:color w:val="auto"/>
              </w:rPr>
            </w:pPr>
            <w:r>
              <w:rPr>
                <w:rFonts w:ascii="Calibri" w:cs="Calibri" w:eastAsia="Calibri" w:hAnsi="Calibri"/>
                <w:sz w:val="18"/>
                <w:szCs w:val="18"/>
                <w:color w:val="auto"/>
              </w:rPr>
              <w:t>Loss on extnguishment of debt</w:t>
            </w:r>
          </w:p>
        </w:tc>
        <w:tc>
          <w:tcPr>
            <w:tcW w:w="4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4,285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35,828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685</w:t>
            </w:r>
          </w:p>
        </w:tc>
        <w:tc>
          <w:tcPr>
            <w:tcW w:w="100" w:type="dxa"/>
            <w:vAlign w:val="bottom"/>
          </w:tcPr>
          <w:p>
            <w:pPr>
              <w:spacing w:after="0"/>
              <w:rPr>
                <w:sz w:val="18"/>
                <w:szCs w:val="18"/>
                <w:color w:val="auto"/>
              </w:rPr>
            </w:pPr>
          </w:p>
        </w:tc>
      </w:tr>
      <w:tr>
        <w:trPr>
          <w:trHeight w:val="28"/>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r>
      <w:tr>
        <w:trPr>
          <w:trHeight w:val="223"/>
        </w:trPr>
        <w:tc>
          <w:tcPr>
            <w:tcW w:w="556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Other (income) expense</w:t>
            </w:r>
          </w:p>
        </w:tc>
        <w:tc>
          <w:tcPr>
            <w:tcW w:w="4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(8,227 )</w:t>
            </w:r>
          </w:p>
        </w:tc>
        <w:tc>
          <w:tcPr>
            <w:tcW w:w="3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1,389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55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556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Income (loss) before income taxes</w:t>
            </w:r>
          </w:p>
        </w:tc>
        <w:tc>
          <w:tcPr>
            <w:tcW w:w="420" w:type="dxa"/>
            <w:vAlign w:val="bottom"/>
          </w:tcPr>
          <w:p>
            <w:pPr>
              <w:jc w:val="right"/>
              <w:ind w:right="210"/>
              <w:spacing w:after="0" w:line="208" w:lineRule="exact"/>
              <w:rPr>
                <w:sz w:val="20"/>
                <w:szCs w:val="20"/>
                <w:color w:val="auto"/>
              </w:rPr>
            </w:pPr>
            <w:r>
              <w:rPr>
                <w:rFonts w:ascii="Calibri" w:cs="Calibri" w:eastAsia="Calibri" w:hAnsi="Calibri"/>
                <w:sz w:val="18"/>
                <w:szCs w:val="18"/>
                <w:b w:val="1"/>
                <w:bCs w:val="1"/>
                <w:color w:val="auto"/>
              </w:rPr>
              <w:t>$</w:t>
            </w:r>
          </w:p>
        </w:tc>
        <w:tc>
          <w:tcPr>
            <w:tcW w:w="142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69,189</w:t>
            </w:r>
          </w:p>
        </w:tc>
        <w:tc>
          <w:tcPr>
            <w:tcW w:w="280" w:type="dxa"/>
            <w:vAlign w:val="bottom"/>
          </w:tcPr>
          <w:p>
            <w:pPr>
              <w:spacing w:after="0"/>
              <w:rPr>
                <w:sz w:val="18"/>
                <w:szCs w:val="18"/>
                <w:color w:val="auto"/>
              </w:rPr>
            </w:pPr>
          </w:p>
        </w:tc>
        <w:tc>
          <w:tcPr>
            <w:tcW w:w="360" w:type="dxa"/>
            <w:vAlign w:val="bottom"/>
          </w:tcPr>
          <w:p>
            <w:pPr>
              <w:jc w:val="right"/>
              <w:ind w:right="170"/>
              <w:spacing w:after="0" w:line="208"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gridSpan w:val="2"/>
          </w:tcPr>
          <w:p>
            <w:pPr>
              <w:jc w:val="right"/>
              <w:ind w:right="110"/>
              <w:spacing w:after="0" w:line="208" w:lineRule="exact"/>
              <w:rPr>
                <w:sz w:val="20"/>
                <w:szCs w:val="20"/>
                <w:color w:val="auto"/>
              </w:rPr>
            </w:pPr>
            <w:r>
              <w:rPr>
                <w:rFonts w:ascii="Calibri" w:cs="Calibri" w:eastAsia="Calibri" w:hAnsi="Calibri"/>
                <w:sz w:val="18"/>
                <w:szCs w:val="18"/>
                <w:b w:val="1"/>
                <w:bCs w:val="1"/>
                <w:color w:val="auto"/>
              </w:rPr>
              <w:t>(18,825 )</w:t>
            </w:r>
          </w:p>
        </w:tc>
        <w:tc>
          <w:tcPr>
            <w:tcW w:w="360" w:type="dxa"/>
            <w:vAlign w:val="bottom"/>
          </w:tcPr>
          <w:p>
            <w:pPr>
              <w:jc w:val="right"/>
              <w:ind w:right="170"/>
              <w:spacing w:after="0" w:line="208" w:lineRule="exact"/>
              <w:rPr>
                <w:sz w:val="20"/>
                <w:szCs w:val="20"/>
                <w:color w:val="auto"/>
              </w:rPr>
            </w:pPr>
            <w:r>
              <w:rPr>
                <w:rFonts w:ascii="Calibri" w:cs="Calibri" w:eastAsia="Calibri" w:hAnsi="Calibri"/>
                <w:sz w:val="18"/>
                <w:szCs w:val="18"/>
                <w:b w:val="1"/>
                <w:bCs w:val="1"/>
                <w:color w:val="auto"/>
                <w:w w:val="87"/>
              </w:rPr>
              <w:t>$</w:t>
            </w:r>
          </w:p>
        </w:tc>
        <w:tc>
          <w:tcPr>
            <w:tcW w:w="1340" w:type="dxa"/>
            <w:vAlign w:val="bottom"/>
            <w:gridSpan w:val="2"/>
          </w:tcPr>
          <w:p>
            <w:pPr>
              <w:jc w:val="right"/>
              <w:spacing w:after="0" w:line="208" w:lineRule="exact"/>
              <w:rPr>
                <w:sz w:val="20"/>
                <w:szCs w:val="20"/>
                <w:color w:val="auto"/>
              </w:rPr>
            </w:pPr>
            <w:r>
              <w:rPr>
                <w:rFonts w:ascii="Calibri" w:cs="Calibri" w:eastAsia="Calibri" w:hAnsi="Calibri"/>
                <w:sz w:val="18"/>
                <w:szCs w:val="18"/>
                <w:b w:val="1"/>
                <w:bCs w:val="1"/>
                <w:color w:val="auto"/>
              </w:rPr>
              <w:t>(774,185 )</w:t>
            </w:r>
          </w:p>
        </w:tc>
      </w:tr>
      <w:tr>
        <w:trPr>
          <w:trHeight w:val="28"/>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r>
      <w:tr>
        <w:trPr>
          <w:trHeight w:val="223"/>
        </w:trPr>
        <w:tc>
          <w:tcPr>
            <w:tcW w:w="55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Income tax expense (beneft)</w:t>
            </w:r>
          </w:p>
        </w:tc>
        <w:tc>
          <w:tcPr>
            <w:tcW w:w="4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(1,590 )</w:t>
            </w:r>
          </w:p>
        </w:tc>
        <w:tc>
          <w:tcPr>
            <w:tcW w:w="3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55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556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Net income (loss)</w:t>
            </w:r>
          </w:p>
        </w:tc>
        <w:tc>
          <w:tcPr>
            <w:tcW w:w="420" w:type="dxa"/>
            <w:vAlign w:val="bottom"/>
          </w:tcPr>
          <w:p>
            <w:pPr>
              <w:spacing w:after="0"/>
              <w:rPr>
                <w:sz w:val="18"/>
                <w:szCs w:val="18"/>
                <w:color w:val="auto"/>
              </w:rPr>
            </w:pPr>
          </w:p>
        </w:tc>
        <w:tc>
          <w:tcPr>
            <w:tcW w:w="1420" w:type="dxa"/>
            <w:vAlign w:val="bottom"/>
          </w:tcPr>
          <w:p>
            <w:pPr>
              <w:jc w:val="right"/>
              <w:spacing w:after="0" w:line="208" w:lineRule="exact"/>
              <w:rPr>
                <w:sz w:val="20"/>
                <w:szCs w:val="20"/>
                <w:color w:val="auto"/>
              </w:rPr>
            </w:pPr>
            <w:r>
              <w:rPr>
                <w:rFonts w:ascii="Calibri" w:cs="Calibri" w:eastAsia="Calibri" w:hAnsi="Calibri"/>
                <w:sz w:val="18"/>
                <w:szCs w:val="18"/>
                <w:color w:val="auto"/>
              </w:rPr>
              <w:t>70,779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110"/>
              <w:spacing w:after="0" w:line="208" w:lineRule="exact"/>
              <w:rPr>
                <w:sz w:val="20"/>
                <w:szCs w:val="20"/>
                <w:color w:val="auto"/>
              </w:rPr>
            </w:pPr>
            <w:r>
              <w:rPr>
                <w:rFonts w:ascii="Calibri" w:cs="Calibri" w:eastAsia="Calibri" w:hAnsi="Calibri"/>
                <w:sz w:val="18"/>
                <w:szCs w:val="18"/>
                <w:color w:val="auto"/>
              </w:rPr>
              <w:t>(19,129 )</w:t>
            </w:r>
          </w:p>
        </w:tc>
        <w:tc>
          <w:tcPr>
            <w:tcW w:w="360" w:type="dxa"/>
            <w:vAlign w:val="bottom"/>
          </w:tcPr>
          <w:p>
            <w:pPr>
              <w:spacing w:after="0"/>
              <w:rPr>
                <w:sz w:val="18"/>
                <w:szCs w:val="18"/>
                <w:color w:val="auto"/>
              </w:rPr>
            </w:pPr>
          </w:p>
        </w:tc>
        <w:tc>
          <w:tcPr>
            <w:tcW w:w="1340" w:type="dxa"/>
            <w:vAlign w:val="bottom"/>
            <w:gridSpan w:val="2"/>
          </w:tcPr>
          <w:p>
            <w:pPr>
              <w:jc w:val="right"/>
              <w:spacing w:after="0" w:line="208" w:lineRule="exact"/>
              <w:rPr>
                <w:sz w:val="20"/>
                <w:szCs w:val="20"/>
                <w:color w:val="auto"/>
              </w:rPr>
            </w:pPr>
            <w:r>
              <w:rPr>
                <w:rFonts w:ascii="Calibri" w:cs="Calibri" w:eastAsia="Calibri" w:hAnsi="Calibri"/>
                <w:sz w:val="18"/>
                <w:szCs w:val="18"/>
                <w:color w:val="auto"/>
              </w:rPr>
              <w:t>(774,185 )</w:t>
            </w:r>
          </w:p>
        </w:tc>
      </w:tr>
      <w:tr>
        <w:trPr>
          <w:trHeight w:val="28"/>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556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Net loss atributable to Hoya Intermediate, LLC shareholders prior to</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55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reverse recapitalizaton</w:t>
            </w:r>
          </w:p>
        </w:tc>
        <w:tc>
          <w:tcPr>
            <w:tcW w:w="42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gridSpan w:val="2"/>
            <w:shd w:val="clear" w:color="auto" w:fill="CFF0FC"/>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(12,836 )</w:t>
            </w:r>
          </w:p>
        </w:tc>
        <w:tc>
          <w:tcPr>
            <w:tcW w:w="36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(774,185 )</w:t>
            </w:r>
          </w:p>
        </w:tc>
      </w:tr>
      <w:tr>
        <w:trPr>
          <w:trHeight w:val="219"/>
        </w:trPr>
        <w:tc>
          <w:tcPr>
            <w:tcW w:w="5560" w:type="dxa"/>
            <w:vAlign w:val="bottom"/>
          </w:tcPr>
          <w:p>
            <w:pPr>
              <w:ind w:left="20"/>
              <w:spacing w:after="0"/>
              <w:rPr>
                <w:sz w:val="20"/>
                <w:szCs w:val="20"/>
                <w:color w:val="auto"/>
              </w:rPr>
            </w:pPr>
            <w:r>
              <w:rPr>
                <w:rFonts w:ascii="Calibri" w:cs="Calibri" w:eastAsia="Calibri" w:hAnsi="Calibri"/>
                <w:sz w:val="18"/>
                <w:szCs w:val="18"/>
                <w:color w:val="auto"/>
              </w:rPr>
              <w:t>Net income (loss) atributable to redeemable noncontrolling interests</w:t>
            </w:r>
          </w:p>
        </w:tc>
        <w:tc>
          <w:tcPr>
            <w:tcW w:w="42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42,117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(3,010 )</w:t>
            </w:r>
          </w:p>
        </w:tc>
        <w:tc>
          <w:tcPr>
            <w:tcW w:w="360" w:type="dxa"/>
            <w:vAlign w:val="bottom"/>
          </w:tcPr>
          <w:p>
            <w:pPr>
              <w:spacing w:after="0"/>
              <w:rPr>
                <w:sz w:val="19"/>
                <w:szCs w:val="19"/>
                <w:color w:val="auto"/>
              </w:rPr>
            </w:pPr>
          </w:p>
        </w:tc>
        <w:tc>
          <w:tcPr>
            <w:tcW w:w="134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r>
      <w:tr>
        <w:trPr>
          <w:trHeight w:val="277"/>
        </w:trPr>
        <w:tc>
          <w:tcPr>
            <w:tcW w:w="55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Net income (loss) atributable to Class A Common Stockholders</w:t>
            </w:r>
          </w:p>
        </w:tc>
        <w:tc>
          <w:tcPr>
            <w:tcW w:w="420" w:type="dxa"/>
            <w:vAlign w:val="bottom"/>
            <w:tcBorders>
              <w:top w:val="single" w:sz="8" w:color="auto"/>
              <w:bottom w:val="single" w:sz="8" w:color="auto"/>
            </w:tcBorders>
            <w:shd w:val="clear" w:color="auto" w:fill="CFF0FC"/>
          </w:tcPr>
          <w:p>
            <w:pPr>
              <w:jc w:val="right"/>
              <w:ind w:right="210"/>
              <w:spacing w:after="0" w:line="215" w:lineRule="exact"/>
              <w:rPr>
                <w:sz w:val="20"/>
                <w:szCs w:val="20"/>
                <w:color w:val="auto"/>
              </w:rPr>
            </w:pPr>
            <w:r>
              <w:rPr>
                <w:rFonts w:ascii="Calibri" w:cs="Calibri" w:eastAsia="Calibri" w:hAnsi="Calibri"/>
                <w:sz w:val="18"/>
                <w:szCs w:val="18"/>
                <w:b w:val="1"/>
                <w:bCs w:val="1"/>
                <w:color w:val="auto"/>
              </w:rPr>
              <w:t>$</w:t>
            </w:r>
          </w:p>
        </w:tc>
        <w:tc>
          <w:tcPr>
            <w:tcW w:w="14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28,662</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line="215" w:lineRule="exact"/>
              <w:rPr>
                <w:sz w:val="20"/>
                <w:szCs w:val="20"/>
                <w:color w:val="auto"/>
              </w:rPr>
            </w:pPr>
            <w:r>
              <w:rPr>
                <w:rFonts w:ascii="Calibri" w:cs="Calibri" w:eastAsia="Calibri" w:hAnsi="Calibri"/>
                <w:sz w:val="18"/>
                <w:szCs w:val="18"/>
                <w:b w:val="1"/>
                <w:bCs w:val="1"/>
                <w:color w:val="auto"/>
                <w:w w:val="87"/>
              </w:rPr>
              <w:t>$</w:t>
            </w:r>
          </w:p>
        </w:tc>
        <w:tc>
          <w:tcPr>
            <w:tcW w:w="12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(3,283</w:t>
            </w:r>
          </w:p>
        </w:tc>
        <w:tc>
          <w:tcPr>
            <w:tcW w:w="280" w:type="dxa"/>
            <w:vAlign w:val="bottom"/>
            <w:tcBorders>
              <w:bottom w:val="single" w:sz="8" w:color="CFF0FC"/>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360" w:type="dxa"/>
            <w:vAlign w:val="bottom"/>
            <w:tcBorders>
              <w:top w:val="single" w:sz="8" w:color="auto"/>
              <w:bottom w:val="single" w:sz="8" w:color="auto"/>
            </w:tcBorders>
            <w:shd w:val="clear" w:color="auto" w:fill="CFF0FC"/>
          </w:tcPr>
          <w:p>
            <w:pPr>
              <w:jc w:val="right"/>
              <w:ind w:right="170"/>
              <w:spacing w:after="0" w:line="215" w:lineRule="exact"/>
              <w:rPr>
                <w:sz w:val="20"/>
                <w:szCs w:val="20"/>
                <w:color w:val="auto"/>
              </w:rPr>
            </w:pPr>
            <w:r>
              <w:rPr>
                <w:rFonts w:ascii="Calibri" w:cs="Calibri" w:eastAsia="Calibri" w:hAnsi="Calibri"/>
                <w:sz w:val="18"/>
                <w:szCs w:val="18"/>
                <w:b w:val="1"/>
                <w:bCs w:val="1"/>
                <w:color w:val="auto"/>
                <w:w w:val="87"/>
              </w:rPr>
              <w:t>$</w:t>
            </w:r>
          </w:p>
        </w:tc>
        <w:tc>
          <w:tcPr>
            <w:tcW w:w="12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56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b w:val="1"/>
                <w:bCs w:val="1"/>
                <w:color w:val="auto"/>
              </w:rPr>
              <w:t>Income (loss) per Class A Common Stock</w:t>
            </w:r>
            <w:r>
              <w:rPr>
                <w:rFonts w:ascii="Calibri" w:cs="Calibri" w:eastAsia="Calibri" w:hAnsi="Calibri"/>
                <w:sz w:val="24"/>
                <w:szCs w:val="24"/>
                <w:b w:val="1"/>
                <w:bCs w:val="1"/>
                <w:color w:val="auto"/>
                <w:vertAlign w:val="superscript"/>
              </w:rPr>
              <w:t>(1)</w:t>
            </w:r>
            <w:r>
              <w:rPr>
                <w:rFonts w:ascii="Calibri" w:cs="Calibri" w:eastAsia="Calibri" w:hAnsi="Calibri"/>
                <w:sz w:val="18"/>
                <w:szCs w:val="18"/>
                <w:b w:val="1"/>
                <w:bCs w:val="1"/>
                <w:color w:val="auto"/>
              </w:rPr>
              <w:t>:</w:t>
            </w: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5560" w:type="dxa"/>
            <w:vAlign w:val="bottom"/>
          </w:tcPr>
          <w:p>
            <w:pPr>
              <w:ind w:left="20"/>
              <w:spacing w:after="0" w:line="215" w:lineRule="exact"/>
              <w:rPr>
                <w:sz w:val="20"/>
                <w:szCs w:val="20"/>
                <w:color w:val="auto"/>
              </w:rPr>
            </w:pPr>
            <w:r>
              <w:rPr>
                <w:rFonts w:ascii="Calibri" w:cs="Calibri" w:eastAsia="Calibri" w:hAnsi="Calibri"/>
                <w:sz w:val="18"/>
                <w:szCs w:val="18"/>
                <w:color w:val="auto"/>
              </w:rPr>
              <w:t>Basic</w:t>
            </w:r>
          </w:p>
        </w:tc>
        <w:tc>
          <w:tcPr>
            <w:tcW w:w="42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0.36</w:t>
            </w:r>
          </w:p>
        </w:tc>
        <w:tc>
          <w:tcPr>
            <w:tcW w:w="280" w:type="dxa"/>
            <w:vAlign w:val="bottom"/>
          </w:tcPr>
          <w:p>
            <w:pPr>
              <w:spacing w:after="0"/>
              <w:rPr>
                <w:sz w:val="18"/>
                <w:szCs w:val="18"/>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(0.04 )</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Diluted</w:t>
            </w:r>
          </w:p>
        </w:tc>
        <w:tc>
          <w:tcPr>
            <w:tcW w:w="420" w:type="dxa"/>
            <w:vAlign w:val="bottom"/>
            <w:tcBorders>
              <w:bottom w:val="single" w:sz="8" w:color="CFF0FC"/>
            </w:tcBorders>
            <w:shd w:val="clear" w:color="auto" w:fill="CFF0FC"/>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0.36</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(0.04 )</w:t>
            </w:r>
          </w:p>
        </w:tc>
        <w:tc>
          <w:tcPr>
            <w:tcW w:w="3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5560" w:type="dxa"/>
            <w:vAlign w:val="bottom"/>
          </w:tcPr>
          <w:p>
            <w:pPr>
              <w:ind w:left="20"/>
              <w:spacing w:after="0" w:line="243" w:lineRule="exact"/>
              <w:rPr>
                <w:sz w:val="20"/>
                <w:szCs w:val="20"/>
                <w:color w:val="auto"/>
              </w:rPr>
            </w:pPr>
            <w:r>
              <w:rPr>
                <w:rFonts w:ascii="Calibri" w:cs="Calibri" w:eastAsia="Calibri" w:hAnsi="Calibri"/>
                <w:sz w:val="18"/>
                <w:szCs w:val="18"/>
                <w:b w:val="1"/>
                <w:bCs w:val="1"/>
                <w:color w:val="auto"/>
              </w:rPr>
              <w:t>Weighted average Class A Common Stock outstanding</w:t>
            </w:r>
            <w:r>
              <w:rPr>
                <w:rFonts w:ascii="Calibri" w:cs="Calibri" w:eastAsia="Calibri" w:hAnsi="Calibri"/>
                <w:sz w:val="24"/>
                <w:szCs w:val="24"/>
                <w:b w:val="1"/>
                <w:bCs w:val="1"/>
                <w:color w:val="auto"/>
                <w:vertAlign w:val="superscript"/>
              </w:rPr>
              <w:t>(1)</w:t>
            </w:r>
            <w:r>
              <w:rPr>
                <w:rFonts w:ascii="Calibri" w:cs="Calibri" w:eastAsia="Calibri" w:hAnsi="Calibri"/>
                <w:sz w:val="18"/>
                <w:szCs w:val="18"/>
                <w:b w:val="1"/>
                <w:bCs w:val="1"/>
                <w:color w:val="auto"/>
              </w:rPr>
              <w:t>:</w:t>
            </w: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5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Basic</w:t>
            </w:r>
          </w:p>
        </w:tc>
        <w:tc>
          <w:tcPr>
            <w:tcW w:w="4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80,257,247</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77,498,775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560" w:type="dxa"/>
            <w:vAlign w:val="bottom"/>
          </w:tcPr>
          <w:p>
            <w:pPr>
              <w:ind w:left="20"/>
              <w:spacing w:after="0" w:line="215" w:lineRule="exact"/>
              <w:rPr>
                <w:sz w:val="20"/>
                <w:szCs w:val="20"/>
                <w:color w:val="auto"/>
              </w:rPr>
            </w:pPr>
            <w:r>
              <w:rPr>
                <w:rFonts w:ascii="Calibri" w:cs="Calibri" w:eastAsia="Calibri" w:hAnsi="Calibri"/>
                <w:sz w:val="18"/>
                <w:szCs w:val="18"/>
                <w:color w:val="auto"/>
              </w:rPr>
              <w:t>Diluted</w:t>
            </w:r>
          </w:p>
        </w:tc>
        <w:tc>
          <w:tcPr>
            <w:tcW w:w="4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198,744,381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77,498,775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-2176145</wp:posOffset>
            </wp:positionV>
            <wp:extent cx="76835"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-2176145</wp:posOffset>
            </wp:positionV>
            <wp:extent cx="6858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-2176145</wp:posOffset>
            </wp:positionV>
            <wp:extent cx="6858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-1858645</wp:posOffset>
            </wp:positionV>
            <wp:extent cx="76835"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-1858645</wp:posOffset>
            </wp:positionV>
            <wp:extent cx="6858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-1858645</wp:posOffset>
            </wp:positionV>
            <wp:extent cx="6858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-1087120</wp:posOffset>
            </wp:positionV>
            <wp:extent cx="2442845"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42845" cy="179705"/>
                    </a:xfrm>
                    <a:prstGeom prst="rect">
                      <a:avLst/>
                    </a:prstGeom>
                    <a:noFill/>
                  </pic:spPr>
                </pic:pic>
              </a:graphicData>
            </a:graphic>
          </wp:anchor>
        </w:drawing>
      </w:r>
    </w:p>
    <w:p>
      <w:pPr>
        <w:spacing w:after="0" w:line="134" w:lineRule="exact"/>
        <w:rPr>
          <w:sz w:val="20"/>
          <w:szCs w:val="20"/>
          <w:color w:val="auto"/>
        </w:rPr>
      </w:pPr>
    </w:p>
    <w:p>
      <w:pPr>
        <w:ind w:firstLine="8"/>
        <w:spacing w:after="0" w:line="235" w:lineRule="auto"/>
        <w:tabs>
          <w:tab w:leader="none" w:pos="248"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There were no shares of Class A Common Stock outstanding prior to October 18, 2021. Therefore, no income (loss) per share informaton has been presented for any period prior to that date.</w:t>
      </w:r>
    </w:p>
    <w:p>
      <w:pPr>
        <w:spacing w:after="0" w:line="13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 (LOSS)</w:t>
      </w:r>
    </w:p>
    <w:p>
      <w:pPr>
        <w:jc w:val="center"/>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0" w:type="dxa"/>
            <w:vAlign w:val="bottom"/>
            <w:gridSpan w:val="5"/>
          </w:tcPr>
          <w:p>
            <w:pPr>
              <w:jc w:val="right"/>
              <w:ind w:right="50"/>
              <w:spacing w:after="0"/>
              <w:rPr>
                <w:sz w:val="20"/>
                <w:szCs w:val="20"/>
                <w:color w:val="auto"/>
              </w:rPr>
            </w:pPr>
            <w:r>
              <w:rPr>
                <w:rFonts w:ascii="Calibri" w:cs="Calibri" w:eastAsia="Calibri" w:hAnsi="Calibri"/>
                <w:sz w:val="18"/>
                <w:szCs w:val="18"/>
                <w:b w:val="1"/>
                <w:bCs w:val="1"/>
                <w:color w:val="auto"/>
              </w:rPr>
              <w:t>Years Ended December 31,</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Calibri" w:cs="Calibri" w:eastAsia="Calibri" w:hAnsi="Calibri"/>
                <w:sz w:val="18"/>
                <w:szCs w:val="18"/>
                <w:b w:val="1"/>
                <w:bCs w:val="1"/>
                <w:color w:val="auto"/>
              </w:rPr>
              <w:t>2021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Calibri" w:cs="Calibri" w:eastAsia="Calibri" w:hAnsi="Calibri"/>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9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income (loss)</w:t>
            </w:r>
          </w:p>
        </w:tc>
        <w:tc>
          <w:tcPr>
            <w:tcW w:w="1080" w:type="dxa"/>
            <w:vAlign w:val="bottom"/>
            <w:tcBorders>
              <w:bottom w:val="single" w:sz="8" w:color="CFF0FC"/>
            </w:tcBorders>
            <w:shd w:val="clear" w:color="auto" w:fill="CFF0FC"/>
          </w:tcPr>
          <w:p>
            <w:pPr>
              <w:jc w:val="right"/>
              <w:ind w:right="890"/>
              <w:spacing w:after="0" w:line="208" w:lineRule="exact"/>
              <w:rPr>
                <w:sz w:val="20"/>
                <w:szCs w:val="20"/>
                <w:color w:val="auto"/>
              </w:rPr>
            </w:pPr>
            <w:r>
              <w:rPr>
                <w:rFonts w:ascii="Calibri" w:cs="Calibri" w:eastAsia="Calibri" w:hAnsi="Calibri"/>
                <w:sz w:val="18"/>
                <w:szCs w:val="18"/>
                <w:color w:val="auto"/>
                <w:w w:val="87"/>
              </w:rPr>
              <w:t>$</w:t>
            </w:r>
          </w:p>
        </w:tc>
        <w:tc>
          <w:tcPr>
            <w:tcW w:w="5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70,779</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(19,129</w:t>
            </w:r>
          </w:p>
        </w:tc>
        <w:tc>
          <w:tcPr>
            <w:tcW w:w="26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jc w:val="right"/>
              <w:ind w:right="150"/>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(774,185</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Other comprehensive income (loss):</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Unrealized gain on derivatve instruments</w:t>
            </w:r>
          </w:p>
        </w:tc>
        <w:tc>
          <w:tcPr>
            <w:tcW w:w="10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822</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80" w:type="dxa"/>
            <w:vAlign w:val="bottom"/>
          </w:tcPr>
          <w:p>
            <w:pPr>
              <w:ind w:left="20"/>
              <w:spacing w:after="0" w:line="208" w:lineRule="exact"/>
              <w:rPr>
                <w:sz w:val="20"/>
                <w:szCs w:val="20"/>
                <w:color w:val="auto"/>
              </w:rPr>
            </w:pPr>
            <w:r>
              <w:rPr>
                <w:rFonts w:ascii="Calibri" w:cs="Calibri" w:eastAsia="Calibri" w:hAnsi="Calibri"/>
                <w:sz w:val="18"/>
                <w:szCs w:val="18"/>
                <w:color w:val="auto"/>
              </w:rPr>
              <w:t>Comprehensive income (loss), net of taxes</w:t>
            </w:r>
          </w:p>
        </w:tc>
        <w:tc>
          <w:tcPr>
            <w:tcW w:w="1080" w:type="dxa"/>
            <w:vAlign w:val="bottom"/>
          </w:tcPr>
          <w:p>
            <w:pPr>
              <w:jc w:val="right"/>
              <w:ind w:right="890"/>
              <w:spacing w:after="0" w:line="208" w:lineRule="exact"/>
              <w:rPr>
                <w:sz w:val="20"/>
                <w:szCs w:val="20"/>
                <w:color w:val="auto"/>
              </w:rPr>
            </w:pPr>
            <w:r>
              <w:rPr>
                <w:rFonts w:ascii="Calibri" w:cs="Calibri" w:eastAsia="Calibri" w:hAnsi="Calibri"/>
                <w:sz w:val="18"/>
                <w:szCs w:val="18"/>
                <w:b w:val="1"/>
                <w:bCs w:val="1"/>
                <w:color w:val="auto"/>
                <w:w w:val="87"/>
              </w:rPr>
              <w:t>$</w:t>
            </w:r>
          </w:p>
        </w:tc>
        <w:tc>
          <w:tcPr>
            <w:tcW w:w="58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70,779</w:t>
            </w:r>
          </w:p>
        </w:tc>
        <w:tc>
          <w:tcPr>
            <w:tcW w:w="300" w:type="dxa"/>
            <w:vAlign w:val="bottom"/>
          </w:tcPr>
          <w:p>
            <w:pPr>
              <w:spacing w:after="0"/>
              <w:rPr>
                <w:sz w:val="18"/>
                <w:szCs w:val="18"/>
                <w:color w:val="auto"/>
              </w:rPr>
            </w:pPr>
          </w:p>
        </w:tc>
        <w:tc>
          <w:tcPr>
            <w:tcW w:w="320" w:type="dxa"/>
            <w:vAlign w:val="bottom"/>
          </w:tcPr>
          <w:p>
            <w:pPr>
              <w:jc w:val="right"/>
              <w:ind w:right="130"/>
              <w:spacing w:after="0" w:line="208" w:lineRule="exact"/>
              <w:rPr>
                <w:sz w:val="20"/>
                <w:szCs w:val="20"/>
                <w:color w:val="auto"/>
              </w:rPr>
            </w:pPr>
            <w:r>
              <w:rPr>
                <w:rFonts w:ascii="Calibri" w:cs="Calibri" w:eastAsia="Calibri" w:hAnsi="Calibri"/>
                <w:sz w:val="18"/>
                <w:szCs w:val="18"/>
                <w:b w:val="1"/>
                <w:bCs w:val="1"/>
                <w:color w:val="auto"/>
                <w:w w:val="87"/>
              </w:rPr>
              <w:t>$</w:t>
            </w:r>
          </w:p>
        </w:tc>
        <w:tc>
          <w:tcPr>
            <w:tcW w:w="1400" w:type="dxa"/>
            <w:vAlign w:val="bottom"/>
            <w:gridSpan w:val="2"/>
          </w:tcPr>
          <w:p>
            <w:pPr>
              <w:jc w:val="right"/>
              <w:ind w:right="90"/>
              <w:spacing w:after="0" w:line="208" w:lineRule="exact"/>
              <w:rPr>
                <w:sz w:val="20"/>
                <w:szCs w:val="20"/>
                <w:color w:val="auto"/>
              </w:rPr>
            </w:pPr>
            <w:r>
              <w:rPr>
                <w:rFonts w:ascii="Calibri" w:cs="Calibri" w:eastAsia="Calibri" w:hAnsi="Calibri"/>
                <w:sz w:val="18"/>
                <w:szCs w:val="18"/>
                <w:b w:val="1"/>
                <w:bCs w:val="1"/>
                <w:color w:val="auto"/>
              </w:rPr>
              <w:t>(18,307 )</w:t>
            </w:r>
          </w:p>
        </w:tc>
        <w:tc>
          <w:tcPr>
            <w:tcW w:w="340" w:type="dxa"/>
            <w:vAlign w:val="bottom"/>
          </w:tcPr>
          <w:p>
            <w:pPr>
              <w:jc w:val="right"/>
              <w:ind w:right="150"/>
              <w:spacing w:after="0" w:line="208" w:lineRule="exact"/>
              <w:rPr>
                <w:sz w:val="20"/>
                <w:szCs w:val="20"/>
                <w:color w:val="auto"/>
              </w:rPr>
            </w:pPr>
            <w:r>
              <w:rPr>
                <w:rFonts w:ascii="Calibri" w:cs="Calibri" w:eastAsia="Calibri" w:hAnsi="Calibri"/>
                <w:sz w:val="18"/>
                <w:szCs w:val="18"/>
                <w:b w:val="1"/>
                <w:bCs w:val="1"/>
                <w:color w:val="auto"/>
                <w:w w:val="87"/>
              </w:rPr>
              <w:t>$</w:t>
            </w:r>
          </w:p>
        </w:tc>
        <w:tc>
          <w:tcPr>
            <w:tcW w:w="1240" w:type="dxa"/>
            <w:vAlign w:val="bottom"/>
            <w:gridSpan w:val="2"/>
          </w:tcPr>
          <w:p>
            <w:pPr>
              <w:jc w:val="right"/>
              <w:spacing w:after="0" w:line="208" w:lineRule="exact"/>
              <w:rPr>
                <w:sz w:val="20"/>
                <w:szCs w:val="20"/>
                <w:color w:val="auto"/>
              </w:rPr>
            </w:pPr>
            <w:r>
              <w:rPr>
                <w:rFonts w:ascii="Calibri" w:cs="Calibri" w:eastAsia="Calibri" w:hAnsi="Calibri"/>
                <w:sz w:val="18"/>
                <w:szCs w:val="18"/>
                <w:b w:val="1"/>
                <w:bCs w:val="1"/>
                <w:color w:val="auto"/>
              </w:rPr>
              <w:t>(773,090 )</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rPr>
              <w:t>Comprehensive loss atributable to Hoya Intermediate, LLC shareholders prior</w:t>
            </w: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9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to reverse recapitalizaton</w:t>
            </w:r>
          </w:p>
        </w:tc>
        <w:tc>
          <w:tcPr>
            <w:tcW w:w="10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(12,836 )</w:t>
            </w:r>
          </w:p>
        </w:tc>
        <w:tc>
          <w:tcPr>
            <w:tcW w:w="3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(773,090 )</w:t>
            </w:r>
          </w:p>
        </w:tc>
        <w:tc>
          <w:tcPr>
            <w:tcW w:w="0" w:type="dxa"/>
            <w:vAlign w:val="bottom"/>
          </w:tcPr>
          <w:p>
            <w:pPr>
              <w:spacing w:after="0"/>
              <w:rPr>
                <w:sz w:val="1"/>
                <w:szCs w:val="1"/>
                <w:color w:val="auto"/>
              </w:rPr>
            </w:pPr>
          </w:p>
        </w:tc>
      </w:tr>
      <w:tr>
        <w:trPr>
          <w:trHeight w:val="207"/>
        </w:trPr>
        <w:tc>
          <w:tcPr>
            <w:tcW w:w="5980" w:type="dxa"/>
            <w:vAlign w:val="bottom"/>
          </w:tcPr>
          <w:p>
            <w:pPr>
              <w:ind w:left="120"/>
              <w:spacing w:after="0" w:line="207" w:lineRule="exact"/>
              <w:rPr>
                <w:sz w:val="20"/>
                <w:szCs w:val="20"/>
                <w:color w:val="auto"/>
              </w:rPr>
            </w:pPr>
            <w:r>
              <w:rPr>
                <w:rFonts w:ascii="Calibri" w:cs="Calibri" w:eastAsia="Calibri" w:hAnsi="Calibri"/>
                <w:sz w:val="18"/>
                <w:szCs w:val="18"/>
                <w:color w:val="auto"/>
              </w:rPr>
              <w:t>Comprehensive income (loss) atributable to redeemable noncontrolling</w:t>
            </w:r>
          </w:p>
        </w:tc>
        <w:tc>
          <w:tcPr>
            <w:tcW w:w="108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Calibri" w:cs="Calibri" w:eastAsia="Calibri" w:hAnsi="Calibri"/>
                <w:sz w:val="18"/>
                <w:szCs w:val="18"/>
                <w:color w:val="auto"/>
              </w:rPr>
              <w:t>42,117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vMerge w:val="restart"/>
          </w:tcPr>
          <w:p>
            <w:pPr>
              <w:jc w:val="right"/>
              <w:ind w:right="90"/>
              <w:spacing w:after="0"/>
              <w:rPr>
                <w:sz w:val="20"/>
                <w:szCs w:val="20"/>
                <w:color w:val="auto"/>
              </w:rPr>
            </w:pPr>
            <w:r>
              <w:rPr>
                <w:rFonts w:ascii="Calibri" w:cs="Calibri" w:eastAsia="Calibri" w:hAnsi="Calibri"/>
                <w:sz w:val="18"/>
                <w:szCs w:val="18"/>
                <w:color w:val="auto"/>
              </w:rPr>
              <w:t>(3,010 )</w:t>
            </w:r>
          </w:p>
        </w:tc>
        <w:tc>
          <w:tcPr>
            <w:tcW w:w="340" w:type="dxa"/>
            <w:vAlign w:val="bottom"/>
          </w:tcPr>
          <w:p>
            <w:pPr>
              <w:spacing w:after="0"/>
              <w:rPr>
                <w:sz w:val="18"/>
                <w:szCs w:val="18"/>
                <w:color w:val="auto"/>
              </w:rPr>
            </w:pPr>
          </w:p>
        </w:tc>
        <w:tc>
          <w:tcPr>
            <w:tcW w:w="1240" w:type="dxa"/>
            <w:vAlign w:val="bottom"/>
            <w:gridSpan w:val="2"/>
            <w:vMerge w:val="restart"/>
          </w:tcPr>
          <w:p>
            <w:pPr>
              <w:jc w:val="right"/>
              <w:ind w:right="3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5980" w:type="dxa"/>
            <w:vAlign w:val="bottom"/>
          </w:tcPr>
          <w:p>
            <w:pPr>
              <w:ind w:left="120"/>
              <w:spacing w:after="0" w:line="215" w:lineRule="exact"/>
              <w:rPr>
                <w:sz w:val="20"/>
                <w:szCs w:val="20"/>
                <w:color w:val="auto"/>
              </w:rPr>
            </w:pPr>
            <w:r>
              <w:rPr>
                <w:rFonts w:ascii="Calibri" w:cs="Calibri" w:eastAsia="Calibri" w:hAnsi="Calibri"/>
                <w:sz w:val="18"/>
                <w:szCs w:val="18"/>
                <w:color w:val="auto"/>
              </w:rPr>
              <w:t>interests</w:t>
            </w:r>
          </w:p>
        </w:tc>
        <w:tc>
          <w:tcPr>
            <w:tcW w:w="10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9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Comprehensive income (loss) atributable to Class A Common Stockholders</w:t>
            </w:r>
          </w:p>
        </w:tc>
        <w:tc>
          <w:tcPr>
            <w:tcW w:w="1080" w:type="dxa"/>
            <w:vAlign w:val="bottom"/>
            <w:tcBorders>
              <w:top w:val="single" w:sz="8" w:color="auto"/>
              <w:bottom w:val="single" w:sz="8" w:color="auto"/>
            </w:tcBorders>
            <w:shd w:val="clear" w:color="auto" w:fill="CFF0FC"/>
          </w:tcPr>
          <w:p>
            <w:pPr>
              <w:jc w:val="right"/>
              <w:ind w:right="890"/>
              <w:spacing w:after="0" w:line="215" w:lineRule="exact"/>
              <w:rPr>
                <w:sz w:val="20"/>
                <w:szCs w:val="20"/>
                <w:color w:val="auto"/>
              </w:rPr>
            </w:pPr>
            <w:r>
              <w:rPr>
                <w:rFonts w:ascii="Calibri" w:cs="Calibri" w:eastAsia="Calibri" w:hAnsi="Calibri"/>
                <w:sz w:val="18"/>
                <w:szCs w:val="18"/>
                <w:b w:val="1"/>
                <w:bCs w:val="1"/>
                <w:color w:val="auto"/>
                <w:w w:val="87"/>
              </w:rPr>
              <w:t>$</w:t>
            </w:r>
          </w:p>
        </w:tc>
        <w:tc>
          <w:tcPr>
            <w:tcW w:w="5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28,662</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line="215" w:lineRule="exact"/>
              <w:rPr>
                <w:sz w:val="20"/>
                <w:szCs w:val="20"/>
                <w:color w:val="auto"/>
              </w:rPr>
            </w:pPr>
            <w:r>
              <w:rPr>
                <w:rFonts w:ascii="Calibri" w:cs="Calibri" w:eastAsia="Calibri" w:hAnsi="Calibri"/>
                <w:sz w:val="18"/>
                <w:szCs w:val="18"/>
                <w:b w:val="1"/>
                <w:bCs w:val="1"/>
                <w:color w:val="auto"/>
                <w:w w:val="87"/>
              </w:rPr>
              <w:t>$</w:t>
            </w:r>
          </w:p>
        </w:tc>
        <w:tc>
          <w:tcPr>
            <w:tcW w:w="11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(2,461</w:t>
            </w:r>
          </w:p>
        </w:tc>
        <w:tc>
          <w:tcPr>
            <w:tcW w:w="26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340" w:type="dxa"/>
            <w:vAlign w:val="bottom"/>
            <w:tcBorders>
              <w:top w:val="single" w:sz="8" w:color="auto"/>
              <w:bottom w:val="single" w:sz="8" w:color="auto"/>
            </w:tcBorders>
            <w:shd w:val="clear" w:color="auto" w:fill="CFF0FC"/>
          </w:tcPr>
          <w:p>
            <w:pPr>
              <w:jc w:val="right"/>
              <w:ind w:right="150"/>
              <w:spacing w:after="0" w:line="215" w:lineRule="exact"/>
              <w:rPr>
                <w:sz w:val="20"/>
                <w:szCs w:val="20"/>
                <w:color w:val="auto"/>
              </w:rPr>
            </w:pPr>
            <w:r>
              <w:rPr>
                <w:rFonts w:ascii="Calibri" w:cs="Calibri" w:eastAsia="Calibri" w:hAnsi="Calibri"/>
                <w:sz w:val="18"/>
                <w:szCs w:val="18"/>
                <w:b w:val="1"/>
                <w:bCs w:val="1"/>
                <w:color w:val="auto"/>
                <w:w w:val="87"/>
              </w:rPr>
              <w:t>$</w:t>
            </w:r>
          </w:p>
        </w:tc>
        <w:tc>
          <w:tcPr>
            <w:tcW w:w="11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-925195</wp:posOffset>
            </wp:positionV>
            <wp:extent cx="7747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-925195</wp:posOffset>
            </wp:positionV>
            <wp:extent cx="6858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EQUITY (DEFICIT)</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share/unit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60" w:type="dxa"/>
            <w:vAlign w:val="bottom"/>
          </w:tcPr>
          <w:p>
            <w:pPr>
              <w:spacing w:after="0"/>
              <w:rPr>
                <w:sz w:val="13"/>
                <w:szCs w:val="13"/>
                <w:color w:val="auto"/>
              </w:rPr>
            </w:pPr>
          </w:p>
        </w:tc>
        <w:tc>
          <w:tcPr>
            <w:tcW w:w="1060" w:type="dxa"/>
            <w:vAlign w:val="bottom"/>
            <w:gridSpan w:val="4"/>
          </w:tcPr>
          <w:p>
            <w:pPr>
              <w:jc w:val="center"/>
              <w:spacing w:after="0"/>
              <w:rPr>
                <w:sz w:val="20"/>
                <w:szCs w:val="20"/>
                <w:color w:val="auto"/>
              </w:rPr>
            </w:pPr>
            <w:r>
              <w:rPr>
                <w:rFonts w:ascii="Calibri" w:cs="Calibri" w:eastAsia="Calibri" w:hAnsi="Calibri"/>
                <w:sz w:val="13"/>
                <w:szCs w:val="13"/>
                <w:b w:val="1"/>
                <w:bCs w:val="1"/>
                <w:color w:val="auto"/>
                <w:w w:val="96"/>
              </w:rPr>
              <w:t>Redeemable senior</w:t>
            </w:r>
          </w:p>
        </w:tc>
        <w:tc>
          <w:tcPr>
            <w:tcW w:w="140" w:type="dxa"/>
            <w:vAlign w:val="bottom"/>
          </w:tcPr>
          <w:p>
            <w:pPr>
              <w:spacing w:after="0"/>
              <w:rPr>
                <w:sz w:val="13"/>
                <w:szCs w:val="13"/>
                <w:color w:val="auto"/>
              </w:rPr>
            </w:pPr>
          </w:p>
        </w:tc>
        <w:tc>
          <w:tcPr>
            <w:tcW w:w="900" w:type="dxa"/>
            <w:vAlign w:val="bottom"/>
            <w:gridSpan w:val="4"/>
          </w:tcPr>
          <w:p>
            <w:pPr>
              <w:jc w:val="right"/>
              <w:ind w:right="77"/>
              <w:spacing w:after="0"/>
              <w:rPr>
                <w:sz w:val="20"/>
                <w:szCs w:val="20"/>
                <w:color w:val="auto"/>
              </w:rPr>
            </w:pPr>
            <w:r>
              <w:rPr>
                <w:rFonts w:ascii="Calibri" w:cs="Calibri" w:eastAsia="Calibri" w:hAnsi="Calibri"/>
                <w:sz w:val="13"/>
                <w:szCs w:val="13"/>
                <w:b w:val="1"/>
                <w:bCs w:val="1"/>
                <w:color w:val="auto"/>
              </w:rPr>
              <w:t>Redeemable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80" w:type="dxa"/>
            <w:vAlign w:val="bottom"/>
            <w:gridSpan w:val="4"/>
          </w:tcPr>
          <w:p>
            <w:pPr>
              <w:jc w:val="right"/>
              <w:ind w:right="180"/>
              <w:spacing w:after="0"/>
              <w:rPr>
                <w:sz w:val="20"/>
                <w:szCs w:val="20"/>
                <w:color w:val="auto"/>
              </w:rPr>
            </w:pPr>
            <w:r>
              <w:rPr>
                <w:rFonts w:ascii="Calibri" w:cs="Calibri" w:eastAsia="Calibri" w:hAnsi="Calibri"/>
                <w:sz w:val="13"/>
                <w:szCs w:val="13"/>
                <w:b w:val="1"/>
                <w:bCs w:val="1"/>
                <w:color w:val="auto"/>
                <w:w w:val="97"/>
              </w:rPr>
              <w:t>Common</w:t>
            </w:r>
          </w:p>
        </w:tc>
        <w:tc>
          <w:tcPr>
            <w:tcW w:w="1040" w:type="dxa"/>
            <w:vAlign w:val="bottom"/>
            <w:gridSpan w:val="4"/>
          </w:tcPr>
          <w:p>
            <w:pPr>
              <w:ind w:left="20"/>
              <w:spacing w:after="0"/>
              <w:rPr>
                <w:sz w:val="20"/>
                <w:szCs w:val="20"/>
                <w:color w:val="auto"/>
              </w:rPr>
            </w:pPr>
            <w:r>
              <w:rPr>
                <w:rFonts w:ascii="Calibri" w:cs="Calibri" w:eastAsia="Calibri" w:hAnsi="Calibri"/>
                <w:sz w:val="13"/>
                <w:szCs w:val="13"/>
                <w:b w:val="1"/>
                <w:bCs w:val="1"/>
                <w:color w:val="auto"/>
              </w:rPr>
              <w:t>Class A Common</w:t>
            </w:r>
          </w:p>
        </w:tc>
        <w:tc>
          <w:tcPr>
            <w:tcW w:w="1260" w:type="dxa"/>
            <w:vAlign w:val="bottom"/>
            <w:gridSpan w:val="5"/>
          </w:tcPr>
          <w:p>
            <w:pPr>
              <w:ind w:left="80"/>
              <w:spacing w:after="0"/>
              <w:rPr>
                <w:sz w:val="20"/>
                <w:szCs w:val="20"/>
                <w:color w:val="auto"/>
              </w:rPr>
            </w:pPr>
            <w:r>
              <w:rPr>
                <w:rFonts w:ascii="Calibri" w:cs="Calibri" w:eastAsia="Calibri" w:hAnsi="Calibri"/>
                <w:sz w:val="13"/>
                <w:szCs w:val="13"/>
                <w:b w:val="1"/>
                <w:bCs w:val="1"/>
                <w:color w:val="auto"/>
              </w:rPr>
              <w:t>Class B Common</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60" w:type="dxa"/>
            <w:vAlign w:val="bottom"/>
            <w:gridSpan w:val="4"/>
          </w:tcPr>
          <w:p>
            <w:pPr>
              <w:jc w:val="center"/>
              <w:spacing w:after="0" w:line="149" w:lineRule="exact"/>
              <w:rPr>
                <w:sz w:val="20"/>
                <w:szCs w:val="20"/>
                <w:color w:val="auto"/>
              </w:rPr>
            </w:pPr>
            <w:r>
              <w:rPr>
                <w:rFonts w:ascii="Calibri" w:cs="Calibri" w:eastAsia="Calibri" w:hAnsi="Calibri"/>
                <w:sz w:val="13"/>
                <w:szCs w:val="13"/>
                <w:b w:val="1"/>
                <w:bCs w:val="1"/>
                <w:color w:val="auto"/>
                <w:w w:val="95"/>
              </w:rPr>
              <w:t>preferred units</w:t>
            </w:r>
          </w:p>
        </w:tc>
        <w:tc>
          <w:tcPr>
            <w:tcW w:w="140" w:type="dxa"/>
            <w:vAlign w:val="bottom"/>
          </w:tcPr>
          <w:p>
            <w:pPr>
              <w:spacing w:after="0"/>
              <w:rPr>
                <w:sz w:val="12"/>
                <w:szCs w:val="12"/>
                <w:color w:val="auto"/>
              </w:rPr>
            </w:pPr>
          </w:p>
        </w:tc>
        <w:tc>
          <w:tcPr>
            <w:tcW w:w="900" w:type="dxa"/>
            <w:vAlign w:val="bottom"/>
            <w:gridSpan w:val="4"/>
          </w:tcPr>
          <w:p>
            <w:pPr>
              <w:jc w:val="right"/>
              <w:spacing w:after="0" w:line="149" w:lineRule="exact"/>
              <w:rPr>
                <w:sz w:val="20"/>
                <w:szCs w:val="20"/>
                <w:color w:val="auto"/>
              </w:rPr>
            </w:pPr>
            <w:r>
              <w:rPr>
                <w:rFonts w:ascii="Calibri" w:cs="Calibri" w:eastAsia="Calibri" w:hAnsi="Calibri"/>
                <w:sz w:val="13"/>
                <w:szCs w:val="13"/>
                <w:b w:val="1"/>
                <w:bCs w:val="1"/>
                <w:color w:val="auto"/>
              </w:rPr>
              <w:t>preferred units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80" w:type="dxa"/>
            <w:vAlign w:val="bottom"/>
            <w:gridSpan w:val="4"/>
          </w:tcPr>
          <w:p>
            <w:pPr>
              <w:jc w:val="right"/>
              <w:ind w:right="280"/>
              <w:spacing w:after="0" w:line="149" w:lineRule="exact"/>
              <w:rPr>
                <w:sz w:val="20"/>
                <w:szCs w:val="20"/>
                <w:color w:val="auto"/>
              </w:rPr>
            </w:pPr>
            <w:r>
              <w:rPr>
                <w:rFonts w:ascii="Calibri" w:cs="Calibri" w:eastAsia="Calibri" w:hAnsi="Calibri"/>
                <w:sz w:val="13"/>
                <w:szCs w:val="13"/>
                <w:b w:val="1"/>
                <w:bCs w:val="1"/>
                <w:color w:val="auto"/>
              </w:rPr>
              <w:t>units</w:t>
            </w:r>
          </w:p>
        </w:tc>
        <w:tc>
          <w:tcPr>
            <w:tcW w:w="680" w:type="dxa"/>
            <w:vAlign w:val="bottom"/>
          </w:tcPr>
          <w:p>
            <w:pPr>
              <w:ind w:left="300"/>
              <w:spacing w:after="0" w:line="149" w:lineRule="exact"/>
              <w:rPr>
                <w:sz w:val="20"/>
                <w:szCs w:val="20"/>
                <w:color w:val="auto"/>
              </w:rPr>
            </w:pPr>
            <w:r>
              <w:rPr>
                <w:rFonts w:ascii="Calibri" w:cs="Calibri" w:eastAsia="Calibri" w:hAnsi="Calibri"/>
                <w:sz w:val="13"/>
                <w:szCs w:val="13"/>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ind w:left="340"/>
              <w:spacing w:after="0" w:line="149" w:lineRule="exact"/>
              <w:rPr>
                <w:sz w:val="20"/>
                <w:szCs w:val="20"/>
                <w:color w:val="auto"/>
              </w:rPr>
            </w:pPr>
            <w:r>
              <w:rPr>
                <w:rFonts w:ascii="Calibri" w:cs="Calibri" w:eastAsia="Calibri" w:hAnsi="Calibri"/>
                <w:sz w:val="13"/>
                <w:szCs w:val="13"/>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260"/>
              <w:spacing w:after="0" w:line="149" w:lineRule="exact"/>
              <w:rPr>
                <w:sz w:val="20"/>
                <w:szCs w:val="20"/>
                <w:color w:val="auto"/>
              </w:rPr>
            </w:pPr>
            <w:r>
              <w:rPr>
                <w:rFonts w:ascii="Calibri" w:cs="Calibri" w:eastAsia="Calibri" w:hAnsi="Calibri"/>
                <w:sz w:val="13"/>
                <w:szCs w:val="13"/>
                <w:b w:val="1"/>
                <w:bCs w:val="1"/>
                <w:color w:val="auto"/>
              </w:rPr>
              <w:t>Treasury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vMerge w:val="restart"/>
          </w:tcPr>
          <w:p>
            <w:pPr>
              <w:ind w:left="40"/>
              <w:spacing w:after="0"/>
              <w:rPr>
                <w:sz w:val="20"/>
                <w:szCs w:val="20"/>
                <w:color w:val="auto"/>
              </w:rPr>
            </w:pPr>
            <w:r>
              <w:rPr>
                <w:rFonts w:ascii="Calibri" w:cs="Calibri" w:eastAsia="Calibri" w:hAnsi="Calibri"/>
                <w:sz w:val="13"/>
                <w:szCs w:val="13"/>
                <w:b w:val="1"/>
                <w:bCs w:val="1"/>
                <w:color w:val="auto"/>
              </w:rPr>
              <w:t>Accum</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gridSpan w:val="3"/>
            <w:vMerge w:val="restart"/>
          </w:tcPr>
          <w:p>
            <w:pPr>
              <w:ind w:left="40"/>
              <w:spacing w:after="0"/>
              <w:rPr>
                <w:sz w:val="20"/>
                <w:szCs w:val="20"/>
                <w:color w:val="auto"/>
              </w:rPr>
            </w:pPr>
            <w:r>
              <w:rPr>
                <w:rFonts w:ascii="Calibri" w:cs="Calibri" w:eastAsia="Calibri" w:hAnsi="Calibri"/>
                <w:sz w:val="13"/>
                <w:szCs w:val="13"/>
                <w:b w:val="1"/>
                <w:bCs w:val="1"/>
                <w:color w:val="auto"/>
              </w:rPr>
              <w:t>Redeemabl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vMerge w:val="restart"/>
          </w:tcPr>
          <w:p>
            <w:pPr>
              <w:ind w:left="40"/>
              <w:spacing w:after="0"/>
              <w:rPr>
                <w:sz w:val="20"/>
                <w:szCs w:val="20"/>
                <w:color w:val="auto"/>
              </w:rPr>
            </w:pPr>
            <w:r>
              <w:rPr>
                <w:rFonts w:ascii="Calibri" w:cs="Calibri" w:eastAsia="Calibri" w:hAnsi="Calibri"/>
                <w:sz w:val="13"/>
                <w:szCs w:val="13"/>
                <w:b w:val="1"/>
                <w:bCs w:val="1"/>
                <w:color w:val="auto"/>
              </w:rPr>
              <w:t>A</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ind w:left="40"/>
              <w:spacing w:after="0" w:line="149" w:lineRule="exact"/>
              <w:rPr>
                <w:sz w:val="20"/>
                <w:szCs w:val="20"/>
                <w:color w:val="auto"/>
              </w:rPr>
            </w:pPr>
            <w:r>
              <w:rPr>
                <w:rFonts w:ascii="Calibri" w:cs="Calibri" w:eastAsia="Calibri" w:hAnsi="Calibri"/>
                <w:sz w:val="13"/>
                <w:szCs w:val="13"/>
                <w:b w:val="1"/>
                <w:bCs w:val="1"/>
                <w:color w:val="auto"/>
              </w:rPr>
              <w:t>A</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3"/>
          </w:tcPr>
          <w:p>
            <w:pPr>
              <w:ind w:left="60"/>
              <w:spacing w:after="0" w:line="149" w:lineRule="exact"/>
              <w:rPr>
                <w:sz w:val="20"/>
                <w:szCs w:val="20"/>
                <w:color w:val="auto"/>
              </w:rPr>
            </w:pPr>
            <w:r>
              <w:rPr>
                <w:rFonts w:ascii="Calibri" w:cs="Calibri" w:eastAsia="Calibri" w:hAnsi="Calibri"/>
                <w:sz w:val="13"/>
                <w:szCs w:val="13"/>
                <w:b w:val="1"/>
                <w:bCs w:val="1"/>
                <w:color w:val="auto"/>
              </w:rPr>
              <w:t>A</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ind w:left="40"/>
              <w:spacing w:after="0" w:line="149" w:lineRule="exact"/>
              <w:rPr>
                <w:sz w:val="20"/>
                <w:szCs w:val="20"/>
                <w:color w:val="auto"/>
              </w:rPr>
            </w:pPr>
            <w:r>
              <w:rPr>
                <w:rFonts w:ascii="Calibri" w:cs="Calibri" w:eastAsia="Calibri" w:hAnsi="Calibri"/>
                <w:sz w:val="13"/>
                <w:szCs w:val="13"/>
                <w:b w:val="1"/>
                <w:bCs w:val="1"/>
                <w:color w:val="auto"/>
              </w:rPr>
              <w:t>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240"/>
              <w:spacing w:after="0"/>
              <w:rPr>
                <w:sz w:val="20"/>
                <w:szCs w:val="20"/>
                <w:color w:val="auto"/>
              </w:rPr>
            </w:pPr>
            <w:r>
              <w:rPr>
                <w:rFonts w:ascii="Calibri" w:cs="Calibri" w:eastAsia="Calibri" w:hAnsi="Calibri"/>
                <w:sz w:val="13"/>
                <w:szCs w:val="13"/>
                <w:b w:val="1"/>
                <w:bCs w:val="1"/>
                <w:color w:val="auto"/>
                <w:w w:val="94"/>
              </w:rPr>
              <w:t>Total</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Borders>
              <w:right w:val="single" w:sz="8" w:color="auto"/>
            </w:tcBorders>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gridSpan w:val="2"/>
            <w:vMerge w:val="restart"/>
          </w:tcPr>
          <w:p>
            <w:pPr>
              <w:ind w:left="20"/>
              <w:spacing w:after="0" w:line="149" w:lineRule="exact"/>
              <w:rPr>
                <w:sz w:val="20"/>
                <w:szCs w:val="20"/>
                <w:color w:val="auto"/>
              </w:rPr>
            </w:pPr>
            <w:r>
              <w:rPr>
                <w:rFonts w:ascii="Calibri" w:cs="Calibri" w:eastAsia="Calibri" w:hAnsi="Calibri"/>
                <w:sz w:val="13"/>
                <w:szCs w:val="13"/>
                <w:b w:val="1"/>
                <w:bCs w:val="1"/>
                <w:color w:val="auto"/>
              </w:rPr>
              <w:t>m</w:t>
            </w: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5"/>
            <w:vMerge w:val="restart"/>
          </w:tcPr>
          <w:p>
            <w:pPr>
              <w:ind w:left="40"/>
              <w:spacing w:after="0" w:line="149" w:lineRule="exact"/>
              <w:rPr>
                <w:sz w:val="20"/>
                <w:szCs w:val="20"/>
                <w:color w:val="auto"/>
              </w:rPr>
            </w:pPr>
            <w:r>
              <w:rPr>
                <w:rFonts w:ascii="Calibri" w:cs="Calibri" w:eastAsia="Calibri" w:hAnsi="Calibri"/>
                <w:sz w:val="13"/>
                <w:szCs w:val="13"/>
                <w:b w:val="1"/>
                <w:bCs w:val="1"/>
                <w:color w:val="auto"/>
              </w:rPr>
              <w:t>m   Additonal</w:t>
            </w: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gridSpan w:val="2"/>
            <w:vMerge w:val="restart"/>
          </w:tcPr>
          <w:p>
            <w:pPr>
              <w:ind w:left="60"/>
              <w:spacing w:after="0" w:line="149" w:lineRule="exact"/>
              <w:rPr>
                <w:sz w:val="20"/>
                <w:szCs w:val="20"/>
                <w:color w:val="auto"/>
              </w:rPr>
            </w:pPr>
            <w:r>
              <w:rPr>
                <w:rFonts w:ascii="Calibri" w:cs="Calibri" w:eastAsia="Calibri" w:hAnsi="Calibri"/>
                <w:sz w:val="13"/>
                <w:szCs w:val="13"/>
                <w:b w:val="1"/>
                <w:bCs w:val="1"/>
                <w:color w:val="auto"/>
              </w:rPr>
              <w:t>other</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right w:val="single" w:sz="8" w:color="auto"/>
            </w:tcBorders>
            <w:gridSpan w:val="2"/>
            <w:vMerge w:val="restart"/>
          </w:tcPr>
          <w:p>
            <w:pPr>
              <w:ind w:left="100"/>
              <w:spacing w:after="0" w:line="149" w:lineRule="exact"/>
              <w:rPr>
                <w:sz w:val="20"/>
                <w:szCs w:val="20"/>
                <w:color w:val="auto"/>
              </w:rPr>
            </w:pPr>
            <w:r>
              <w:rPr>
                <w:rFonts w:ascii="Calibri" w:cs="Calibri" w:eastAsia="Calibri" w:hAnsi="Calibri"/>
                <w:sz w:val="13"/>
                <w:szCs w:val="13"/>
                <w:b w:val="1"/>
                <w:bCs w:val="1"/>
                <w:color w:val="auto"/>
              </w:rPr>
              <w:t>e</w:t>
            </w:r>
          </w:p>
        </w:tc>
        <w:tc>
          <w:tcPr>
            <w:tcW w:w="260" w:type="dxa"/>
            <w:vAlign w:val="bottom"/>
            <w:vMerge w:val="restart"/>
          </w:tcPr>
          <w:p>
            <w:pPr>
              <w:jc w:val="right"/>
              <w:spacing w:after="0" w:line="149" w:lineRule="exact"/>
              <w:rPr>
                <w:sz w:val="20"/>
                <w:szCs w:val="20"/>
                <w:color w:val="auto"/>
              </w:rPr>
            </w:pPr>
            <w:r>
              <w:rPr>
                <w:rFonts w:ascii="Calibri" w:cs="Calibri" w:eastAsia="Calibri" w:hAnsi="Calibri"/>
                <w:sz w:val="13"/>
                <w:szCs w:val="13"/>
                <w:b w:val="1"/>
                <w:bCs w:val="1"/>
                <w:color w:val="auto"/>
                <w:w w:val="94"/>
              </w:rPr>
              <w:t>Unit</w:t>
            </w:r>
          </w:p>
        </w:tc>
        <w:tc>
          <w:tcPr>
            <w:tcW w:w="120" w:type="dxa"/>
            <w:vAlign w:val="bottom"/>
          </w:tcPr>
          <w:p>
            <w:pPr>
              <w:spacing w:after="0"/>
              <w:rPr>
                <w:sz w:val="7"/>
                <w:szCs w:val="7"/>
                <w:color w:val="auto"/>
              </w:rPr>
            </w:pPr>
          </w:p>
        </w:tc>
        <w:tc>
          <w:tcPr>
            <w:tcW w:w="300" w:type="dxa"/>
            <w:vAlign w:val="bottom"/>
            <w:gridSpan w:val="2"/>
            <w:vMerge w:val="restart"/>
          </w:tcPr>
          <w:p>
            <w:pPr>
              <w:ind w:left="20"/>
              <w:spacing w:after="0" w:line="149" w:lineRule="exact"/>
              <w:rPr>
                <w:sz w:val="20"/>
                <w:szCs w:val="20"/>
                <w:color w:val="auto"/>
              </w:rPr>
            </w:pPr>
            <w:r>
              <w:rPr>
                <w:rFonts w:ascii="Calibri" w:cs="Calibri" w:eastAsia="Calibri" w:hAnsi="Calibri"/>
                <w:sz w:val="13"/>
                <w:szCs w:val="13"/>
                <w:b w:val="1"/>
                <w:bCs w:val="1"/>
                <w:color w:val="auto"/>
              </w:rPr>
              <w:t>m</w:t>
            </w: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5"/>
            <w:vMerge w:val="continue"/>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3"/>
            <w:vMerge w:val="restart"/>
          </w:tcPr>
          <w:p>
            <w:pPr>
              <w:ind w:left="40"/>
              <w:spacing w:after="0" w:line="149" w:lineRule="exact"/>
              <w:rPr>
                <w:sz w:val="20"/>
                <w:szCs w:val="20"/>
                <w:color w:val="auto"/>
              </w:rPr>
            </w:pPr>
            <w:r>
              <w:rPr>
                <w:rFonts w:ascii="Calibri" w:cs="Calibri" w:eastAsia="Calibri" w:hAnsi="Calibri"/>
                <w:sz w:val="13"/>
                <w:szCs w:val="13"/>
                <w:b w:val="1"/>
                <w:bCs w:val="1"/>
                <w:color w:val="auto"/>
              </w:rPr>
              <w:t>Accumulate</w:t>
            </w:r>
          </w:p>
        </w:tc>
        <w:tc>
          <w:tcPr>
            <w:tcW w:w="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3"/>
            <w:vMerge w:val="restart"/>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5"/>
              </w:rPr>
              <w:t>shareholder</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340" w:type="dxa"/>
            <w:vAlign w:val="bottom"/>
            <w:vMerge w:val="restart"/>
          </w:tcPr>
          <w:p>
            <w:pPr>
              <w:jc w:val="right"/>
              <w:spacing w:after="0" w:line="149" w:lineRule="exact"/>
              <w:rPr>
                <w:sz w:val="20"/>
                <w:szCs w:val="20"/>
                <w:color w:val="auto"/>
              </w:rPr>
            </w:pPr>
            <w:r>
              <w:rPr>
                <w:rFonts w:ascii="Calibri" w:cs="Calibri" w:eastAsia="Calibri" w:hAnsi="Calibri"/>
                <w:sz w:val="13"/>
                <w:szCs w:val="13"/>
                <w:b w:val="1"/>
                <w:bCs w:val="1"/>
                <w:color w:val="auto"/>
                <w:w w:val="98"/>
              </w:rPr>
              <w:t>Units</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jc w:val="right"/>
              <w:ind w:right="37"/>
              <w:spacing w:after="0" w:line="149" w:lineRule="exact"/>
              <w:rPr>
                <w:sz w:val="20"/>
                <w:szCs w:val="20"/>
                <w:color w:val="auto"/>
              </w:rPr>
            </w:pPr>
            <w:r>
              <w:rPr>
                <w:rFonts w:ascii="Calibri" w:cs="Calibri" w:eastAsia="Calibri" w:hAnsi="Calibri"/>
                <w:sz w:val="13"/>
                <w:szCs w:val="13"/>
                <w:b w:val="1"/>
                <w:bCs w:val="1"/>
                <w:color w:val="auto"/>
                <w:w w:val="90"/>
              </w:rPr>
              <w:t>Amount</w:t>
            </w:r>
          </w:p>
        </w:tc>
        <w:tc>
          <w:tcPr>
            <w:tcW w:w="140" w:type="dxa"/>
            <w:vAlign w:val="bottom"/>
          </w:tcPr>
          <w:p>
            <w:pPr>
              <w:spacing w:after="0"/>
              <w:rPr>
                <w:sz w:val="5"/>
                <w:szCs w:val="5"/>
                <w:color w:val="auto"/>
              </w:rPr>
            </w:pPr>
          </w:p>
        </w:tc>
        <w:tc>
          <w:tcPr>
            <w:tcW w:w="320" w:type="dxa"/>
            <w:vAlign w:val="bottom"/>
            <w:vMerge w:val="restart"/>
          </w:tcPr>
          <w:p>
            <w:pPr>
              <w:jc w:val="right"/>
              <w:spacing w:after="0" w:line="149" w:lineRule="exact"/>
              <w:rPr>
                <w:sz w:val="20"/>
                <w:szCs w:val="20"/>
                <w:color w:val="auto"/>
              </w:rPr>
            </w:pPr>
            <w:r>
              <w:rPr>
                <w:rFonts w:ascii="Calibri" w:cs="Calibri" w:eastAsia="Calibri" w:hAnsi="Calibri"/>
                <w:sz w:val="13"/>
                <w:szCs w:val="13"/>
                <w:b w:val="1"/>
                <w:bCs w:val="1"/>
                <w:color w:val="auto"/>
                <w:w w:val="98"/>
              </w:rPr>
              <w:t>Units</w:t>
            </w:r>
          </w:p>
        </w:tc>
        <w:tc>
          <w:tcPr>
            <w:tcW w:w="120" w:type="dxa"/>
            <w:vAlign w:val="bottom"/>
          </w:tcPr>
          <w:p>
            <w:pPr>
              <w:spacing w:after="0"/>
              <w:rPr>
                <w:sz w:val="5"/>
                <w:szCs w:val="5"/>
                <w:color w:val="auto"/>
              </w:rPr>
            </w:pPr>
          </w:p>
        </w:tc>
        <w:tc>
          <w:tcPr>
            <w:tcW w:w="460" w:type="dxa"/>
            <w:vAlign w:val="bottom"/>
            <w:gridSpan w:val="2"/>
            <w:vMerge w:val="restart"/>
          </w:tcPr>
          <w:p>
            <w:pPr>
              <w:ind w:left="20"/>
              <w:spacing w:after="0" w:line="149" w:lineRule="exact"/>
              <w:rPr>
                <w:sz w:val="20"/>
                <w:szCs w:val="20"/>
                <w:color w:val="auto"/>
              </w:rPr>
            </w:pPr>
            <w:r>
              <w:rPr>
                <w:rFonts w:ascii="Calibri" w:cs="Calibri" w:eastAsia="Calibri" w:hAnsi="Calibri"/>
                <w:sz w:val="13"/>
                <w:szCs w:val="13"/>
                <w:b w:val="1"/>
                <w:bCs w:val="1"/>
                <w:color w:val="auto"/>
                <w:w w:val="95"/>
              </w:rPr>
              <w:t>Amount</w:t>
            </w: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Borders>
              <w:right w:val="single" w:sz="8" w:color="auto"/>
            </w:tcBorders>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80" w:type="dxa"/>
            <w:vAlign w:val="bottom"/>
            <w:vMerge w:val="restart"/>
          </w:tcPr>
          <w:p>
            <w:pPr>
              <w:ind w:left="180"/>
              <w:spacing w:after="0" w:line="149" w:lineRule="exact"/>
              <w:rPr>
                <w:sz w:val="20"/>
                <w:szCs w:val="20"/>
                <w:color w:val="auto"/>
              </w:rPr>
            </w:pPr>
            <w:r>
              <w:rPr>
                <w:rFonts w:ascii="Calibri" w:cs="Calibri" w:eastAsia="Calibri" w:hAnsi="Calibri"/>
                <w:sz w:val="13"/>
                <w:szCs w:val="13"/>
                <w:b w:val="1"/>
                <w:bCs w:val="1"/>
                <w:color w:val="auto"/>
              </w:rPr>
              <w:t>Shares</w:t>
            </w:r>
          </w:p>
        </w:tc>
        <w:tc>
          <w:tcPr>
            <w:tcW w:w="100" w:type="dxa"/>
            <w:vAlign w:val="bottom"/>
          </w:tcPr>
          <w:p>
            <w:pPr>
              <w:spacing w:after="0"/>
              <w:rPr>
                <w:sz w:val="5"/>
                <w:szCs w:val="5"/>
                <w:color w:val="auto"/>
              </w:rPr>
            </w:pPr>
          </w:p>
        </w:tc>
        <w:tc>
          <w:tcPr>
            <w:tcW w:w="260" w:type="dxa"/>
            <w:vAlign w:val="bottom"/>
            <w:gridSpan w:val="2"/>
            <w:vMerge w:val="restart"/>
          </w:tcPr>
          <w:p>
            <w:pPr>
              <w:ind w:left="60"/>
              <w:spacing w:after="0" w:line="149" w:lineRule="exact"/>
              <w:rPr>
                <w:sz w:val="20"/>
                <w:szCs w:val="20"/>
                <w:color w:val="auto"/>
              </w:rPr>
            </w:pPr>
            <w:r>
              <w:rPr>
                <w:rFonts w:ascii="Calibri" w:cs="Calibri" w:eastAsia="Calibri" w:hAnsi="Calibri"/>
                <w:sz w:val="13"/>
                <w:szCs w:val="13"/>
                <w:b w:val="1"/>
                <w:bCs w:val="1"/>
                <w:color w:val="auto"/>
              </w:rPr>
              <w:t>o</w:t>
            </w:r>
          </w:p>
        </w:tc>
        <w:tc>
          <w:tcPr>
            <w:tcW w:w="760" w:type="dxa"/>
            <w:vAlign w:val="bottom"/>
            <w:vMerge w:val="restart"/>
          </w:tcPr>
          <w:p>
            <w:pPr>
              <w:ind w:left="220"/>
              <w:spacing w:after="0" w:line="149" w:lineRule="exact"/>
              <w:rPr>
                <w:sz w:val="20"/>
                <w:szCs w:val="20"/>
                <w:color w:val="auto"/>
              </w:rPr>
            </w:pPr>
            <w:r>
              <w:rPr>
                <w:rFonts w:ascii="Calibri" w:cs="Calibri" w:eastAsia="Calibri" w:hAnsi="Calibri"/>
                <w:sz w:val="13"/>
                <w:szCs w:val="13"/>
                <w:b w:val="1"/>
                <w:bCs w:val="1"/>
                <w:color w:val="auto"/>
              </w:rPr>
              <w:t>Shares</w:t>
            </w:r>
          </w:p>
        </w:tc>
        <w:tc>
          <w:tcPr>
            <w:tcW w:w="100" w:type="dxa"/>
            <w:vAlign w:val="bottom"/>
          </w:tcPr>
          <w:p>
            <w:pPr>
              <w:spacing w:after="0"/>
              <w:rPr>
                <w:sz w:val="5"/>
                <w:szCs w:val="5"/>
                <w:color w:val="auto"/>
              </w:rPr>
            </w:pPr>
          </w:p>
        </w:tc>
        <w:tc>
          <w:tcPr>
            <w:tcW w:w="400" w:type="dxa"/>
            <w:vAlign w:val="bottom"/>
            <w:gridSpan w:val="3"/>
            <w:vMerge w:val="restart"/>
          </w:tcPr>
          <w:p>
            <w:pPr>
              <w:ind w:left="60"/>
              <w:spacing w:after="0" w:line="149" w:lineRule="exact"/>
              <w:rPr>
                <w:sz w:val="20"/>
                <w:szCs w:val="20"/>
                <w:color w:val="auto"/>
              </w:rPr>
            </w:pPr>
            <w:r>
              <w:rPr>
                <w:rFonts w:ascii="Calibri" w:cs="Calibri" w:eastAsia="Calibri" w:hAnsi="Calibri"/>
                <w:sz w:val="13"/>
                <w:szCs w:val="13"/>
                <w:b w:val="1"/>
                <w:bCs w:val="1"/>
                <w:color w:val="auto"/>
              </w:rPr>
              <w:t>o</w:t>
            </w:r>
          </w:p>
        </w:tc>
        <w:tc>
          <w:tcPr>
            <w:tcW w:w="680" w:type="dxa"/>
            <w:vAlign w:val="bottom"/>
            <w:gridSpan w:val="2"/>
            <w:vMerge w:val="restart"/>
          </w:tcPr>
          <w:p>
            <w:pPr>
              <w:jc w:val="right"/>
              <w:ind w:right="280"/>
              <w:spacing w:after="0" w:line="149" w:lineRule="exact"/>
              <w:rPr>
                <w:sz w:val="20"/>
                <w:szCs w:val="20"/>
                <w:color w:val="auto"/>
              </w:rPr>
            </w:pPr>
            <w:r>
              <w:rPr>
                <w:rFonts w:ascii="Calibri" w:cs="Calibri" w:eastAsia="Calibri" w:hAnsi="Calibri"/>
                <w:sz w:val="13"/>
                <w:szCs w:val="13"/>
                <w:b w:val="1"/>
                <w:bCs w:val="1"/>
                <w:color w:val="auto"/>
              </w:rPr>
              <w:t>paid-in</w:t>
            </w:r>
          </w:p>
        </w:tc>
        <w:tc>
          <w:tcPr>
            <w:tcW w:w="660" w:type="dxa"/>
            <w:vAlign w:val="bottom"/>
            <w:vMerge w:val="restart"/>
          </w:tcPr>
          <w:p>
            <w:pPr>
              <w:ind w:left="160"/>
              <w:spacing w:after="0" w:line="149" w:lineRule="exact"/>
              <w:rPr>
                <w:sz w:val="20"/>
                <w:szCs w:val="20"/>
                <w:color w:val="auto"/>
              </w:rPr>
            </w:pPr>
            <w:r>
              <w:rPr>
                <w:rFonts w:ascii="Calibri" w:cs="Calibri" w:eastAsia="Calibri" w:hAnsi="Calibri"/>
                <w:sz w:val="13"/>
                <w:szCs w:val="13"/>
                <w:b w:val="1"/>
                <w:bCs w:val="1"/>
                <w:color w:val="auto"/>
              </w:rPr>
              <w:t>Shares</w:t>
            </w:r>
          </w:p>
        </w:tc>
        <w:tc>
          <w:tcPr>
            <w:tcW w:w="100" w:type="dxa"/>
            <w:vAlign w:val="bottom"/>
          </w:tcPr>
          <w:p>
            <w:pPr>
              <w:spacing w:after="0"/>
              <w:rPr>
                <w:sz w:val="5"/>
                <w:szCs w:val="5"/>
                <w:color w:val="auto"/>
              </w:rPr>
            </w:pPr>
          </w:p>
        </w:tc>
        <w:tc>
          <w:tcPr>
            <w:tcW w:w="520" w:type="dxa"/>
            <w:vAlign w:val="bottom"/>
            <w:gridSpan w:val="2"/>
            <w:vMerge w:val="restart"/>
          </w:tcPr>
          <w:p>
            <w:pPr>
              <w:ind w:left="60"/>
              <w:spacing w:after="0" w:line="149" w:lineRule="exact"/>
              <w:rPr>
                <w:sz w:val="20"/>
                <w:szCs w:val="20"/>
                <w:color w:val="auto"/>
              </w:rPr>
            </w:pPr>
            <w:r>
              <w:rPr>
                <w:rFonts w:ascii="Calibri" w:cs="Calibri" w:eastAsia="Calibri" w:hAnsi="Calibri"/>
                <w:sz w:val="13"/>
                <w:szCs w:val="13"/>
                <w:b w:val="1"/>
                <w:bCs w:val="1"/>
                <w:color w:val="auto"/>
              </w:rPr>
              <w:t>Amount</w:t>
            </w:r>
          </w:p>
        </w:tc>
        <w:tc>
          <w:tcPr>
            <w:tcW w:w="10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440" w:type="dxa"/>
            <w:vAlign w:val="bottom"/>
            <w:gridSpan w:val="2"/>
            <w:vMerge w:val="restart"/>
          </w:tcPr>
          <w:p>
            <w:pPr>
              <w:ind w:left="20"/>
              <w:spacing w:after="0" w:line="149" w:lineRule="exact"/>
              <w:rPr>
                <w:sz w:val="20"/>
                <w:szCs w:val="20"/>
                <w:color w:val="auto"/>
              </w:rPr>
            </w:pPr>
            <w:r>
              <w:rPr>
                <w:rFonts w:ascii="Calibri" w:cs="Calibri" w:eastAsia="Calibri" w:hAnsi="Calibri"/>
                <w:sz w:val="13"/>
                <w:szCs w:val="13"/>
                <w:b w:val="1"/>
                <w:bCs w:val="1"/>
                <w:color w:val="auto"/>
                <w:w w:val="97"/>
              </w:rPr>
              <w:t>compre</w:t>
            </w:r>
          </w:p>
        </w:tc>
        <w:tc>
          <w:tcPr>
            <w:tcW w:w="10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right w:val="single" w:sz="8" w:color="auto"/>
            </w:tcBorders>
            <w:gridSpan w:val="3"/>
            <w:vMerge w:val="restart"/>
          </w:tcPr>
          <w:p>
            <w:pPr>
              <w:jc w:val="right"/>
              <w:ind w:right="200"/>
              <w:spacing w:after="0" w:line="149" w:lineRule="exact"/>
              <w:rPr>
                <w:sz w:val="20"/>
                <w:szCs w:val="20"/>
                <w:color w:val="auto"/>
              </w:rPr>
            </w:pPr>
            <w:r>
              <w:rPr>
                <w:rFonts w:ascii="Calibri" w:cs="Calibri" w:eastAsia="Calibri" w:hAnsi="Calibri"/>
                <w:sz w:val="13"/>
                <w:szCs w:val="13"/>
                <w:b w:val="1"/>
                <w:bCs w:val="1"/>
                <w:color w:val="auto"/>
                <w:w w:val="96"/>
              </w:rPr>
              <w:t>noncontrolli</w:t>
            </w:r>
          </w:p>
        </w:tc>
        <w:tc>
          <w:tcPr>
            <w:tcW w:w="260" w:type="dxa"/>
            <w:vAlign w:val="bottom"/>
            <w:vMerge w:val="restart"/>
          </w:tcPr>
          <w:p>
            <w:pPr>
              <w:jc w:val="right"/>
              <w:ind w:right="37"/>
              <w:spacing w:after="0" w:line="149" w:lineRule="exact"/>
              <w:rPr>
                <w:sz w:val="20"/>
                <w:szCs w:val="20"/>
                <w:color w:val="auto"/>
              </w:rPr>
            </w:pPr>
            <w:r>
              <w:rPr>
                <w:rFonts w:ascii="Calibri" w:cs="Calibri" w:eastAsia="Calibri" w:hAnsi="Calibri"/>
                <w:sz w:val="13"/>
                <w:szCs w:val="13"/>
                <w:b w:val="1"/>
                <w:bCs w:val="1"/>
                <w:color w:val="auto"/>
              </w:rPr>
              <w:t>s</w:t>
            </w:r>
          </w:p>
        </w:tc>
        <w:tc>
          <w:tcPr>
            <w:tcW w:w="120" w:type="dxa"/>
            <w:vAlign w:val="bottom"/>
          </w:tcPr>
          <w:p>
            <w:pPr>
              <w:spacing w:after="0"/>
              <w:rPr>
                <w:sz w:val="7"/>
                <w:szCs w:val="7"/>
                <w:color w:val="auto"/>
              </w:rPr>
            </w:pPr>
          </w:p>
        </w:tc>
        <w:tc>
          <w:tcPr>
            <w:tcW w:w="300" w:type="dxa"/>
            <w:vAlign w:val="bottom"/>
            <w:gridSpan w:val="2"/>
            <w:vMerge w:val="restart"/>
          </w:tcPr>
          <w:p>
            <w:pPr>
              <w:ind w:left="20"/>
              <w:spacing w:after="0" w:line="149" w:lineRule="exact"/>
              <w:rPr>
                <w:sz w:val="20"/>
                <w:szCs w:val="20"/>
                <w:color w:val="auto"/>
              </w:rPr>
            </w:pPr>
            <w:r>
              <w:rPr>
                <w:rFonts w:ascii="Calibri" w:cs="Calibri" w:eastAsia="Calibri" w:hAnsi="Calibri"/>
                <w:sz w:val="13"/>
                <w:szCs w:val="13"/>
                <w:b w:val="1"/>
                <w:bCs w:val="1"/>
                <w:color w:val="auto"/>
              </w:rPr>
              <w:t>ou</w:t>
            </w: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restart"/>
          </w:tcPr>
          <w:p>
            <w:pPr>
              <w:jc w:val="right"/>
              <w:ind w:right="240"/>
              <w:spacing w:after="0" w:line="149" w:lineRule="exact"/>
              <w:rPr>
                <w:sz w:val="20"/>
                <w:szCs w:val="20"/>
                <w:color w:val="auto"/>
              </w:rPr>
            </w:pPr>
            <w:r>
              <w:rPr>
                <w:rFonts w:ascii="Calibri" w:cs="Calibri" w:eastAsia="Calibri" w:hAnsi="Calibri"/>
                <w:sz w:val="13"/>
                <w:szCs w:val="13"/>
                <w:b w:val="1"/>
                <w:bCs w:val="1"/>
                <w:color w:val="auto"/>
              </w:rPr>
              <w:t>d defcit</w:t>
            </w:r>
          </w:p>
        </w:tc>
        <w:tc>
          <w:tcPr>
            <w:tcW w:w="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restart"/>
          </w:tcPr>
          <w:p>
            <w:pPr>
              <w:jc w:val="center"/>
              <w:ind w:right="220"/>
              <w:spacing w:after="0" w:line="149" w:lineRule="exact"/>
              <w:rPr>
                <w:sz w:val="20"/>
                <w:szCs w:val="20"/>
                <w:color w:val="auto"/>
              </w:rPr>
            </w:pPr>
            <w:r>
              <w:rPr>
                <w:rFonts w:ascii="Calibri" w:cs="Calibri" w:eastAsia="Calibri" w:hAnsi="Calibri"/>
                <w:sz w:val="13"/>
                <w:szCs w:val="13"/>
                <w:b w:val="1"/>
                <w:bCs w:val="1"/>
                <w:color w:val="auto"/>
                <w:w w:val="96"/>
              </w:rPr>
              <w:t>s' equity</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Borders>
              <w:right w:val="single" w:sz="8" w:color="auto"/>
            </w:tcBorders>
            <w:gridSpan w:val="3"/>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gridSpan w:val="2"/>
            <w:vMerge w:val="restart"/>
          </w:tcPr>
          <w:p>
            <w:pPr>
              <w:ind w:left="60"/>
              <w:spacing w:after="0" w:line="149" w:lineRule="exact"/>
              <w:rPr>
                <w:sz w:val="20"/>
                <w:szCs w:val="20"/>
                <w:color w:val="auto"/>
              </w:rPr>
            </w:pPr>
            <w:r>
              <w:rPr>
                <w:rFonts w:ascii="Calibri" w:cs="Calibri" w:eastAsia="Calibri" w:hAnsi="Calibri"/>
                <w:sz w:val="13"/>
                <w:szCs w:val="13"/>
                <w:b w:val="1"/>
                <w:bCs w:val="1"/>
                <w:color w:val="auto"/>
              </w:rPr>
              <w:t>u</w:t>
            </w: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gridSpan w:val="3"/>
            <w:vMerge w:val="restart"/>
          </w:tcPr>
          <w:p>
            <w:pPr>
              <w:ind w:left="20"/>
              <w:spacing w:after="0" w:line="149" w:lineRule="exact"/>
              <w:rPr>
                <w:sz w:val="20"/>
                <w:szCs w:val="20"/>
                <w:color w:val="auto"/>
              </w:rPr>
            </w:pPr>
            <w:r>
              <w:rPr>
                <w:rFonts w:ascii="Calibri" w:cs="Calibri" w:eastAsia="Calibri" w:hAnsi="Calibri"/>
                <w:sz w:val="13"/>
                <w:szCs w:val="13"/>
                <w:b w:val="1"/>
                <w:bCs w:val="1"/>
                <w:color w:val="auto"/>
              </w:rPr>
              <w:t>un</w:t>
            </w:r>
          </w:p>
        </w:tc>
        <w:tc>
          <w:tcPr>
            <w:tcW w:w="680" w:type="dxa"/>
            <w:vAlign w:val="bottom"/>
            <w:gridSpan w:val="2"/>
            <w:vMerge w:val="restart"/>
          </w:tcPr>
          <w:p>
            <w:pPr>
              <w:jc w:val="right"/>
              <w:ind w:right="280"/>
              <w:spacing w:after="0" w:line="149" w:lineRule="exact"/>
              <w:rPr>
                <w:sz w:val="20"/>
                <w:szCs w:val="20"/>
                <w:color w:val="auto"/>
              </w:rPr>
            </w:pPr>
            <w:r>
              <w:rPr>
                <w:rFonts w:ascii="Calibri" w:cs="Calibri" w:eastAsia="Calibri" w:hAnsi="Calibri"/>
                <w:sz w:val="13"/>
                <w:szCs w:val="13"/>
                <w:b w:val="1"/>
                <w:bCs w:val="1"/>
                <w:color w:val="auto"/>
              </w:rPr>
              <w:t>capital</w:t>
            </w: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gridSpan w:val="2"/>
            <w:vMerge w:val="restart"/>
          </w:tcPr>
          <w:p>
            <w:pPr>
              <w:ind w:left="20"/>
              <w:spacing w:after="0" w:line="149" w:lineRule="exact"/>
              <w:rPr>
                <w:sz w:val="20"/>
                <w:szCs w:val="20"/>
                <w:color w:val="auto"/>
              </w:rPr>
            </w:pPr>
            <w:r>
              <w:rPr>
                <w:rFonts w:ascii="Calibri" w:cs="Calibri" w:eastAsia="Calibri" w:hAnsi="Calibri"/>
                <w:sz w:val="13"/>
                <w:szCs w:val="13"/>
                <w:b w:val="1"/>
                <w:bCs w:val="1"/>
                <w:color w:val="auto"/>
                <w:w w:val="96"/>
              </w:rPr>
              <w:t>hensive</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right w:val="single" w:sz="8" w:color="auto"/>
            </w:tcBorders>
            <w:gridSpan w:val="3"/>
            <w:vMerge w:val="restart"/>
          </w:tcPr>
          <w:p>
            <w:pPr>
              <w:jc w:val="right"/>
              <w:ind w:right="220"/>
              <w:spacing w:after="0" w:line="149" w:lineRule="exact"/>
              <w:rPr>
                <w:sz w:val="20"/>
                <w:szCs w:val="20"/>
                <w:color w:val="auto"/>
              </w:rPr>
            </w:pPr>
            <w:r>
              <w:rPr>
                <w:rFonts w:ascii="Calibri" w:cs="Calibri" w:eastAsia="Calibri" w:hAnsi="Calibri"/>
                <w:sz w:val="13"/>
                <w:szCs w:val="13"/>
                <w:b w:val="1"/>
                <w:bCs w:val="1"/>
                <w:color w:val="auto"/>
                <w:w w:val="97"/>
              </w:rPr>
              <w:t>ng interests</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gridSpan w:val="2"/>
            <w:vMerge w:val="restart"/>
          </w:tcPr>
          <w:p>
            <w:pPr>
              <w:ind w:left="20"/>
              <w:spacing w:after="0" w:line="149" w:lineRule="exact"/>
              <w:rPr>
                <w:sz w:val="20"/>
                <w:szCs w:val="20"/>
                <w:color w:val="auto"/>
              </w:rPr>
            </w:pPr>
            <w:r>
              <w:rPr>
                <w:rFonts w:ascii="Calibri" w:cs="Calibri" w:eastAsia="Calibri" w:hAnsi="Calibri"/>
                <w:sz w:val="13"/>
                <w:szCs w:val="13"/>
                <w:b w:val="1"/>
                <w:bCs w:val="1"/>
                <w:color w:val="auto"/>
              </w:rPr>
              <w:t>nt</w:t>
            </w: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restart"/>
          </w:tcPr>
          <w:p>
            <w:pPr>
              <w:jc w:val="center"/>
              <w:ind w:right="200"/>
              <w:spacing w:after="0" w:line="149" w:lineRule="exact"/>
              <w:rPr>
                <w:sz w:val="20"/>
                <w:szCs w:val="20"/>
                <w:color w:val="auto"/>
              </w:rPr>
            </w:pPr>
            <w:r>
              <w:rPr>
                <w:rFonts w:ascii="Calibri" w:cs="Calibri" w:eastAsia="Calibri" w:hAnsi="Calibri"/>
                <w:sz w:val="13"/>
                <w:szCs w:val="13"/>
                <w:b w:val="1"/>
                <w:bCs w:val="1"/>
                <w:color w:val="auto"/>
              </w:rPr>
              <w:t>(defcit)</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Borders>
              <w:right w:val="single" w:sz="8" w:color="auto"/>
            </w:tcBorders>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gridSpan w:val="2"/>
            <w:vMerge w:val="restart"/>
          </w:tcPr>
          <w:p>
            <w:pPr>
              <w:ind w:left="20"/>
              <w:spacing w:after="0" w:line="149" w:lineRule="exact"/>
              <w:rPr>
                <w:sz w:val="20"/>
                <w:szCs w:val="20"/>
                <w:color w:val="auto"/>
              </w:rPr>
            </w:pPr>
            <w:r>
              <w:rPr>
                <w:rFonts w:ascii="Calibri" w:cs="Calibri" w:eastAsia="Calibri" w:hAnsi="Calibri"/>
                <w:sz w:val="13"/>
                <w:szCs w:val="13"/>
                <w:b w:val="1"/>
                <w:bCs w:val="1"/>
                <w:color w:val="auto"/>
              </w:rPr>
              <w:t>nt</w:t>
            </w: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gridSpan w:val="3"/>
            <w:vMerge w:val="restart"/>
          </w:tcPr>
          <w:p>
            <w:pPr>
              <w:ind w:left="60"/>
              <w:spacing w:after="0" w:line="149" w:lineRule="exact"/>
              <w:rPr>
                <w:sz w:val="20"/>
                <w:szCs w:val="20"/>
                <w:color w:val="auto"/>
              </w:rPr>
            </w:pPr>
            <w:r>
              <w:rPr>
                <w:rFonts w:ascii="Calibri" w:cs="Calibri" w:eastAsia="Calibri" w:hAnsi="Calibri"/>
                <w:sz w:val="13"/>
                <w:szCs w:val="13"/>
                <w:b w:val="1"/>
                <w:bCs w:val="1"/>
                <w:color w:val="auto"/>
              </w:rPr>
              <w:t>t</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gridSpan w:val="2"/>
            <w:vMerge w:val="restart"/>
          </w:tcPr>
          <w:p>
            <w:pPr>
              <w:ind w:left="40"/>
              <w:spacing w:after="0" w:line="149" w:lineRule="exact"/>
              <w:rPr>
                <w:sz w:val="20"/>
                <w:szCs w:val="20"/>
                <w:color w:val="auto"/>
              </w:rPr>
            </w:pPr>
            <w:r>
              <w:rPr>
                <w:rFonts w:ascii="Calibri" w:cs="Calibri" w:eastAsia="Calibri" w:hAnsi="Calibri"/>
                <w:sz w:val="13"/>
                <w:szCs w:val="13"/>
                <w:b w:val="1"/>
                <w:bCs w:val="1"/>
                <w:color w:val="auto"/>
              </w:rPr>
              <w:t>(incom</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ind w:left="60"/>
              <w:spacing w:after="0" w:line="149" w:lineRule="exact"/>
              <w:rPr>
                <w:sz w:val="20"/>
                <w:szCs w:val="20"/>
                <w:color w:val="auto"/>
              </w:rPr>
            </w:pPr>
            <w:r>
              <w:rPr>
                <w:rFonts w:ascii="Calibri" w:cs="Calibri" w:eastAsia="Calibri" w:hAnsi="Calibri"/>
                <w:sz w:val="13"/>
                <w:szCs w:val="13"/>
                <w:b w:val="1"/>
                <w:bCs w:val="1"/>
                <w:color w:val="auto"/>
              </w:rPr>
              <w:t>e)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960" w:type="dxa"/>
            <w:vAlign w:val="bottom"/>
            <w:shd w:val="clear" w:color="auto" w:fill="CFF0FC"/>
          </w:tcPr>
          <w:p>
            <w:pPr>
              <w:ind w:left="20"/>
              <w:spacing w:after="0" w:line="145" w:lineRule="exact"/>
              <w:rPr>
                <w:sz w:val="20"/>
                <w:szCs w:val="20"/>
                <w:color w:val="auto"/>
              </w:rPr>
            </w:pPr>
            <w:r>
              <w:rPr>
                <w:rFonts w:ascii="Calibri" w:cs="Calibri" w:eastAsia="Calibri" w:hAnsi="Calibri"/>
                <w:sz w:val="13"/>
                <w:szCs w:val="13"/>
                <w:b w:val="1"/>
                <w:bCs w:val="1"/>
                <w:color w:val="auto"/>
              </w:rPr>
              <w:t>Balances at</w:t>
            </w:r>
          </w:p>
        </w:tc>
        <w:tc>
          <w:tcPr>
            <w:tcW w:w="340" w:type="dxa"/>
            <w:vAlign w:val="bottom"/>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10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10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260" w:type="dxa"/>
            <w:vAlign w:val="bottom"/>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10</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5" w:lineRule="exact"/>
              <w:rPr>
                <w:sz w:val="20"/>
                <w:szCs w:val="20"/>
                <w:color w:val="auto"/>
              </w:rPr>
            </w:pPr>
            <w:r>
              <w:rPr>
                <w:rFonts w:ascii="Calibri" w:cs="Calibri" w:eastAsia="Calibri" w:hAnsi="Calibri"/>
                <w:sz w:val="13"/>
                <w:szCs w:val="13"/>
                <w:b w:val="1"/>
                <w:bCs w:val="1"/>
                <w:color w:val="auto"/>
              </w:rPr>
              <w:t>(1,91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January 1, 2020</w:t>
            </w:r>
          </w:p>
        </w:tc>
        <w:tc>
          <w:tcPr>
            <w:tcW w:w="3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200" w:type="dxa"/>
            <w:vAlign w:val="bottom"/>
            <w:tcBorders>
              <w:bottom w:val="single" w:sz="8" w:color="CFF0FC"/>
            </w:tcBorders>
            <w:gridSpan w:val="2"/>
            <w:shd w:val="clear" w:color="auto" w:fill="CFF0FC"/>
          </w:tcPr>
          <w:p>
            <w:pPr>
              <w:jc w:val="center"/>
              <w:ind w:left="37"/>
              <w:spacing w:after="0" w:line="149" w:lineRule="exact"/>
              <w:rPr>
                <w:sz w:val="20"/>
                <w:szCs w:val="20"/>
                <w:color w:val="auto"/>
              </w:rPr>
            </w:pPr>
            <w:r>
              <w:rPr>
                <w:rFonts w:ascii="Calibri" w:cs="Calibri" w:eastAsia="Calibri" w:hAnsi="Calibri"/>
                <w:sz w:val="13"/>
                <w:szCs w:val="13"/>
                <w:b w:val="1"/>
                <w:bCs w:val="1"/>
                <w:color w:val="auto"/>
                <w:w w:val="90"/>
              </w:rPr>
              <w:t>$</w:t>
            </w:r>
          </w:p>
        </w:tc>
        <w:tc>
          <w:tcPr>
            <w:tcW w:w="5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197,154</w:t>
            </w:r>
          </w:p>
        </w:tc>
        <w:tc>
          <w:tcPr>
            <w:tcW w:w="46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240" w:type="dxa"/>
            <w:vAlign w:val="bottom"/>
            <w:tcBorders>
              <w:bottom w:val="single" w:sz="8" w:color="CFF0FC"/>
            </w:tcBorders>
            <w:gridSpan w:val="2"/>
            <w:shd w:val="clear" w:color="auto" w:fill="CFF0FC"/>
          </w:tcPr>
          <w:p>
            <w:pPr>
              <w:ind w:left="140"/>
              <w:spacing w:after="0" w:line="149" w:lineRule="exact"/>
              <w:rPr>
                <w:sz w:val="20"/>
                <w:szCs w:val="20"/>
                <w:color w:val="auto"/>
              </w:rPr>
            </w:pPr>
            <w:r>
              <w:rPr>
                <w:rFonts w:ascii="Calibri" w:cs="Calibri" w:eastAsia="Calibri" w:hAnsi="Calibri"/>
                <w:sz w:val="13"/>
                <w:szCs w:val="13"/>
                <w:b w:val="1"/>
                <w:bCs w:val="1"/>
                <w:color w:val="auto"/>
              </w:rPr>
              <w:t>$</w:t>
            </w:r>
          </w:p>
        </w:tc>
        <w:tc>
          <w:tcPr>
            <w:tcW w:w="3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9,939</w:t>
            </w:r>
          </w:p>
        </w:tc>
        <w:tc>
          <w:tcPr>
            <w:tcW w:w="320" w:type="dxa"/>
            <w:vAlign w:val="bottom"/>
            <w:tcBorders>
              <w:bottom w:val="single" w:sz="8" w:color="CFF0FC"/>
            </w:tcBorders>
            <w:gridSpan w:val="2"/>
            <w:shd w:val="clear" w:color="auto" w:fill="CFF0FC"/>
          </w:tcPr>
          <w:p>
            <w:pPr>
              <w:ind w:left="140"/>
              <w:spacing w:after="0" w:line="149" w:lineRule="exact"/>
              <w:rPr>
                <w:sz w:val="20"/>
                <w:szCs w:val="20"/>
                <w:color w:val="auto"/>
              </w:rPr>
            </w:pPr>
            <w:r>
              <w:rPr>
                <w:rFonts w:ascii="Calibri" w:cs="Calibri" w:eastAsia="Calibri" w:hAnsi="Calibri"/>
                <w:sz w:val="13"/>
                <w:szCs w:val="13"/>
                <w:b w:val="1"/>
                <w:bCs w:val="1"/>
                <w:color w:val="auto"/>
              </w:rPr>
              <w:t>$</w:t>
            </w:r>
          </w:p>
        </w:tc>
        <w:tc>
          <w:tcPr>
            <w:tcW w:w="680" w:type="dxa"/>
            <w:vAlign w:val="bottom"/>
            <w:tcBorders>
              <w:bottom w:val="single" w:sz="8" w:color="CFF0FC"/>
              <w:right w:val="single" w:sz="8" w:color="auto"/>
            </w:tcBorders>
            <w:gridSpan w:val="2"/>
            <w:shd w:val="clear" w:color="auto" w:fill="CFF0FC"/>
          </w:tcPr>
          <w:p>
            <w:pPr>
              <w:jc w:val="right"/>
              <w:ind w:right="200"/>
              <w:spacing w:after="0" w:line="149" w:lineRule="exact"/>
              <w:rPr>
                <w:sz w:val="20"/>
                <w:szCs w:val="20"/>
                <w:color w:val="auto"/>
              </w:rPr>
            </w:pPr>
            <w:r>
              <w:rPr>
                <w:rFonts w:ascii="Calibri" w:cs="Calibri" w:eastAsia="Calibri" w:hAnsi="Calibri"/>
                <w:sz w:val="13"/>
                <w:szCs w:val="13"/>
                <w:b w:val="1"/>
                <w:bCs w:val="1"/>
                <w:color w:val="auto"/>
              </w:rPr>
              <w:t>—</w:t>
            </w: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 —</w:t>
            </w:r>
          </w:p>
        </w:tc>
        <w:tc>
          <w:tcPr>
            <w:tcW w:w="680" w:type="dxa"/>
            <w:vAlign w:val="bottom"/>
            <w:tcBorders>
              <w:bottom w:val="single" w:sz="8" w:color="CFF0FC"/>
            </w:tcBorders>
            <w:shd w:val="clear" w:color="auto" w:fill="CFF0FC"/>
          </w:tcPr>
          <w:p>
            <w:pPr>
              <w:ind w:left="560"/>
              <w:spacing w:after="0" w:line="149" w:lineRule="exact"/>
              <w:rPr>
                <w:sz w:val="20"/>
                <w:szCs w:val="20"/>
                <w:color w:val="auto"/>
              </w:rPr>
            </w:pPr>
            <w:r>
              <w:rPr>
                <w:rFonts w:ascii="Calibri" w:cs="Calibri" w:eastAsia="Calibri" w:hAnsi="Calibri"/>
                <w:sz w:val="13"/>
                <w:szCs w:val="13"/>
                <w:b w:val="1"/>
                <w:bCs w:val="1"/>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gridSpan w:val="2"/>
            <w:shd w:val="clear" w:color="auto" w:fill="CFF0FC"/>
          </w:tcPr>
          <w:p>
            <w:pPr>
              <w:jc w:val="right"/>
              <w:ind w:right="20"/>
              <w:spacing w:after="0" w:line="149" w:lineRule="exact"/>
              <w:rPr>
                <w:sz w:val="20"/>
                <w:szCs w:val="20"/>
                <w:color w:val="auto"/>
              </w:rPr>
            </w:pPr>
            <w:r>
              <w:rPr>
                <w:rFonts w:ascii="Calibri" w:cs="Calibri" w:eastAsia="Calibri" w:hAnsi="Calibri"/>
                <w:sz w:val="13"/>
                <w:szCs w:val="13"/>
                <w:b w:val="1"/>
                <w:bCs w:val="1"/>
                <w:color w:val="auto"/>
              </w:rPr>
              <w:t>$ —</w:t>
            </w:r>
          </w:p>
        </w:tc>
        <w:tc>
          <w:tcPr>
            <w:tcW w:w="760" w:type="dxa"/>
            <w:vAlign w:val="bottom"/>
            <w:tcBorders>
              <w:bottom w:val="single" w:sz="8" w:color="CFF0FC"/>
            </w:tcBorders>
            <w:shd w:val="clear" w:color="auto" w:fill="CFF0FC"/>
          </w:tcPr>
          <w:p>
            <w:pPr>
              <w:ind w:left="640"/>
              <w:spacing w:after="0" w:line="149" w:lineRule="exact"/>
              <w:rPr>
                <w:sz w:val="20"/>
                <w:szCs w:val="20"/>
                <w:color w:val="auto"/>
              </w:rPr>
            </w:pPr>
            <w:r>
              <w:rPr>
                <w:rFonts w:ascii="Calibri" w:cs="Calibri" w:eastAsia="Calibri" w:hAnsi="Calibri"/>
                <w:sz w:val="13"/>
                <w:szCs w:val="13"/>
                <w:b w:val="1"/>
                <w:bCs w:val="1"/>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gridSpan w:val="3"/>
            <w:shd w:val="clear" w:color="auto" w:fill="CFF0FC"/>
          </w:tcPr>
          <w:p>
            <w:pPr>
              <w:jc w:val="center"/>
              <w:ind w:right="20"/>
              <w:spacing w:after="0" w:line="149" w:lineRule="exact"/>
              <w:rPr>
                <w:sz w:val="20"/>
                <w:szCs w:val="20"/>
                <w:color w:val="auto"/>
              </w:rPr>
            </w:pPr>
            <w:r>
              <w:rPr>
                <w:rFonts w:ascii="Calibri" w:cs="Calibri" w:eastAsia="Calibri" w:hAnsi="Calibri"/>
                <w:sz w:val="13"/>
                <w:szCs w:val="13"/>
                <w:b w:val="1"/>
                <w:bCs w:val="1"/>
                <w:color w:val="auto"/>
              </w:rPr>
              <w:t>$ — $</w:t>
            </w:r>
          </w:p>
        </w:tc>
        <w:tc>
          <w:tcPr>
            <w:tcW w:w="5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772,683</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ind w:left="540"/>
              <w:spacing w:after="0" w:line="149" w:lineRule="exact"/>
              <w:rPr>
                <w:sz w:val="20"/>
                <w:szCs w:val="20"/>
                <w:color w:val="auto"/>
              </w:rPr>
            </w:pPr>
            <w:r>
              <w:rPr>
                <w:rFonts w:ascii="Calibri" w:cs="Calibri" w:eastAsia="Calibri" w:hAnsi="Calibri"/>
                <w:sz w:val="13"/>
                <w:szCs w:val="13"/>
                <w:b w:val="1"/>
                <w:bCs w:val="1"/>
                <w:color w:val="auto"/>
                <w:w w:val="84"/>
              </w:rPr>
              <w:t>—</w:t>
            </w:r>
          </w:p>
        </w:tc>
        <w:tc>
          <w:tcPr>
            <w:tcW w:w="420" w:type="dxa"/>
            <w:vAlign w:val="bottom"/>
            <w:tcBorders>
              <w:bottom w:val="single" w:sz="8" w:color="CFF0FC"/>
            </w:tcBorders>
            <w:gridSpan w:val="2"/>
            <w:shd w:val="clear" w:color="auto" w:fill="CFF0FC"/>
          </w:tcPr>
          <w:p>
            <w:pPr>
              <w:jc w:val="right"/>
              <w:ind w:right="177"/>
              <w:spacing w:after="0" w:line="149" w:lineRule="exact"/>
              <w:rPr>
                <w:sz w:val="20"/>
                <w:szCs w:val="20"/>
                <w:color w:val="auto"/>
              </w:rPr>
            </w:pPr>
            <w:r>
              <w:rPr>
                <w:rFonts w:ascii="Calibri" w:cs="Calibri" w:eastAsia="Calibri" w:hAnsi="Calibri"/>
                <w:sz w:val="13"/>
                <w:szCs w:val="13"/>
                <w:b w:val="1"/>
                <w:bCs w:val="1"/>
                <w:color w:val="auto"/>
              </w:rPr>
              <w:t>$</w:t>
            </w:r>
          </w:p>
        </w:tc>
        <w:tc>
          <w:tcPr>
            <w:tcW w:w="200" w:type="dxa"/>
            <w:vAlign w:val="bottom"/>
            <w:tcBorders>
              <w:bottom w:val="single" w:sz="8" w:color="CFF0FC"/>
            </w:tcBorders>
            <w:shd w:val="clear" w:color="auto" w:fill="CFF0FC"/>
          </w:tcPr>
          <w:p>
            <w:pPr>
              <w:ind w:left="80"/>
              <w:spacing w:after="0" w:line="149" w:lineRule="exact"/>
              <w:rPr>
                <w:sz w:val="20"/>
                <w:szCs w:val="20"/>
                <w:color w:val="auto"/>
              </w:rPr>
            </w:pPr>
            <w:r>
              <w:rPr>
                <w:rFonts w:ascii="Calibri" w:cs="Calibri" w:eastAsia="Calibri" w:hAnsi="Calibri"/>
                <w:sz w:val="13"/>
                <w:szCs w:val="13"/>
                <w:b w:val="1"/>
                <w:bCs w:val="1"/>
                <w:color w:val="auto"/>
                <w:w w:val="84"/>
              </w:rPr>
              <w:t>—</w:t>
            </w:r>
          </w:p>
        </w:tc>
        <w:tc>
          <w:tcPr>
            <w:tcW w:w="200" w:type="dxa"/>
            <w:vAlign w:val="bottom"/>
            <w:tcBorders>
              <w:bottom w:val="single" w:sz="8" w:color="CFF0FC"/>
            </w:tcBorders>
            <w:gridSpan w:val="2"/>
            <w:shd w:val="clear" w:color="auto" w:fill="CFF0FC"/>
          </w:tcPr>
          <w:p>
            <w:pPr>
              <w:ind w:left="120"/>
              <w:spacing w:after="0" w:line="149" w:lineRule="exact"/>
              <w:rPr>
                <w:sz w:val="20"/>
                <w:szCs w:val="20"/>
                <w:color w:val="auto"/>
              </w:rPr>
            </w:pPr>
            <w:r>
              <w:rPr>
                <w:rFonts w:ascii="Calibri" w:cs="Calibri" w:eastAsia="Calibri" w:hAnsi="Calibri"/>
                <w:sz w:val="13"/>
                <w:szCs w:val="13"/>
                <w:b w:val="1"/>
                <w:bCs w:val="1"/>
                <w:color w:val="auto"/>
                <w:w w:val="90"/>
              </w:rPr>
              <w:t>$</w:t>
            </w:r>
          </w:p>
        </w:tc>
        <w:tc>
          <w:tcPr>
            <w:tcW w:w="820" w:type="dxa"/>
            <w:vAlign w:val="bottom"/>
            <w:tcBorders>
              <w:bottom w:val="single" w:sz="8" w:color="CFF0FC"/>
            </w:tcBorders>
            <w:gridSpan w:val="3"/>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(252,490 ) $</w:t>
            </w:r>
          </w:p>
        </w:tc>
        <w:tc>
          <w:tcPr>
            <w:tcW w:w="520" w:type="dxa"/>
            <w:vAlign w:val="bottom"/>
            <w:tcBorders>
              <w:bottom w:val="single" w:sz="8" w:color="CFF0FC"/>
            </w:tcBorders>
            <w:gridSpan w:val="3"/>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7 ) $</w:t>
            </w:r>
          </w:p>
        </w:tc>
        <w:tc>
          <w:tcPr>
            <w:tcW w:w="6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518,276</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20"/>
              <w:spacing w:after="0" w:line="152" w:lineRule="exact"/>
              <w:rPr>
                <w:sz w:val="20"/>
                <w:szCs w:val="20"/>
                <w:color w:val="auto"/>
              </w:rPr>
            </w:pPr>
            <w:r>
              <w:rPr>
                <w:rFonts w:ascii="Calibri" w:cs="Calibri" w:eastAsia="Calibri" w:hAnsi="Calibri"/>
                <w:sz w:val="13"/>
                <w:szCs w:val="13"/>
                <w:color w:val="auto"/>
              </w:rPr>
              <w:t>Net loss</w:t>
            </w:r>
          </w:p>
        </w:tc>
        <w:tc>
          <w:tcPr>
            <w:tcW w:w="34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200"/>
              <w:spacing w:after="0" w:line="152" w:lineRule="exact"/>
              <w:rPr>
                <w:sz w:val="20"/>
                <w:szCs w:val="20"/>
                <w:color w:val="auto"/>
              </w:rPr>
            </w:pPr>
            <w:r>
              <w:rPr>
                <w:rFonts w:ascii="Calibri" w:cs="Calibri" w:eastAsia="Calibri" w:hAnsi="Calibri"/>
                <w:sz w:val="13"/>
                <w:szCs w:val="13"/>
                <w:color w:val="auto"/>
              </w:rPr>
              <w:t>—</w:t>
            </w:r>
          </w:p>
        </w:tc>
        <w:tc>
          <w:tcPr>
            <w:tcW w:w="2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30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w:t>
            </w:r>
          </w:p>
        </w:tc>
        <w:tc>
          <w:tcPr>
            <w:tcW w:w="680" w:type="dxa"/>
            <w:vAlign w:val="bottom"/>
          </w:tcPr>
          <w:p>
            <w:pPr>
              <w:ind w:left="560"/>
              <w:spacing w:after="0" w:line="152"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3"/>
                <w:szCs w:val="13"/>
                <w:color w:val="auto"/>
              </w:rPr>
            </w:pPr>
          </w:p>
        </w:tc>
        <w:tc>
          <w:tcPr>
            <w:tcW w:w="260" w:type="dxa"/>
            <w:vAlign w:val="bottom"/>
            <w:gridSpan w:val="2"/>
          </w:tcPr>
          <w:p>
            <w:pPr>
              <w:jc w:val="right"/>
              <w:ind w:right="20"/>
              <w:spacing w:after="0" w:line="152" w:lineRule="exact"/>
              <w:rPr>
                <w:sz w:val="20"/>
                <w:szCs w:val="20"/>
                <w:color w:val="auto"/>
              </w:rPr>
            </w:pPr>
            <w:r>
              <w:rPr>
                <w:rFonts w:ascii="Calibri" w:cs="Calibri" w:eastAsia="Calibri" w:hAnsi="Calibri"/>
                <w:sz w:val="13"/>
                <w:szCs w:val="13"/>
                <w:color w:val="auto"/>
              </w:rPr>
              <w:t>—</w:t>
            </w:r>
          </w:p>
        </w:tc>
        <w:tc>
          <w:tcPr>
            <w:tcW w:w="760" w:type="dxa"/>
            <w:vAlign w:val="bottom"/>
          </w:tcPr>
          <w:p>
            <w:pPr>
              <w:ind w:left="640"/>
              <w:spacing w:after="0" w:line="152"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3"/>
                <w:szCs w:val="13"/>
                <w:color w:val="auto"/>
              </w:rPr>
            </w:pPr>
          </w:p>
        </w:tc>
        <w:tc>
          <w:tcPr>
            <w:tcW w:w="400" w:type="dxa"/>
            <w:vAlign w:val="bottom"/>
            <w:gridSpan w:val="3"/>
          </w:tcPr>
          <w:p>
            <w:pPr>
              <w:jc w:val="center"/>
              <w:ind w:right="20"/>
              <w:spacing w:after="0" w:line="152" w:lineRule="exact"/>
              <w:rPr>
                <w:sz w:val="20"/>
                <w:szCs w:val="20"/>
                <w:color w:val="auto"/>
              </w:rPr>
            </w:pPr>
            <w:r>
              <w:rPr>
                <w:rFonts w:ascii="Calibri" w:cs="Calibri" w:eastAsia="Calibri" w:hAnsi="Calibri"/>
                <w:sz w:val="13"/>
                <w:szCs w:val="13"/>
                <w:color w:val="auto"/>
                <w:w w:val="84"/>
              </w:rPr>
              <w:t>—</w:t>
            </w:r>
          </w:p>
        </w:tc>
        <w:tc>
          <w:tcPr>
            <w:tcW w:w="680" w:type="dxa"/>
            <w:vAlign w:val="bottom"/>
            <w:gridSpan w:val="2"/>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660" w:type="dxa"/>
            <w:vAlign w:val="bottom"/>
          </w:tcPr>
          <w:p>
            <w:pPr>
              <w:ind w:left="540"/>
              <w:spacing w:after="0" w:line="152"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ind w:left="80"/>
              <w:spacing w:after="0" w:line="152"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(774,185 )</w:t>
            </w:r>
          </w:p>
        </w:tc>
        <w:tc>
          <w:tcPr>
            <w:tcW w:w="12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(774,185 )</w:t>
            </w: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Unrealized gain</w:t>
            </w: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on derivatve</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instruments</w:t>
            </w:r>
          </w:p>
        </w:tc>
        <w:tc>
          <w:tcPr>
            <w:tcW w:w="3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right w:val="single" w:sz="8" w:color="auto"/>
            </w:tcBorders>
            <w:gridSpan w:val="2"/>
            <w:shd w:val="clear" w:color="auto" w:fill="CFF0FC"/>
          </w:tcPr>
          <w:p>
            <w:pPr>
              <w:jc w:val="right"/>
              <w:ind w:right="20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w:t>
            </w:r>
          </w:p>
        </w:tc>
        <w:tc>
          <w:tcPr>
            <w:tcW w:w="680" w:type="dxa"/>
            <w:vAlign w:val="bottom"/>
            <w:tcBorders>
              <w:bottom w:val="single" w:sz="8" w:color="CFF0FC"/>
            </w:tcBorders>
            <w:shd w:val="clear" w:color="auto" w:fill="CFF0FC"/>
          </w:tcPr>
          <w:p>
            <w:pPr>
              <w:ind w:left="56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gridSpan w:val="2"/>
            <w:shd w:val="clear" w:color="auto" w:fill="CFF0FC"/>
          </w:tcPr>
          <w:p>
            <w:pPr>
              <w:jc w:val="right"/>
              <w:ind w:right="20"/>
              <w:spacing w:after="0" w:line="149" w:lineRule="exact"/>
              <w:rPr>
                <w:sz w:val="20"/>
                <w:szCs w:val="20"/>
                <w:color w:val="auto"/>
              </w:rPr>
            </w:pPr>
            <w:r>
              <w:rPr>
                <w:rFonts w:ascii="Calibri" w:cs="Calibri" w:eastAsia="Calibri" w:hAnsi="Calibri"/>
                <w:sz w:val="13"/>
                <w:szCs w:val="13"/>
                <w:color w:val="auto"/>
              </w:rPr>
              <w:t>—</w:t>
            </w:r>
          </w:p>
        </w:tc>
        <w:tc>
          <w:tcPr>
            <w:tcW w:w="760" w:type="dxa"/>
            <w:vAlign w:val="bottom"/>
            <w:tcBorders>
              <w:bottom w:val="single" w:sz="8" w:color="CFF0FC"/>
            </w:tcBorders>
            <w:shd w:val="clear" w:color="auto" w:fill="CFF0FC"/>
          </w:tcPr>
          <w:p>
            <w:pPr>
              <w:ind w:left="64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gridSpan w:val="3"/>
            <w:shd w:val="clear" w:color="auto" w:fill="CFF0FC"/>
          </w:tcPr>
          <w:p>
            <w:pPr>
              <w:jc w:val="center"/>
              <w:ind w:right="20"/>
              <w:spacing w:after="0" w:line="149" w:lineRule="exact"/>
              <w:rPr>
                <w:sz w:val="20"/>
                <w:szCs w:val="20"/>
                <w:color w:val="auto"/>
              </w:rPr>
            </w:pPr>
            <w:r>
              <w:rPr>
                <w:rFonts w:ascii="Calibri" w:cs="Calibri" w:eastAsia="Calibri" w:hAnsi="Calibri"/>
                <w:sz w:val="13"/>
                <w:szCs w:val="13"/>
                <w:color w:val="auto"/>
                <w:w w:val="84"/>
              </w:rPr>
              <w:t>—</w:t>
            </w:r>
          </w:p>
        </w:tc>
        <w:tc>
          <w:tcPr>
            <w:tcW w:w="68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660" w:type="dxa"/>
            <w:vAlign w:val="bottom"/>
            <w:tcBorders>
              <w:bottom w:val="single" w:sz="8" w:color="CFF0FC"/>
            </w:tcBorders>
            <w:shd w:val="clear" w:color="auto" w:fill="CFF0FC"/>
          </w:tcPr>
          <w:p>
            <w:pPr>
              <w:ind w:left="54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ind w:left="8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887</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887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20"/>
              <w:spacing w:after="0" w:line="152" w:lineRule="exact"/>
              <w:rPr>
                <w:sz w:val="20"/>
                <w:szCs w:val="20"/>
                <w:color w:val="auto"/>
              </w:rPr>
            </w:pPr>
            <w:r>
              <w:rPr>
                <w:rFonts w:ascii="Calibri" w:cs="Calibri" w:eastAsia="Calibri" w:hAnsi="Calibri"/>
                <w:sz w:val="13"/>
                <w:szCs w:val="13"/>
                <w:color w:val="auto"/>
              </w:rPr>
              <w:t>Loss reclassifed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from</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other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comprehensive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loss to earnings</w:t>
            </w:r>
          </w:p>
        </w:tc>
        <w:tc>
          <w:tcPr>
            <w:tcW w:w="34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20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w:t>
            </w:r>
          </w:p>
        </w:tc>
        <w:tc>
          <w:tcPr>
            <w:tcW w:w="680" w:type="dxa"/>
            <w:vAlign w:val="bottom"/>
          </w:tcPr>
          <w:p>
            <w:pPr>
              <w:ind w:left="56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Calibri" w:cs="Calibri" w:eastAsia="Calibri" w:hAnsi="Calibri"/>
                <w:sz w:val="13"/>
                <w:szCs w:val="13"/>
                <w:color w:val="auto"/>
              </w:rPr>
              <w:t>—</w:t>
            </w:r>
          </w:p>
        </w:tc>
        <w:tc>
          <w:tcPr>
            <w:tcW w:w="760" w:type="dxa"/>
            <w:vAlign w:val="bottom"/>
          </w:tcPr>
          <w:p>
            <w:pPr>
              <w:ind w:left="64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400" w:type="dxa"/>
            <w:vAlign w:val="bottom"/>
            <w:gridSpan w:val="3"/>
          </w:tcPr>
          <w:p>
            <w:pPr>
              <w:jc w:val="center"/>
              <w:ind w:right="20"/>
              <w:spacing w:after="0" w:line="149" w:lineRule="exact"/>
              <w:rPr>
                <w:sz w:val="20"/>
                <w:szCs w:val="20"/>
                <w:color w:val="auto"/>
              </w:rPr>
            </w:pPr>
            <w:r>
              <w:rPr>
                <w:rFonts w:ascii="Calibri" w:cs="Calibri" w:eastAsia="Calibri" w:hAnsi="Calibri"/>
                <w:sz w:val="13"/>
                <w:szCs w:val="13"/>
                <w:color w:val="auto"/>
                <w:w w:val="84"/>
              </w:rPr>
              <w:t>—</w:t>
            </w:r>
          </w:p>
        </w:tc>
        <w:tc>
          <w:tcPr>
            <w:tcW w:w="68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660" w:type="dxa"/>
            <w:vAlign w:val="bottom"/>
          </w:tcPr>
          <w:p>
            <w:pPr>
              <w:ind w:left="54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ind w:left="8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Calibri" w:cs="Calibri" w:eastAsia="Calibri" w:hAnsi="Calibri"/>
                <w:sz w:val="13"/>
                <w:szCs w:val="13"/>
                <w:color w:val="auto"/>
              </w:rPr>
              <w:t>208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alibri" w:cs="Calibri" w:eastAsia="Calibri" w:hAnsi="Calibri"/>
                <w:sz w:val="13"/>
                <w:szCs w:val="13"/>
                <w:color w:val="auto"/>
              </w:rPr>
              <w:t>208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Deemed</w:t>
            </w: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contributon from</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former parent</w:t>
            </w:r>
          </w:p>
        </w:tc>
        <w:tc>
          <w:tcPr>
            <w:tcW w:w="3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right w:val="single" w:sz="8" w:color="auto"/>
            </w:tcBorders>
            <w:gridSpan w:val="2"/>
            <w:shd w:val="clear" w:color="auto" w:fill="CFF0FC"/>
          </w:tcPr>
          <w:p>
            <w:pPr>
              <w:jc w:val="right"/>
              <w:ind w:right="20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w:t>
            </w:r>
          </w:p>
        </w:tc>
        <w:tc>
          <w:tcPr>
            <w:tcW w:w="680" w:type="dxa"/>
            <w:vAlign w:val="bottom"/>
            <w:tcBorders>
              <w:bottom w:val="single" w:sz="8" w:color="CFF0FC"/>
            </w:tcBorders>
            <w:shd w:val="clear" w:color="auto" w:fill="CFF0FC"/>
          </w:tcPr>
          <w:p>
            <w:pPr>
              <w:ind w:left="56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gridSpan w:val="2"/>
            <w:shd w:val="clear" w:color="auto" w:fill="CFF0FC"/>
          </w:tcPr>
          <w:p>
            <w:pPr>
              <w:jc w:val="right"/>
              <w:ind w:right="20"/>
              <w:spacing w:after="0" w:line="149" w:lineRule="exact"/>
              <w:rPr>
                <w:sz w:val="20"/>
                <w:szCs w:val="20"/>
                <w:color w:val="auto"/>
              </w:rPr>
            </w:pPr>
            <w:r>
              <w:rPr>
                <w:rFonts w:ascii="Calibri" w:cs="Calibri" w:eastAsia="Calibri" w:hAnsi="Calibri"/>
                <w:sz w:val="13"/>
                <w:szCs w:val="13"/>
                <w:color w:val="auto"/>
              </w:rPr>
              <w:t>—</w:t>
            </w:r>
          </w:p>
        </w:tc>
        <w:tc>
          <w:tcPr>
            <w:tcW w:w="760" w:type="dxa"/>
            <w:vAlign w:val="bottom"/>
            <w:tcBorders>
              <w:bottom w:val="single" w:sz="8" w:color="CFF0FC"/>
            </w:tcBorders>
            <w:shd w:val="clear" w:color="auto" w:fill="CFF0FC"/>
          </w:tcPr>
          <w:p>
            <w:pPr>
              <w:ind w:left="64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gridSpan w:val="3"/>
            <w:shd w:val="clear" w:color="auto" w:fill="CFF0FC"/>
          </w:tcPr>
          <w:p>
            <w:pPr>
              <w:jc w:val="center"/>
              <w:ind w:right="20"/>
              <w:spacing w:after="0" w:line="149" w:lineRule="exact"/>
              <w:rPr>
                <w:sz w:val="20"/>
                <w:szCs w:val="20"/>
                <w:color w:val="auto"/>
              </w:rPr>
            </w:pPr>
            <w:r>
              <w:rPr>
                <w:rFonts w:ascii="Calibri" w:cs="Calibri" w:eastAsia="Calibri" w:hAnsi="Calibri"/>
                <w:sz w:val="13"/>
                <w:szCs w:val="13"/>
                <w:color w:val="auto"/>
                <w:w w:val="84"/>
              </w:rPr>
              <w:t>—</w:t>
            </w:r>
          </w:p>
        </w:tc>
        <w:tc>
          <w:tcPr>
            <w:tcW w:w="5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4,287</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ind w:left="54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ind w:left="8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4,287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20"/>
              <w:spacing w:after="0" w:line="152" w:lineRule="exact"/>
              <w:rPr>
                <w:sz w:val="20"/>
                <w:szCs w:val="20"/>
                <w:color w:val="auto"/>
              </w:rPr>
            </w:pPr>
            <w:r>
              <w:rPr>
                <w:rFonts w:ascii="Calibri" w:cs="Calibri" w:eastAsia="Calibri" w:hAnsi="Calibri"/>
                <w:sz w:val="13"/>
                <w:szCs w:val="13"/>
                <w:color w:val="auto"/>
              </w:rPr>
              <w:t>Accreton of</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senior preferred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units</w:t>
            </w:r>
          </w:p>
        </w:tc>
        <w:tc>
          <w:tcPr>
            <w:tcW w:w="34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Calibri" w:cs="Calibri" w:eastAsia="Calibri" w:hAnsi="Calibri"/>
                <w:sz w:val="13"/>
                <w:szCs w:val="13"/>
                <w:color w:val="auto"/>
              </w:rPr>
              <w:t>21,134</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20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w:t>
            </w:r>
          </w:p>
        </w:tc>
        <w:tc>
          <w:tcPr>
            <w:tcW w:w="680" w:type="dxa"/>
            <w:vAlign w:val="bottom"/>
          </w:tcPr>
          <w:p>
            <w:pPr>
              <w:ind w:left="56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Calibri" w:cs="Calibri" w:eastAsia="Calibri" w:hAnsi="Calibri"/>
                <w:sz w:val="13"/>
                <w:szCs w:val="13"/>
                <w:color w:val="auto"/>
              </w:rPr>
              <w:t>—</w:t>
            </w:r>
          </w:p>
        </w:tc>
        <w:tc>
          <w:tcPr>
            <w:tcW w:w="760" w:type="dxa"/>
            <w:vAlign w:val="bottom"/>
          </w:tcPr>
          <w:p>
            <w:pPr>
              <w:ind w:left="64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400" w:type="dxa"/>
            <w:vAlign w:val="bottom"/>
            <w:gridSpan w:val="3"/>
          </w:tcPr>
          <w:p>
            <w:pPr>
              <w:jc w:val="center"/>
              <w:ind w:right="20"/>
              <w:spacing w:after="0" w:line="149" w:lineRule="exact"/>
              <w:rPr>
                <w:sz w:val="20"/>
                <w:szCs w:val="20"/>
                <w:color w:val="auto"/>
              </w:rPr>
            </w:pPr>
            <w:r>
              <w:rPr>
                <w:rFonts w:ascii="Calibri" w:cs="Calibri" w:eastAsia="Calibri" w:hAnsi="Calibri"/>
                <w:sz w:val="13"/>
                <w:szCs w:val="13"/>
                <w:color w:val="auto"/>
                <w:w w:val="84"/>
              </w:rPr>
              <w:t>—</w:t>
            </w:r>
          </w:p>
        </w:tc>
        <w:tc>
          <w:tcPr>
            <w:tcW w:w="68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(21,134 )</w:t>
            </w:r>
          </w:p>
        </w:tc>
        <w:tc>
          <w:tcPr>
            <w:tcW w:w="660" w:type="dxa"/>
            <w:vAlign w:val="bottom"/>
          </w:tcPr>
          <w:p>
            <w:pPr>
              <w:ind w:left="54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ind w:left="8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(21,134 )</w:t>
            </w: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Distributons to</w:t>
            </w:r>
          </w:p>
        </w:tc>
        <w:tc>
          <w:tcPr>
            <w:tcW w:w="34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3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Calibri" w:cs="Calibri" w:eastAsia="Calibri" w:hAnsi="Calibri"/>
                <w:sz w:val="13"/>
                <w:szCs w:val="13"/>
                <w:color w:val="auto"/>
              </w:rPr>
              <w:t>—</w:t>
            </w:r>
          </w:p>
        </w:tc>
        <w:tc>
          <w:tcPr>
            <w:tcW w:w="26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300" w:type="dxa"/>
            <w:vAlign w:val="bottom"/>
            <w:gridSpan w:val="2"/>
            <w:vMerge w:val="restart"/>
            <w:shd w:val="clear" w:color="auto" w:fill="CFF0FC"/>
          </w:tcPr>
          <w:p>
            <w:pPr>
              <w:jc w:val="right"/>
              <w:ind w:right="60"/>
              <w:spacing w:after="0"/>
              <w:rPr>
                <w:sz w:val="20"/>
                <w:szCs w:val="20"/>
                <w:color w:val="auto"/>
              </w:rPr>
            </w:pPr>
            <w:r>
              <w:rPr>
                <w:rFonts w:ascii="Calibri" w:cs="Calibri" w:eastAsia="Calibri" w:hAnsi="Calibri"/>
                <w:sz w:val="13"/>
                <w:szCs w:val="13"/>
                <w:color w:val="auto"/>
              </w:rPr>
              <w:t>—</w:t>
            </w:r>
          </w:p>
        </w:tc>
        <w:tc>
          <w:tcPr>
            <w:tcW w:w="680" w:type="dxa"/>
            <w:vAlign w:val="bottom"/>
            <w:vMerge w:val="restart"/>
            <w:shd w:val="clear" w:color="auto" w:fill="CFF0FC"/>
          </w:tcPr>
          <w:p>
            <w:pPr>
              <w:ind w:left="560"/>
              <w:spacing w:after="0"/>
              <w:rPr>
                <w:sz w:val="20"/>
                <w:szCs w:val="20"/>
                <w:color w:val="auto"/>
              </w:rPr>
            </w:pPr>
            <w:r>
              <w:rPr>
                <w:rFonts w:ascii="Calibri" w:cs="Calibri" w:eastAsia="Calibri" w:hAnsi="Calibri"/>
                <w:sz w:val="13"/>
                <w:szCs w:val="13"/>
                <w:color w:val="auto"/>
                <w:w w:val="84"/>
              </w:rPr>
              <w:t>—</w:t>
            </w:r>
          </w:p>
        </w:tc>
        <w:tc>
          <w:tcPr>
            <w:tcW w:w="100" w:type="dxa"/>
            <w:vAlign w:val="bottom"/>
            <w:shd w:val="clear" w:color="auto" w:fill="CFF0FC"/>
          </w:tcPr>
          <w:p>
            <w:pPr>
              <w:spacing w:after="0"/>
              <w:rPr>
                <w:sz w:val="13"/>
                <w:szCs w:val="13"/>
                <w:color w:val="auto"/>
              </w:rPr>
            </w:pPr>
          </w:p>
        </w:tc>
        <w:tc>
          <w:tcPr>
            <w:tcW w:w="260" w:type="dxa"/>
            <w:vAlign w:val="bottom"/>
            <w:gridSpan w:val="2"/>
            <w:vMerge w:val="restart"/>
            <w:shd w:val="clear" w:color="auto" w:fill="CFF0FC"/>
          </w:tcPr>
          <w:p>
            <w:pPr>
              <w:jc w:val="right"/>
              <w:ind w:right="20"/>
              <w:spacing w:after="0"/>
              <w:rPr>
                <w:sz w:val="20"/>
                <w:szCs w:val="20"/>
                <w:color w:val="auto"/>
              </w:rPr>
            </w:pPr>
            <w:r>
              <w:rPr>
                <w:rFonts w:ascii="Calibri" w:cs="Calibri" w:eastAsia="Calibri" w:hAnsi="Calibri"/>
                <w:sz w:val="13"/>
                <w:szCs w:val="13"/>
                <w:color w:val="auto"/>
              </w:rPr>
              <w:t>—</w:t>
            </w:r>
          </w:p>
        </w:tc>
        <w:tc>
          <w:tcPr>
            <w:tcW w:w="760" w:type="dxa"/>
            <w:vAlign w:val="bottom"/>
            <w:vMerge w:val="restart"/>
            <w:shd w:val="clear" w:color="auto" w:fill="CFF0FC"/>
          </w:tcPr>
          <w:p>
            <w:pPr>
              <w:ind w:left="640"/>
              <w:spacing w:after="0"/>
              <w:rPr>
                <w:sz w:val="20"/>
                <w:szCs w:val="20"/>
                <w:color w:val="auto"/>
              </w:rPr>
            </w:pPr>
            <w:r>
              <w:rPr>
                <w:rFonts w:ascii="Calibri" w:cs="Calibri" w:eastAsia="Calibri" w:hAnsi="Calibri"/>
                <w:sz w:val="13"/>
                <w:szCs w:val="13"/>
                <w:color w:val="auto"/>
                <w:w w:val="84"/>
              </w:rPr>
              <w:t>—</w:t>
            </w:r>
          </w:p>
        </w:tc>
        <w:tc>
          <w:tcPr>
            <w:tcW w:w="100" w:type="dxa"/>
            <w:vAlign w:val="bottom"/>
            <w:shd w:val="clear" w:color="auto" w:fill="CFF0FC"/>
          </w:tcPr>
          <w:p>
            <w:pPr>
              <w:spacing w:after="0"/>
              <w:rPr>
                <w:sz w:val="13"/>
                <w:szCs w:val="13"/>
                <w:color w:val="auto"/>
              </w:rPr>
            </w:pPr>
          </w:p>
        </w:tc>
        <w:tc>
          <w:tcPr>
            <w:tcW w:w="400" w:type="dxa"/>
            <w:vAlign w:val="bottom"/>
            <w:gridSpan w:val="3"/>
            <w:vMerge w:val="restart"/>
            <w:shd w:val="clear" w:color="auto" w:fill="CFF0FC"/>
          </w:tcPr>
          <w:p>
            <w:pPr>
              <w:jc w:val="center"/>
              <w:ind w:right="20"/>
              <w:spacing w:after="0"/>
              <w:rPr>
                <w:sz w:val="20"/>
                <w:szCs w:val="20"/>
                <w:color w:val="auto"/>
              </w:rPr>
            </w:pPr>
            <w:r>
              <w:rPr>
                <w:rFonts w:ascii="Calibri" w:cs="Calibri" w:eastAsia="Calibri" w:hAnsi="Calibri"/>
                <w:sz w:val="13"/>
                <w:szCs w:val="13"/>
                <w:color w:val="auto"/>
                <w:w w:val="84"/>
              </w:rPr>
              <w:t>—</w:t>
            </w:r>
          </w:p>
        </w:tc>
        <w:tc>
          <w:tcPr>
            <w:tcW w:w="680" w:type="dxa"/>
            <w:vAlign w:val="bottom"/>
            <w:gridSpan w:val="2"/>
            <w:vMerge w:val="restart"/>
            <w:shd w:val="clear" w:color="auto" w:fill="CFF0FC"/>
          </w:tcPr>
          <w:p>
            <w:pPr>
              <w:jc w:val="right"/>
              <w:ind w:right="60"/>
              <w:spacing w:after="0"/>
              <w:rPr>
                <w:sz w:val="20"/>
                <w:szCs w:val="20"/>
                <w:color w:val="auto"/>
              </w:rPr>
            </w:pPr>
            <w:r>
              <w:rPr>
                <w:rFonts w:ascii="Calibri" w:cs="Calibri" w:eastAsia="Calibri" w:hAnsi="Calibri"/>
                <w:sz w:val="13"/>
                <w:szCs w:val="13"/>
                <w:color w:val="auto"/>
              </w:rPr>
              <w:t>(120 )</w:t>
            </w:r>
          </w:p>
        </w:tc>
        <w:tc>
          <w:tcPr>
            <w:tcW w:w="660" w:type="dxa"/>
            <w:vAlign w:val="bottom"/>
            <w:vMerge w:val="restart"/>
            <w:shd w:val="clear" w:color="auto" w:fill="CFF0FC"/>
          </w:tcPr>
          <w:p>
            <w:pPr>
              <w:ind w:left="540"/>
              <w:spacing w:after="0"/>
              <w:rPr>
                <w:sz w:val="20"/>
                <w:szCs w:val="20"/>
                <w:color w:val="auto"/>
              </w:rPr>
            </w:pPr>
            <w:r>
              <w:rPr>
                <w:rFonts w:ascii="Calibri" w:cs="Calibri" w:eastAsia="Calibri" w:hAnsi="Calibri"/>
                <w:sz w:val="13"/>
                <w:szCs w:val="13"/>
                <w:color w:val="auto"/>
                <w:w w:val="84"/>
              </w:rPr>
              <w:t>—</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ind w:left="80"/>
              <w:spacing w:after="0"/>
              <w:rPr>
                <w:sz w:val="20"/>
                <w:szCs w:val="20"/>
                <w:color w:val="auto"/>
              </w:rPr>
            </w:pPr>
            <w:r>
              <w:rPr>
                <w:rFonts w:ascii="Calibri" w:cs="Calibri" w:eastAsia="Calibri" w:hAnsi="Calibri"/>
                <w:sz w:val="13"/>
                <w:szCs w:val="13"/>
                <w:color w:val="auto"/>
                <w:w w:val="84"/>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3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Calibri" w:cs="Calibri" w:eastAsia="Calibri" w:hAnsi="Calibri"/>
                <w:sz w:val="13"/>
                <w:szCs w:val="13"/>
                <w:color w:val="auto"/>
              </w:rPr>
              <w:t>(120 )</w:t>
            </w:r>
          </w:p>
        </w:tc>
        <w:tc>
          <w:tcPr>
            <w:tcW w:w="0" w:type="dxa"/>
            <w:vAlign w:val="bottom"/>
          </w:tcPr>
          <w:p>
            <w:pPr>
              <w:spacing w:after="0"/>
              <w:rPr>
                <w:sz w:val="1"/>
                <w:szCs w:val="1"/>
                <w:color w:val="auto"/>
              </w:rPr>
            </w:pPr>
          </w:p>
        </w:tc>
      </w:tr>
      <w:tr>
        <w:trPr>
          <w:trHeight w:val="154"/>
        </w:trPr>
        <w:tc>
          <w:tcPr>
            <w:tcW w:w="96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former parent</w:t>
            </w:r>
          </w:p>
        </w:tc>
        <w:tc>
          <w:tcPr>
            <w:tcW w:w="3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tcBorders>
              <w:right w:val="single" w:sz="8" w:color="auto"/>
            </w:tcBorders>
            <w:gridSpan w:val="2"/>
            <w:vMerge w:val="continue"/>
            <w:shd w:val="clear" w:color="auto" w:fill="CFF0FC"/>
          </w:tcPr>
          <w:p>
            <w:pPr>
              <w:spacing w:after="0"/>
              <w:rPr>
                <w:sz w:val="13"/>
                <w:szCs w:val="13"/>
                <w:color w:val="auto"/>
              </w:rPr>
            </w:pPr>
          </w:p>
        </w:tc>
        <w:tc>
          <w:tcPr>
            <w:tcW w:w="26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gridSpan w:val="2"/>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gridSpan w:val="2"/>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680" w:type="dxa"/>
            <w:vAlign w:val="bottom"/>
            <w:gridSpan w:val="2"/>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60" w:type="dxa"/>
            <w:vAlign w:val="bottom"/>
            <w:tcBorders>
              <w:top w:val="single" w:sz="8" w:color="CFF0FC"/>
            </w:tcBorders>
          </w:tcPr>
          <w:p>
            <w:pPr>
              <w:ind w:left="20"/>
              <w:spacing w:after="0" w:line="151" w:lineRule="exact"/>
              <w:rPr>
                <w:sz w:val="20"/>
                <w:szCs w:val="20"/>
                <w:color w:val="auto"/>
              </w:rPr>
            </w:pPr>
            <w:r>
              <w:rPr>
                <w:rFonts w:ascii="Calibri" w:cs="Calibri" w:eastAsia="Calibri" w:hAnsi="Calibri"/>
                <w:sz w:val="13"/>
                <w:szCs w:val="13"/>
                <w:b w:val="1"/>
                <w:bCs w:val="1"/>
                <w:color w:val="auto"/>
              </w:rPr>
              <w:t>Balances at</w:t>
            </w: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CFF0FC"/>
              <w:right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December 31,</w:t>
            </w:r>
          </w:p>
        </w:tc>
        <w:tc>
          <w:tcPr>
            <w:tcW w:w="34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Calibri" w:cs="Calibri" w:eastAsia="Calibri" w:hAnsi="Calibri"/>
                <w:sz w:val="13"/>
                <w:szCs w:val="13"/>
                <w:b w:val="1"/>
                <w:bCs w:val="1"/>
                <w:color w:val="auto"/>
              </w:rPr>
              <w:t>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2020</w:t>
            </w:r>
          </w:p>
        </w:tc>
        <w:tc>
          <w:tcPr>
            <w:tcW w:w="34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200" w:type="dxa"/>
            <w:vAlign w:val="bottom"/>
            <w:gridSpan w:val="2"/>
          </w:tcPr>
          <w:p>
            <w:pPr>
              <w:jc w:val="center"/>
              <w:ind w:left="37"/>
              <w:spacing w:after="0" w:line="149" w:lineRule="exact"/>
              <w:rPr>
                <w:sz w:val="20"/>
                <w:szCs w:val="20"/>
                <w:color w:val="auto"/>
              </w:rPr>
            </w:pPr>
            <w:r>
              <w:rPr>
                <w:rFonts w:ascii="Calibri" w:cs="Calibri" w:eastAsia="Calibri" w:hAnsi="Calibri"/>
                <w:sz w:val="13"/>
                <w:szCs w:val="13"/>
                <w:b w:val="1"/>
                <w:bCs w:val="1"/>
                <w:color w:val="auto"/>
                <w:w w:val="90"/>
              </w:rPr>
              <w:t>$</w:t>
            </w:r>
          </w:p>
        </w:tc>
        <w:tc>
          <w:tcPr>
            <w:tcW w:w="52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218,288</w:t>
            </w:r>
          </w:p>
        </w:tc>
        <w:tc>
          <w:tcPr>
            <w:tcW w:w="460" w:type="dxa"/>
            <w:vAlign w:val="bottom"/>
            <w:gridSpan w:val="2"/>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240" w:type="dxa"/>
            <w:vAlign w:val="bottom"/>
            <w:gridSpan w:val="2"/>
          </w:tcPr>
          <w:p>
            <w:pPr>
              <w:ind w:left="140"/>
              <w:spacing w:after="0" w:line="149" w:lineRule="exact"/>
              <w:rPr>
                <w:sz w:val="20"/>
                <w:szCs w:val="20"/>
                <w:color w:val="auto"/>
              </w:rPr>
            </w:pPr>
            <w:r>
              <w:rPr>
                <w:rFonts w:ascii="Calibri" w:cs="Calibri" w:eastAsia="Calibri" w:hAnsi="Calibri"/>
                <w:sz w:val="13"/>
                <w:szCs w:val="13"/>
                <w:b w:val="1"/>
                <w:bCs w:val="1"/>
                <w:color w:val="auto"/>
              </w:rPr>
              <w:t>$</w:t>
            </w:r>
          </w:p>
        </w:tc>
        <w:tc>
          <w:tcPr>
            <w:tcW w:w="34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9,939</w:t>
            </w:r>
          </w:p>
        </w:tc>
        <w:tc>
          <w:tcPr>
            <w:tcW w:w="320" w:type="dxa"/>
            <w:vAlign w:val="bottom"/>
            <w:gridSpan w:val="2"/>
          </w:tcPr>
          <w:p>
            <w:pPr>
              <w:ind w:left="140"/>
              <w:spacing w:after="0" w:line="149" w:lineRule="exact"/>
              <w:rPr>
                <w:sz w:val="20"/>
                <w:szCs w:val="20"/>
                <w:color w:val="auto"/>
              </w:rPr>
            </w:pPr>
            <w:r>
              <w:rPr>
                <w:rFonts w:ascii="Calibri" w:cs="Calibri" w:eastAsia="Calibri" w:hAnsi="Calibri"/>
                <w:sz w:val="13"/>
                <w:szCs w:val="13"/>
                <w:b w:val="1"/>
                <w:bCs w:val="1"/>
                <w:color w:val="auto"/>
              </w:rPr>
              <w:t>$</w:t>
            </w:r>
          </w:p>
        </w:tc>
        <w:tc>
          <w:tcPr>
            <w:tcW w:w="680" w:type="dxa"/>
            <w:vAlign w:val="bottom"/>
            <w:tcBorders>
              <w:right w:val="single" w:sz="8" w:color="auto"/>
            </w:tcBorders>
            <w:gridSpan w:val="2"/>
          </w:tcPr>
          <w:p>
            <w:pPr>
              <w:jc w:val="right"/>
              <w:ind w:right="200"/>
              <w:spacing w:after="0" w:line="149" w:lineRule="exact"/>
              <w:rPr>
                <w:sz w:val="20"/>
                <w:szCs w:val="20"/>
                <w:color w:val="auto"/>
              </w:rPr>
            </w:pPr>
            <w:r>
              <w:rPr>
                <w:rFonts w:ascii="Calibri" w:cs="Calibri" w:eastAsia="Calibri" w:hAnsi="Calibri"/>
                <w:sz w:val="13"/>
                <w:szCs w:val="13"/>
                <w:b w:val="1"/>
                <w:bCs w:val="1"/>
                <w:color w:val="auto"/>
              </w:rPr>
              <w:t>—</w:t>
            </w:r>
          </w:p>
        </w:tc>
        <w:tc>
          <w:tcPr>
            <w:tcW w:w="26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12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b w:val="1"/>
                <w:bCs w:val="1"/>
                <w:color w:val="auto"/>
              </w:rPr>
              <w:t>$ —</w:t>
            </w:r>
          </w:p>
        </w:tc>
        <w:tc>
          <w:tcPr>
            <w:tcW w:w="680" w:type="dxa"/>
            <w:vAlign w:val="bottom"/>
          </w:tcPr>
          <w:p>
            <w:pPr>
              <w:ind w:left="560"/>
              <w:spacing w:after="0" w:line="149" w:lineRule="exact"/>
              <w:rPr>
                <w:sz w:val="20"/>
                <w:szCs w:val="20"/>
                <w:color w:val="auto"/>
              </w:rPr>
            </w:pPr>
            <w:r>
              <w:rPr>
                <w:rFonts w:ascii="Calibri" w:cs="Calibri" w:eastAsia="Calibri" w:hAnsi="Calibri"/>
                <w:sz w:val="13"/>
                <w:szCs w:val="13"/>
                <w:b w:val="1"/>
                <w:bCs w:val="1"/>
                <w:color w:val="auto"/>
                <w:w w:val="84"/>
              </w:rPr>
              <w:t>—</w:t>
            </w:r>
          </w:p>
        </w:tc>
        <w:tc>
          <w:tcPr>
            <w:tcW w:w="10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Calibri" w:cs="Calibri" w:eastAsia="Calibri" w:hAnsi="Calibri"/>
                <w:sz w:val="13"/>
                <w:szCs w:val="13"/>
                <w:b w:val="1"/>
                <w:bCs w:val="1"/>
                <w:color w:val="auto"/>
              </w:rPr>
              <w:t>$ —</w:t>
            </w:r>
          </w:p>
        </w:tc>
        <w:tc>
          <w:tcPr>
            <w:tcW w:w="760" w:type="dxa"/>
            <w:vAlign w:val="bottom"/>
          </w:tcPr>
          <w:p>
            <w:pPr>
              <w:ind w:left="640"/>
              <w:spacing w:after="0" w:line="149" w:lineRule="exact"/>
              <w:rPr>
                <w:sz w:val="20"/>
                <w:szCs w:val="20"/>
                <w:color w:val="auto"/>
              </w:rPr>
            </w:pPr>
            <w:r>
              <w:rPr>
                <w:rFonts w:ascii="Calibri" w:cs="Calibri" w:eastAsia="Calibri" w:hAnsi="Calibri"/>
                <w:sz w:val="13"/>
                <w:szCs w:val="13"/>
                <w:b w:val="1"/>
                <w:bCs w:val="1"/>
                <w:color w:val="auto"/>
                <w:w w:val="84"/>
              </w:rPr>
              <w:t>—</w:t>
            </w:r>
          </w:p>
        </w:tc>
        <w:tc>
          <w:tcPr>
            <w:tcW w:w="100" w:type="dxa"/>
            <w:vAlign w:val="bottom"/>
          </w:tcPr>
          <w:p>
            <w:pPr>
              <w:spacing w:after="0"/>
              <w:rPr>
                <w:sz w:val="12"/>
                <w:szCs w:val="12"/>
                <w:color w:val="auto"/>
              </w:rPr>
            </w:pPr>
          </w:p>
        </w:tc>
        <w:tc>
          <w:tcPr>
            <w:tcW w:w="400" w:type="dxa"/>
            <w:vAlign w:val="bottom"/>
            <w:gridSpan w:val="3"/>
          </w:tcPr>
          <w:p>
            <w:pPr>
              <w:jc w:val="center"/>
              <w:ind w:right="20"/>
              <w:spacing w:after="0" w:line="149" w:lineRule="exact"/>
              <w:rPr>
                <w:sz w:val="20"/>
                <w:szCs w:val="20"/>
                <w:color w:val="auto"/>
              </w:rPr>
            </w:pPr>
            <w:r>
              <w:rPr>
                <w:rFonts w:ascii="Calibri" w:cs="Calibri" w:eastAsia="Calibri" w:hAnsi="Calibri"/>
                <w:sz w:val="13"/>
                <w:szCs w:val="13"/>
                <w:b w:val="1"/>
                <w:bCs w:val="1"/>
                <w:color w:val="auto"/>
              </w:rPr>
              <w:t>$ — $</w:t>
            </w:r>
          </w:p>
        </w:tc>
        <w:tc>
          <w:tcPr>
            <w:tcW w:w="56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755,716</w:t>
            </w:r>
          </w:p>
        </w:tc>
        <w:tc>
          <w:tcPr>
            <w:tcW w:w="120" w:type="dxa"/>
            <w:vAlign w:val="bottom"/>
          </w:tcPr>
          <w:p>
            <w:pPr>
              <w:spacing w:after="0"/>
              <w:rPr>
                <w:sz w:val="12"/>
                <w:szCs w:val="12"/>
                <w:color w:val="auto"/>
              </w:rPr>
            </w:pPr>
          </w:p>
        </w:tc>
        <w:tc>
          <w:tcPr>
            <w:tcW w:w="660" w:type="dxa"/>
            <w:vAlign w:val="bottom"/>
          </w:tcPr>
          <w:p>
            <w:pPr>
              <w:ind w:left="540"/>
              <w:spacing w:after="0" w:line="149" w:lineRule="exact"/>
              <w:rPr>
                <w:sz w:val="20"/>
                <w:szCs w:val="20"/>
                <w:color w:val="auto"/>
              </w:rPr>
            </w:pPr>
            <w:r>
              <w:rPr>
                <w:rFonts w:ascii="Calibri" w:cs="Calibri" w:eastAsia="Calibri" w:hAnsi="Calibri"/>
                <w:sz w:val="13"/>
                <w:szCs w:val="13"/>
                <w:b w:val="1"/>
                <w:bCs w:val="1"/>
                <w:color w:val="auto"/>
                <w:w w:val="84"/>
              </w:rPr>
              <w:t>—</w:t>
            </w:r>
          </w:p>
        </w:tc>
        <w:tc>
          <w:tcPr>
            <w:tcW w:w="420" w:type="dxa"/>
            <w:vAlign w:val="bottom"/>
            <w:gridSpan w:val="2"/>
          </w:tcPr>
          <w:p>
            <w:pPr>
              <w:jc w:val="right"/>
              <w:ind w:right="177"/>
              <w:spacing w:after="0" w:line="149" w:lineRule="exact"/>
              <w:rPr>
                <w:sz w:val="20"/>
                <w:szCs w:val="20"/>
                <w:color w:val="auto"/>
              </w:rPr>
            </w:pPr>
            <w:r>
              <w:rPr>
                <w:rFonts w:ascii="Calibri" w:cs="Calibri" w:eastAsia="Calibri" w:hAnsi="Calibri"/>
                <w:sz w:val="13"/>
                <w:szCs w:val="13"/>
                <w:b w:val="1"/>
                <w:bCs w:val="1"/>
                <w:color w:val="auto"/>
              </w:rPr>
              <w:t>$</w:t>
            </w:r>
          </w:p>
        </w:tc>
        <w:tc>
          <w:tcPr>
            <w:tcW w:w="200" w:type="dxa"/>
            <w:vAlign w:val="bottom"/>
          </w:tcPr>
          <w:p>
            <w:pPr>
              <w:ind w:left="80"/>
              <w:spacing w:after="0" w:line="149" w:lineRule="exact"/>
              <w:rPr>
                <w:sz w:val="20"/>
                <w:szCs w:val="20"/>
                <w:color w:val="auto"/>
              </w:rPr>
            </w:pPr>
            <w:r>
              <w:rPr>
                <w:rFonts w:ascii="Calibri" w:cs="Calibri" w:eastAsia="Calibri" w:hAnsi="Calibri"/>
                <w:sz w:val="13"/>
                <w:szCs w:val="13"/>
                <w:b w:val="1"/>
                <w:bCs w:val="1"/>
                <w:color w:val="auto"/>
                <w:w w:val="84"/>
              </w:rPr>
              <w:t>—</w:t>
            </w:r>
          </w:p>
        </w:tc>
        <w:tc>
          <w:tcPr>
            <w:tcW w:w="200" w:type="dxa"/>
            <w:vAlign w:val="bottom"/>
            <w:gridSpan w:val="2"/>
          </w:tcPr>
          <w:p>
            <w:pPr>
              <w:ind w:left="120"/>
              <w:spacing w:after="0" w:line="149" w:lineRule="exact"/>
              <w:rPr>
                <w:sz w:val="20"/>
                <w:szCs w:val="20"/>
                <w:color w:val="auto"/>
              </w:rPr>
            </w:pPr>
            <w:r>
              <w:rPr>
                <w:rFonts w:ascii="Calibri" w:cs="Calibri" w:eastAsia="Calibri" w:hAnsi="Calibri"/>
                <w:sz w:val="13"/>
                <w:szCs w:val="13"/>
                <w:b w:val="1"/>
                <w:bCs w:val="1"/>
                <w:color w:val="auto"/>
                <w:w w:val="90"/>
              </w:rPr>
              <w:t>$</w:t>
            </w:r>
          </w:p>
        </w:tc>
        <w:tc>
          <w:tcPr>
            <w:tcW w:w="820" w:type="dxa"/>
            <w:vAlign w:val="bottom"/>
            <w:gridSpan w:val="3"/>
          </w:tcPr>
          <w:p>
            <w:pPr>
              <w:jc w:val="right"/>
              <w:spacing w:after="0" w:line="149" w:lineRule="exact"/>
              <w:rPr>
                <w:sz w:val="20"/>
                <w:szCs w:val="20"/>
                <w:color w:val="auto"/>
              </w:rPr>
            </w:pPr>
            <w:r>
              <w:rPr>
                <w:rFonts w:ascii="Calibri" w:cs="Calibri" w:eastAsia="Calibri" w:hAnsi="Calibri"/>
                <w:sz w:val="13"/>
                <w:szCs w:val="13"/>
                <w:b w:val="1"/>
                <w:bCs w:val="1"/>
                <w:color w:val="auto"/>
              </w:rPr>
              <w:t>(1,026,675 ) $</w:t>
            </w:r>
          </w:p>
        </w:tc>
        <w:tc>
          <w:tcPr>
            <w:tcW w:w="520" w:type="dxa"/>
            <w:vAlign w:val="bottom"/>
            <w:gridSpan w:val="3"/>
          </w:tcPr>
          <w:p>
            <w:pPr>
              <w:jc w:val="right"/>
              <w:spacing w:after="0" w:line="149" w:lineRule="exact"/>
              <w:rPr>
                <w:sz w:val="20"/>
                <w:szCs w:val="20"/>
                <w:color w:val="auto"/>
              </w:rPr>
            </w:pPr>
            <w:r>
              <w:rPr>
                <w:rFonts w:ascii="Calibri" w:cs="Calibri" w:eastAsia="Calibri" w:hAnsi="Calibri"/>
                <w:sz w:val="13"/>
                <w:szCs w:val="13"/>
                <w:b w:val="1"/>
                <w:bCs w:val="1"/>
                <w:color w:val="auto"/>
              </w:rPr>
              <w:t>(822 ) $</w:t>
            </w:r>
          </w:p>
        </w:tc>
        <w:tc>
          <w:tcPr>
            <w:tcW w:w="7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b w:val="1"/>
                <w:bCs w:val="1"/>
                <w:color w:val="auto"/>
              </w:rPr>
              <w:t>(271,781 )</w:t>
            </w: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Net loss prior to</w:t>
            </w: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reverse</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6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recapitalizaton</w:t>
            </w:r>
          </w:p>
        </w:tc>
        <w:tc>
          <w:tcPr>
            <w:tcW w:w="3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right w:val="single" w:sz="8" w:color="auto"/>
            </w:tcBorders>
            <w:gridSpan w:val="2"/>
            <w:shd w:val="clear" w:color="auto" w:fill="CFF0FC"/>
          </w:tcPr>
          <w:p>
            <w:pPr>
              <w:jc w:val="right"/>
              <w:ind w:right="20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w:t>
            </w:r>
          </w:p>
        </w:tc>
        <w:tc>
          <w:tcPr>
            <w:tcW w:w="680" w:type="dxa"/>
            <w:vAlign w:val="bottom"/>
            <w:tcBorders>
              <w:bottom w:val="single" w:sz="8" w:color="CFF0FC"/>
            </w:tcBorders>
            <w:shd w:val="clear" w:color="auto" w:fill="CFF0FC"/>
          </w:tcPr>
          <w:p>
            <w:pPr>
              <w:ind w:left="56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gridSpan w:val="2"/>
            <w:shd w:val="clear" w:color="auto" w:fill="CFF0FC"/>
          </w:tcPr>
          <w:p>
            <w:pPr>
              <w:jc w:val="right"/>
              <w:ind w:right="20"/>
              <w:spacing w:after="0" w:line="149" w:lineRule="exact"/>
              <w:rPr>
                <w:sz w:val="20"/>
                <w:szCs w:val="20"/>
                <w:color w:val="auto"/>
              </w:rPr>
            </w:pPr>
            <w:r>
              <w:rPr>
                <w:rFonts w:ascii="Calibri" w:cs="Calibri" w:eastAsia="Calibri" w:hAnsi="Calibri"/>
                <w:sz w:val="13"/>
                <w:szCs w:val="13"/>
                <w:color w:val="auto"/>
              </w:rPr>
              <w:t>—</w:t>
            </w:r>
          </w:p>
        </w:tc>
        <w:tc>
          <w:tcPr>
            <w:tcW w:w="760" w:type="dxa"/>
            <w:vAlign w:val="bottom"/>
            <w:tcBorders>
              <w:bottom w:val="single" w:sz="8" w:color="CFF0FC"/>
            </w:tcBorders>
            <w:shd w:val="clear" w:color="auto" w:fill="CFF0FC"/>
          </w:tcPr>
          <w:p>
            <w:pPr>
              <w:ind w:left="64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gridSpan w:val="3"/>
            <w:shd w:val="clear" w:color="auto" w:fill="CFF0FC"/>
          </w:tcPr>
          <w:p>
            <w:pPr>
              <w:jc w:val="center"/>
              <w:ind w:right="20"/>
              <w:spacing w:after="0" w:line="149" w:lineRule="exact"/>
              <w:rPr>
                <w:sz w:val="20"/>
                <w:szCs w:val="20"/>
                <w:color w:val="auto"/>
              </w:rPr>
            </w:pPr>
            <w:r>
              <w:rPr>
                <w:rFonts w:ascii="Calibri" w:cs="Calibri" w:eastAsia="Calibri" w:hAnsi="Calibri"/>
                <w:sz w:val="13"/>
                <w:szCs w:val="13"/>
                <w:color w:val="auto"/>
                <w:w w:val="84"/>
              </w:rPr>
              <w:t>—</w:t>
            </w:r>
          </w:p>
        </w:tc>
        <w:tc>
          <w:tcPr>
            <w:tcW w:w="68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660" w:type="dxa"/>
            <w:vAlign w:val="bottom"/>
            <w:tcBorders>
              <w:bottom w:val="single" w:sz="8" w:color="CFF0FC"/>
            </w:tcBorders>
            <w:shd w:val="clear" w:color="auto" w:fill="CFF0FC"/>
          </w:tcPr>
          <w:p>
            <w:pPr>
              <w:ind w:left="540"/>
              <w:spacing w:after="0" w:line="149" w:lineRule="exact"/>
              <w:rPr>
                <w:sz w:val="20"/>
                <w:szCs w:val="20"/>
                <w:color w:val="auto"/>
              </w:rPr>
            </w:pPr>
            <w:r>
              <w:rPr>
                <w:rFonts w:ascii="Calibri" w:cs="Calibri" w:eastAsia="Calibri" w:hAnsi="Calibri"/>
                <w:sz w:val="13"/>
                <w:szCs w:val="13"/>
                <w:b w:val="1"/>
                <w:bCs w:val="1"/>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ind w:left="80"/>
              <w:spacing w:after="0" w:line="149" w:lineRule="exact"/>
              <w:rPr>
                <w:sz w:val="20"/>
                <w:szCs w:val="20"/>
                <w:color w:val="auto"/>
              </w:rPr>
            </w:pPr>
            <w:r>
              <w:rPr>
                <w:rFonts w:ascii="Calibri" w:cs="Calibri" w:eastAsia="Calibri" w:hAnsi="Calibri"/>
                <w:sz w:val="13"/>
                <w:szCs w:val="13"/>
                <w:b w:val="1"/>
                <w:bCs w:val="1"/>
                <w:color w:val="auto"/>
                <w:w w:val="84"/>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(12,836 )</w:t>
            </w: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(12,836 )</w:t>
            </w:r>
          </w:p>
        </w:tc>
        <w:tc>
          <w:tcPr>
            <w:tcW w:w="0" w:type="dxa"/>
            <w:vAlign w:val="bottom"/>
          </w:tcPr>
          <w:p>
            <w:pPr>
              <w:spacing w:after="0"/>
              <w:rPr>
                <w:sz w:val="1"/>
                <w:szCs w:val="1"/>
                <w:color w:val="auto"/>
              </w:rPr>
            </w:pPr>
          </w:p>
        </w:tc>
      </w:tr>
      <w:tr>
        <w:trPr>
          <w:trHeight w:val="152"/>
        </w:trPr>
        <w:tc>
          <w:tcPr>
            <w:tcW w:w="960" w:type="dxa"/>
            <w:vAlign w:val="bottom"/>
          </w:tcPr>
          <w:p>
            <w:pPr>
              <w:ind w:left="20"/>
              <w:spacing w:after="0" w:line="152" w:lineRule="exact"/>
              <w:rPr>
                <w:sz w:val="20"/>
                <w:szCs w:val="20"/>
                <w:color w:val="auto"/>
              </w:rPr>
            </w:pPr>
            <w:r>
              <w:rPr>
                <w:rFonts w:ascii="Calibri" w:cs="Calibri" w:eastAsia="Calibri" w:hAnsi="Calibri"/>
                <w:sz w:val="13"/>
                <w:szCs w:val="13"/>
                <w:color w:val="auto"/>
              </w:rPr>
              <w:t>Loss reclassifed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from</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other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comprehensive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loss to earnings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prior to reverse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Calibri" w:cs="Calibri" w:eastAsia="Calibri" w:hAnsi="Calibri"/>
                <w:sz w:val="13"/>
                <w:szCs w:val="13"/>
                <w:color w:val="auto"/>
              </w:rPr>
              <w:t>recapitalizaton</w:t>
            </w:r>
          </w:p>
        </w:tc>
        <w:tc>
          <w:tcPr>
            <w:tcW w:w="34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20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w:t>
            </w:r>
          </w:p>
        </w:tc>
        <w:tc>
          <w:tcPr>
            <w:tcW w:w="680" w:type="dxa"/>
            <w:vAlign w:val="bottom"/>
          </w:tcPr>
          <w:p>
            <w:pPr>
              <w:ind w:left="56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Calibri" w:cs="Calibri" w:eastAsia="Calibri" w:hAnsi="Calibri"/>
                <w:sz w:val="13"/>
                <w:szCs w:val="13"/>
                <w:color w:val="auto"/>
              </w:rPr>
              <w:t>—</w:t>
            </w:r>
          </w:p>
        </w:tc>
        <w:tc>
          <w:tcPr>
            <w:tcW w:w="760" w:type="dxa"/>
            <w:vAlign w:val="bottom"/>
          </w:tcPr>
          <w:p>
            <w:pPr>
              <w:ind w:left="64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400" w:type="dxa"/>
            <w:vAlign w:val="bottom"/>
            <w:gridSpan w:val="3"/>
          </w:tcPr>
          <w:p>
            <w:pPr>
              <w:jc w:val="center"/>
              <w:ind w:right="20"/>
              <w:spacing w:after="0" w:line="149" w:lineRule="exact"/>
              <w:rPr>
                <w:sz w:val="20"/>
                <w:szCs w:val="20"/>
                <w:color w:val="auto"/>
              </w:rPr>
            </w:pPr>
            <w:r>
              <w:rPr>
                <w:rFonts w:ascii="Calibri" w:cs="Calibri" w:eastAsia="Calibri" w:hAnsi="Calibri"/>
                <w:sz w:val="13"/>
                <w:szCs w:val="13"/>
                <w:color w:val="auto"/>
                <w:w w:val="84"/>
              </w:rPr>
              <w:t>—</w:t>
            </w:r>
          </w:p>
        </w:tc>
        <w:tc>
          <w:tcPr>
            <w:tcW w:w="68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660" w:type="dxa"/>
            <w:vAlign w:val="bottom"/>
          </w:tcPr>
          <w:p>
            <w:pPr>
              <w:ind w:left="54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ind w:left="80"/>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Calibri" w:cs="Calibri" w:eastAsia="Calibri" w:hAnsi="Calibri"/>
                <w:sz w:val="13"/>
                <w:szCs w:val="13"/>
                <w:color w:val="auto"/>
              </w:rPr>
              <w:t>822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alibri" w:cs="Calibri" w:eastAsia="Calibri" w:hAnsi="Calibri"/>
                <w:sz w:val="13"/>
                <w:szCs w:val="13"/>
                <w:color w:val="auto"/>
              </w:rPr>
              <w:t>822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-1379220</wp:posOffset>
            </wp:positionV>
            <wp:extent cx="76835" cy="3086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-1379220</wp:posOffset>
            </wp:positionV>
            <wp:extent cx="76835" cy="3086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-1379220</wp:posOffset>
            </wp:positionV>
            <wp:extent cx="76835" cy="308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-1379220</wp:posOffset>
            </wp:positionV>
            <wp:extent cx="76835" cy="3086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-1379220</wp:posOffset>
            </wp:positionV>
            <wp:extent cx="76835" cy="308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-1379220</wp:posOffset>
            </wp:positionV>
            <wp:extent cx="76835" cy="3086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-1379220</wp:posOffset>
            </wp:positionV>
            <wp:extent cx="77470" cy="3086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-1379220</wp:posOffset>
            </wp:positionV>
            <wp:extent cx="68580" cy="308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-1379220</wp:posOffset>
            </wp:positionV>
            <wp:extent cx="68580" cy="3086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-1379220</wp:posOffset>
            </wp:positionV>
            <wp:extent cx="68580" cy="3086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-1379220</wp:posOffset>
            </wp:positionV>
            <wp:extent cx="68580" cy="308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-1379220</wp:posOffset>
            </wp:positionV>
            <wp:extent cx="68580" cy="308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-1379220</wp:posOffset>
            </wp:positionV>
            <wp:extent cx="68580" cy="3086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-1379220</wp:posOffset>
            </wp:positionV>
            <wp:extent cx="68580" cy="308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-1379220</wp:posOffset>
            </wp:positionV>
            <wp:extent cx="68580" cy="3086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-1379220</wp:posOffset>
            </wp:positionV>
            <wp:extent cx="68580" cy="308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308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308610"/>
                    </a:xfrm>
                    <a:prstGeom prst="rect">
                      <a:avLst/>
                    </a:prstGeom>
                    <a:noFill/>
                  </pic:spPr>
                </pic:pic>
              </a:graphicData>
            </a:graphic>
          </wp:anchor>
        </w:drawing>
      </w:r>
    </w:p>
    <w:p>
      <w:pPr>
        <w:jc w:val="center"/>
        <w:ind w:right="-19"/>
        <w:spacing w:after="0" w:line="210" w:lineRule="auto"/>
        <w:rPr>
          <w:sz w:val="20"/>
          <w:szCs w:val="20"/>
          <w:color w:val="auto"/>
        </w:rPr>
      </w:pPr>
      <w:r>
        <w:rPr>
          <w:rFonts w:ascii="Calibri" w:cs="Calibri" w:eastAsia="Calibri" w:hAnsi="Calibri"/>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EQUITY (DEFICIT)</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share/unit data)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0" w:type="dxa"/>
            <w:vAlign w:val="bottom"/>
            <w:shd w:val="clear" w:color="auto" w:fill="CFF0FC"/>
          </w:tcPr>
          <w:p>
            <w:pPr>
              <w:ind w:left="20"/>
              <w:spacing w:after="0"/>
              <w:rPr>
                <w:sz w:val="20"/>
                <w:szCs w:val="20"/>
                <w:color w:val="auto"/>
              </w:rPr>
            </w:pPr>
            <w:r>
              <w:rPr>
                <w:rFonts w:ascii="Calibri" w:cs="Calibri" w:eastAsia="Calibri" w:hAnsi="Calibri"/>
                <w:sz w:val="13"/>
                <w:szCs w:val="13"/>
                <w:color w:val="auto"/>
              </w:rPr>
              <w:t>Deemed</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contributon</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from former</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parent prior to</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reverse</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recapitalizaton</w:t>
            </w:r>
          </w:p>
        </w:tc>
        <w:tc>
          <w:tcPr>
            <w:tcW w:w="540" w:type="dxa"/>
            <w:vAlign w:val="bottom"/>
            <w:tcBorders>
              <w:bottom w:val="single" w:sz="8" w:color="CFF0FC"/>
            </w:tcBorders>
            <w:gridSpan w:val="3"/>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gridSpan w:val="2"/>
            <w:shd w:val="clear" w:color="auto" w:fill="CFF0FC"/>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560" w:type="dxa"/>
            <w:vAlign w:val="bottom"/>
            <w:tcBorders>
              <w:bottom w:val="single" w:sz="8" w:color="CFF0FC"/>
            </w:tcBorders>
            <w:gridSpan w:val="3"/>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80" w:type="dxa"/>
            <w:vAlign w:val="bottom"/>
            <w:tcBorders>
              <w:bottom w:val="single" w:sz="8" w:color="CFF0FC"/>
            </w:tcBorders>
            <w:gridSpan w:val="2"/>
            <w:shd w:val="clear" w:color="auto" w:fill="CFF0FC"/>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tcBorders>
              <w:bottom w:val="single" w:sz="8" w:color="CFF0FC"/>
              <w:right w:val="single" w:sz="8" w:color="auto"/>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tcBorders>
              <w:bottom w:val="single" w:sz="8" w:color="CFF0FC"/>
            </w:tcBorders>
            <w:gridSpan w:val="2"/>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7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3,692</w:t>
            </w:r>
          </w:p>
        </w:tc>
        <w:tc>
          <w:tcPr>
            <w:tcW w:w="1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3"/>
            <w:shd w:val="clear" w:color="auto" w:fill="CFF0FC"/>
          </w:tcPr>
          <w:p>
            <w:pPr>
              <w:ind w:left="52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tcBorders>
              <w:bottom w:val="single" w:sz="8" w:color="CFF0FC"/>
            </w:tcBorders>
            <w:shd w:val="clear" w:color="auto" w:fill="CFF0FC"/>
          </w:tcPr>
          <w:p>
            <w:pPr>
              <w:ind w:left="16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3"/>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460" w:type="dxa"/>
            <w:vAlign w:val="bottom"/>
            <w:tcBorders>
              <w:bottom w:val="single" w:sz="8" w:color="CFF0FC"/>
            </w:tcBorders>
            <w:gridSpan w:val="3"/>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6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3,692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0"/>
              <w:spacing w:after="0" w:line="152" w:lineRule="exact"/>
              <w:rPr>
                <w:sz w:val="20"/>
                <w:szCs w:val="20"/>
                <w:color w:val="auto"/>
              </w:rPr>
            </w:pPr>
            <w:r>
              <w:rPr>
                <w:rFonts w:ascii="Calibri" w:cs="Calibri" w:eastAsia="Calibri" w:hAnsi="Calibri"/>
                <w:sz w:val="13"/>
                <w:szCs w:val="13"/>
                <w:color w:val="auto"/>
              </w:rPr>
              <w:t>Accreton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senior preferred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units prior to</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reverse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recapitalizaton</w:t>
            </w:r>
          </w:p>
        </w:tc>
        <w:tc>
          <w:tcPr>
            <w:tcW w:w="540" w:type="dxa"/>
            <w:vAlign w:val="bottom"/>
            <w:gridSpan w:val="3"/>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17,738</w:t>
            </w:r>
          </w:p>
        </w:tc>
        <w:tc>
          <w:tcPr>
            <w:tcW w:w="140" w:type="dxa"/>
            <w:vAlign w:val="bottom"/>
          </w:tcPr>
          <w:p>
            <w:pPr>
              <w:spacing w:after="0"/>
              <w:rPr>
                <w:sz w:val="12"/>
                <w:szCs w:val="12"/>
                <w:color w:val="auto"/>
              </w:rPr>
            </w:pPr>
          </w:p>
        </w:tc>
        <w:tc>
          <w:tcPr>
            <w:tcW w:w="560" w:type="dxa"/>
            <w:vAlign w:val="bottom"/>
            <w:gridSpan w:val="3"/>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80" w:type="dxa"/>
            <w:vAlign w:val="bottom"/>
            <w:gridSpan w:val="2"/>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tcBorders>
              <w:right w:val="single" w:sz="8" w:color="auto"/>
            </w:tcBorders>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gridSpan w:val="2"/>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20"/>
              <w:spacing w:after="0" w:line="149" w:lineRule="exact"/>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(17,738 )</w:t>
            </w:r>
          </w:p>
        </w:tc>
        <w:tc>
          <w:tcPr>
            <w:tcW w:w="980" w:type="dxa"/>
            <w:vAlign w:val="bottom"/>
            <w:gridSpan w:val="3"/>
          </w:tcPr>
          <w:p>
            <w:pPr>
              <w:ind w:left="52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tcPr>
          <w:p>
            <w:pPr>
              <w:ind w:left="16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1000" w:type="dxa"/>
            <w:vAlign w:val="bottom"/>
            <w:gridSpan w:val="3"/>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460" w:type="dxa"/>
            <w:vAlign w:val="bottom"/>
            <w:gridSpan w:val="3"/>
          </w:tcPr>
          <w:p>
            <w:pPr>
              <w:ind w:left="120"/>
              <w:spacing w:after="0" w:line="149" w:lineRule="exact"/>
              <w:rPr>
                <w:sz w:val="20"/>
                <w:szCs w:val="20"/>
                <w:color w:val="auto"/>
              </w:rPr>
            </w:pPr>
            <w:r>
              <w:rPr>
                <w:rFonts w:ascii="Calibri" w:cs="Calibri" w:eastAsia="Calibri" w:hAnsi="Calibri"/>
                <w:sz w:val="13"/>
                <w:szCs w:val="13"/>
                <w:color w:val="auto"/>
              </w:rPr>
              <w:t>—</w:t>
            </w:r>
          </w:p>
        </w:tc>
        <w:tc>
          <w:tcPr>
            <w:tcW w:w="7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(17,738 )</w:t>
            </w: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2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Reverse</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recapitalizaton,</w:t>
            </w:r>
          </w:p>
        </w:tc>
        <w:tc>
          <w:tcPr>
            <w:tcW w:w="3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(9,93</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76,948,43</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118,200,00</w:t>
            </w:r>
          </w:p>
        </w:tc>
        <w:tc>
          <w:tcPr>
            <w:tcW w:w="320" w:type="dxa"/>
            <w:vAlign w:val="bottom"/>
            <w:gridSpan w:val="2"/>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net</w:t>
            </w:r>
          </w:p>
        </w:tc>
        <w:tc>
          <w:tcPr>
            <w:tcW w:w="42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00 )</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2"/>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(236,026 )</w:t>
            </w:r>
          </w:p>
        </w:tc>
        <w:tc>
          <w:tcPr>
            <w:tcW w:w="440" w:type="dxa"/>
            <w:vAlign w:val="bottom"/>
            <w:tcBorders>
              <w:bottom w:val="single" w:sz="8" w:color="CFF0FC"/>
            </w:tcBorders>
            <w:gridSpan w:val="2"/>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00 )</w:t>
            </w:r>
          </w:p>
        </w:tc>
        <w:tc>
          <w:tcPr>
            <w:tcW w:w="12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gridSpan w:val="2"/>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9 )</w:t>
            </w: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84,874</w:t>
            </w:r>
          </w:p>
        </w:tc>
        <w:tc>
          <w:tcPr>
            <w:tcW w:w="240" w:type="dxa"/>
            <w:vAlign w:val="bottom"/>
            <w:tcBorders>
              <w:bottom w:val="single" w:sz="8" w:color="CFF0FC"/>
              <w:right w:val="single" w:sz="8" w:color="auto"/>
            </w:tcBorders>
            <w:shd w:val="clear" w:color="auto" w:fill="CFF0FC"/>
          </w:tcPr>
          <w:p>
            <w:pPr>
              <w:spacing w:after="0"/>
              <w:rPr>
                <w:sz w:val="13"/>
                <w:szCs w:val="13"/>
                <w:color w:val="auto"/>
              </w:rPr>
            </w:pPr>
          </w:p>
        </w:tc>
        <w:tc>
          <w:tcPr>
            <w:tcW w:w="3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00 )</w:t>
            </w:r>
          </w:p>
        </w:tc>
        <w:tc>
          <w:tcPr>
            <w:tcW w:w="340" w:type="dxa"/>
            <w:vAlign w:val="bottom"/>
            <w:tcBorders>
              <w:bottom w:val="single" w:sz="8" w:color="CFF0FC"/>
            </w:tcBorders>
            <w:gridSpan w:val="2"/>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w:t>
            </w:r>
          </w:p>
        </w:tc>
        <w:tc>
          <w:tcPr>
            <w:tcW w:w="320" w:type="dxa"/>
            <w:vAlign w:val="bottom"/>
            <w:tcBorders>
              <w:bottom w:val="single" w:sz="8" w:color="CFF0FC"/>
            </w:tcBorders>
            <w:gridSpan w:val="2"/>
            <w:shd w:val="clear" w:color="auto" w:fill="CFF0FC"/>
          </w:tcPr>
          <w:p>
            <w:pPr>
              <w:ind w:left="240"/>
              <w:spacing w:after="0" w:line="149" w:lineRule="exact"/>
              <w:rPr>
                <w:sz w:val="20"/>
                <w:szCs w:val="20"/>
                <w:color w:val="auto"/>
              </w:rPr>
            </w:pPr>
            <w:r>
              <w:rPr>
                <w:rFonts w:ascii="Calibri" w:cs="Calibri" w:eastAsia="Calibri" w:hAnsi="Calibri"/>
                <w:sz w:val="13"/>
                <w:szCs w:val="13"/>
                <w:color w:val="auto"/>
                <w:w w:val="90"/>
              </w:rPr>
              <w:t>8</w:t>
            </w: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0</w:t>
            </w:r>
          </w:p>
        </w:tc>
        <w:tc>
          <w:tcPr>
            <w:tcW w:w="32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637,341</w:t>
            </w:r>
          </w:p>
        </w:tc>
        <w:tc>
          <w:tcPr>
            <w:tcW w:w="1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3"/>
            <w:shd w:val="clear" w:color="auto" w:fill="CFF0FC"/>
          </w:tcPr>
          <w:p>
            <w:pPr>
              <w:ind w:left="52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tcBorders>
              <w:bottom w:val="single" w:sz="8" w:color="CFF0FC"/>
            </w:tcBorders>
            <w:shd w:val="clear" w:color="auto" w:fill="CFF0FC"/>
          </w:tcPr>
          <w:p>
            <w:pPr>
              <w:ind w:left="16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3"/>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460" w:type="dxa"/>
            <w:vAlign w:val="bottom"/>
            <w:tcBorders>
              <w:bottom w:val="single" w:sz="8" w:color="CFF0FC"/>
            </w:tcBorders>
            <w:gridSpan w:val="3"/>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6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637,361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0"/>
              <w:spacing w:after="0" w:line="152" w:lineRule="exact"/>
              <w:rPr>
                <w:sz w:val="20"/>
                <w:szCs w:val="20"/>
                <w:color w:val="auto"/>
              </w:rPr>
            </w:pPr>
            <w:r>
              <w:rPr>
                <w:rFonts w:ascii="Calibri" w:cs="Calibri" w:eastAsia="Calibri" w:hAnsi="Calibri"/>
                <w:sz w:val="13"/>
                <w:szCs w:val="13"/>
                <w:color w:val="auto"/>
              </w:rPr>
              <w:t>Net loss afer</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reverse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recapitalizaton</w:t>
            </w:r>
          </w:p>
        </w:tc>
        <w:tc>
          <w:tcPr>
            <w:tcW w:w="540" w:type="dxa"/>
            <w:vAlign w:val="bottom"/>
            <w:gridSpan w:val="3"/>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gridSpan w:val="2"/>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560" w:type="dxa"/>
            <w:vAlign w:val="bottom"/>
            <w:gridSpan w:val="3"/>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80" w:type="dxa"/>
            <w:vAlign w:val="bottom"/>
            <w:gridSpan w:val="2"/>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tcBorders>
              <w:right w:val="single" w:sz="8" w:color="auto"/>
            </w:tcBorders>
            <w:gridSpan w:val="2"/>
          </w:tcPr>
          <w:p>
            <w:pPr>
              <w:jc w:val="right"/>
              <w:ind w:right="200"/>
              <w:spacing w:after="0" w:line="149" w:lineRule="exact"/>
              <w:rPr>
                <w:sz w:val="20"/>
                <w:szCs w:val="20"/>
                <w:color w:val="auto"/>
              </w:rPr>
            </w:pPr>
            <w:r>
              <w:rPr>
                <w:rFonts w:ascii="Calibri" w:cs="Calibri" w:eastAsia="Calibri" w:hAnsi="Calibri"/>
                <w:sz w:val="13"/>
                <w:szCs w:val="13"/>
                <w:color w:val="auto"/>
              </w:rPr>
              <w:t>(3,010 )</w:t>
            </w:r>
          </w:p>
        </w:tc>
        <w:tc>
          <w:tcPr>
            <w:tcW w:w="3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gridSpan w:val="2"/>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20"/>
              <w:spacing w:after="0" w:line="149" w:lineRule="exact"/>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980" w:type="dxa"/>
            <w:vAlign w:val="bottom"/>
            <w:gridSpan w:val="3"/>
          </w:tcPr>
          <w:p>
            <w:pPr>
              <w:ind w:left="52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tcPr>
          <w:p>
            <w:pPr>
              <w:ind w:left="16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3"/>
          </w:tcPr>
          <w:p>
            <w:pPr>
              <w:jc w:val="right"/>
              <w:ind w:right="40"/>
              <w:spacing w:after="0" w:line="149" w:lineRule="exact"/>
              <w:rPr>
                <w:sz w:val="20"/>
                <w:szCs w:val="20"/>
                <w:color w:val="auto"/>
              </w:rPr>
            </w:pPr>
            <w:r>
              <w:rPr>
                <w:rFonts w:ascii="Calibri" w:cs="Calibri" w:eastAsia="Calibri" w:hAnsi="Calibri"/>
                <w:sz w:val="13"/>
                <w:szCs w:val="13"/>
                <w:color w:val="auto"/>
              </w:rPr>
              <w:t>(3,283 )</w:t>
            </w:r>
          </w:p>
        </w:tc>
        <w:tc>
          <w:tcPr>
            <w:tcW w:w="200" w:type="dxa"/>
            <w:vAlign w:val="bottom"/>
          </w:tcPr>
          <w:p>
            <w:pPr>
              <w:spacing w:after="0"/>
              <w:rPr>
                <w:sz w:val="12"/>
                <w:szCs w:val="12"/>
                <w:color w:val="auto"/>
              </w:rPr>
            </w:pPr>
          </w:p>
        </w:tc>
        <w:tc>
          <w:tcPr>
            <w:tcW w:w="460" w:type="dxa"/>
            <w:vAlign w:val="bottom"/>
            <w:gridSpan w:val="3"/>
          </w:tcPr>
          <w:p>
            <w:pPr>
              <w:ind w:left="120"/>
              <w:spacing w:after="0" w:line="149" w:lineRule="exact"/>
              <w:rPr>
                <w:sz w:val="20"/>
                <w:szCs w:val="20"/>
                <w:color w:val="auto"/>
              </w:rPr>
            </w:pPr>
            <w:r>
              <w:rPr>
                <w:rFonts w:ascii="Calibri" w:cs="Calibri" w:eastAsia="Calibri" w:hAnsi="Calibri"/>
                <w:sz w:val="13"/>
                <w:szCs w:val="13"/>
                <w:color w:val="auto"/>
              </w:rPr>
              <w:t>—</w:t>
            </w:r>
          </w:p>
        </w:tc>
        <w:tc>
          <w:tcPr>
            <w:tcW w:w="7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(3,283 )</w:t>
            </w: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2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Deemed</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contributon</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from former</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parent afer</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reverse</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recapitalizaton</w:t>
            </w:r>
          </w:p>
        </w:tc>
        <w:tc>
          <w:tcPr>
            <w:tcW w:w="540" w:type="dxa"/>
            <w:vAlign w:val="bottom"/>
            <w:tcBorders>
              <w:bottom w:val="single" w:sz="8" w:color="CFF0FC"/>
            </w:tcBorders>
            <w:gridSpan w:val="3"/>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gridSpan w:val="2"/>
            <w:shd w:val="clear" w:color="auto" w:fill="CFF0FC"/>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560" w:type="dxa"/>
            <w:vAlign w:val="bottom"/>
            <w:tcBorders>
              <w:bottom w:val="single" w:sz="8" w:color="CFF0FC"/>
            </w:tcBorders>
            <w:gridSpan w:val="3"/>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80" w:type="dxa"/>
            <w:vAlign w:val="bottom"/>
            <w:tcBorders>
              <w:bottom w:val="single" w:sz="8" w:color="CFF0FC"/>
            </w:tcBorders>
            <w:gridSpan w:val="2"/>
            <w:shd w:val="clear" w:color="auto" w:fill="CFF0FC"/>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6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438</w:t>
            </w:r>
          </w:p>
        </w:tc>
        <w:tc>
          <w:tcPr>
            <w:tcW w:w="240" w:type="dxa"/>
            <w:vAlign w:val="bottom"/>
            <w:tcBorders>
              <w:bottom w:val="single" w:sz="8" w:color="CFF0FC"/>
              <w:right w:val="single" w:sz="8" w:color="auto"/>
            </w:tcBorders>
            <w:shd w:val="clear" w:color="auto" w:fill="CFF0FC"/>
          </w:tcPr>
          <w:p>
            <w:pPr>
              <w:spacing w:after="0"/>
              <w:rPr>
                <w:sz w:val="13"/>
                <w:szCs w:val="13"/>
                <w:color w:val="auto"/>
              </w:rPr>
            </w:pPr>
          </w:p>
        </w:tc>
        <w:tc>
          <w:tcPr>
            <w:tcW w:w="30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tcBorders>
              <w:bottom w:val="single" w:sz="8" w:color="CFF0FC"/>
            </w:tcBorders>
            <w:gridSpan w:val="2"/>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7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293</w:t>
            </w:r>
          </w:p>
        </w:tc>
        <w:tc>
          <w:tcPr>
            <w:tcW w:w="1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3"/>
            <w:shd w:val="clear" w:color="auto" w:fill="CFF0FC"/>
          </w:tcPr>
          <w:p>
            <w:pPr>
              <w:ind w:left="52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tcBorders>
              <w:bottom w:val="single" w:sz="8" w:color="CFF0FC"/>
            </w:tcBorders>
            <w:shd w:val="clear" w:color="auto" w:fill="CFF0FC"/>
          </w:tcPr>
          <w:p>
            <w:pPr>
              <w:ind w:left="16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3"/>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460" w:type="dxa"/>
            <w:vAlign w:val="bottom"/>
            <w:tcBorders>
              <w:bottom w:val="single" w:sz="8" w:color="CFF0FC"/>
            </w:tcBorders>
            <w:gridSpan w:val="3"/>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6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293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0"/>
              <w:spacing w:after="0" w:line="152" w:lineRule="exact"/>
              <w:rPr>
                <w:sz w:val="20"/>
                <w:szCs w:val="20"/>
                <w:color w:val="auto"/>
              </w:rPr>
            </w:pPr>
            <w:r>
              <w:rPr>
                <w:rFonts w:ascii="Calibri" w:cs="Calibri" w:eastAsia="Calibri" w:hAnsi="Calibri"/>
                <w:sz w:val="13"/>
                <w:szCs w:val="13"/>
                <w:color w:val="auto"/>
              </w:rPr>
              <w:t>Equity-based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compensaton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afer reverse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recapitalizaton</w:t>
            </w:r>
          </w:p>
        </w:tc>
        <w:tc>
          <w:tcPr>
            <w:tcW w:w="540" w:type="dxa"/>
            <w:vAlign w:val="bottom"/>
            <w:gridSpan w:val="3"/>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gridSpan w:val="2"/>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560" w:type="dxa"/>
            <w:vAlign w:val="bottom"/>
            <w:gridSpan w:val="3"/>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80" w:type="dxa"/>
            <w:vAlign w:val="bottom"/>
            <w:gridSpan w:val="2"/>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tcBorders>
              <w:right w:val="single" w:sz="8" w:color="auto"/>
            </w:tcBorders>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gridSpan w:val="2"/>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20"/>
              <w:spacing w:after="0" w:line="149" w:lineRule="exact"/>
              <w:rPr>
                <w:sz w:val="20"/>
                <w:szCs w:val="20"/>
                <w:color w:val="auto"/>
              </w:rPr>
            </w:pPr>
            <w:r>
              <w:rPr>
                <w:rFonts w:ascii="Calibri" w:cs="Calibri" w:eastAsia="Calibri" w:hAnsi="Calibri"/>
                <w:sz w:val="13"/>
                <w:szCs w:val="13"/>
                <w:color w:val="auto"/>
              </w:rPr>
              <w:t>—</w:t>
            </w:r>
          </w:p>
        </w:tc>
        <w:tc>
          <w:tcPr>
            <w:tcW w:w="700" w:type="dxa"/>
            <w:vAlign w:val="bottom"/>
          </w:tcPr>
          <w:p>
            <w:pPr>
              <w:jc w:val="right"/>
              <w:spacing w:after="0" w:line="149" w:lineRule="exact"/>
              <w:rPr>
                <w:sz w:val="20"/>
                <w:szCs w:val="20"/>
                <w:color w:val="auto"/>
              </w:rPr>
            </w:pPr>
            <w:r>
              <w:rPr>
                <w:rFonts w:ascii="Calibri" w:cs="Calibri" w:eastAsia="Calibri" w:hAnsi="Calibri"/>
                <w:sz w:val="13"/>
                <w:szCs w:val="13"/>
                <w:color w:val="auto"/>
              </w:rPr>
              <w:t>1,624</w:t>
            </w:r>
          </w:p>
        </w:tc>
        <w:tc>
          <w:tcPr>
            <w:tcW w:w="100" w:type="dxa"/>
            <w:vAlign w:val="bottom"/>
          </w:tcPr>
          <w:p>
            <w:pPr>
              <w:spacing w:after="0"/>
              <w:rPr>
                <w:sz w:val="12"/>
                <w:szCs w:val="12"/>
                <w:color w:val="auto"/>
              </w:rPr>
            </w:pPr>
          </w:p>
        </w:tc>
        <w:tc>
          <w:tcPr>
            <w:tcW w:w="980" w:type="dxa"/>
            <w:vAlign w:val="bottom"/>
            <w:gridSpan w:val="3"/>
          </w:tcPr>
          <w:p>
            <w:pPr>
              <w:ind w:left="52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tcPr>
          <w:p>
            <w:pPr>
              <w:ind w:left="16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1000" w:type="dxa"/>
            <w:vAlign w:val="bottom"/>
            <w:gridSpan w:val="3"/>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460" w:type="dxa"/>
            <w:vAlign w:val="bottom"/>
            <w:gridSpan w:val="3"/>
          </w:tcPr>
          <w:p>
            <w:pPr>
              <w:ind w:left="120"/>
              <w:spacing w:after="0" w:line="149" w:lineRule="exact"/>
              <w:rPr>
                <w:sz w:val="20"/>
                <w:szCs w:val="20"/>
                <w:color w:val="auto"/>
              </w:rPr>
            </w:pPr>
            <w:r>
              <w:rPr>
                <w:rFonts w:ascii="Calibri" w:cs="Calibri" w:eastAsia="Calibri" w:hAnsi="Calibri"/>
                <w:sz w:val="13"/>
                <w:szCs w:val="13"/>
                <w:color w:val="auto"/>
              </w:rPr>
              <w:t>—</w:t>
            </w:r>
          </w:p>
        </w:tc>
        <w:tc>
          <w:tcPr>
            <w:tcW w:w="600" w:type="dxa"/>
            <w:vAlign w:val="bottom"/>
          </w:tcPr>
          <w:p>
            <w:pPr>
              <w:jc w:val="right"/>
              <w:spacing w:after="0" w:line="149" w:lineRule="exact"/>
              <w:rPr>
                <w:sz w:val="20"/>
                <w:szCs w:val="20"/>
                <w:color w:val="auto"/>
              </w:rPr>
            </w:pPr>
            <w:r>
              <w:rPr>
                <w:rFonts w:ascii="Calibri" w:cs="Calibri" w:eastAsia="Calibri" w:hAnsi="Calibri"/>
                <w:sz w:val="13"/>
                <w:szCs w:val="13"/>
                <w:color w:val="auto"/>
              </w:rPr>
              <w:t>1,624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2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Change in fair</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w w:val="95"/>
              </w:rPr>
              <w:t>value of warrants</w:t>
            </w:r>
          </w:p>
        </w:tc>
        <w:tc>
          <w:tcPr>
            <w:tcW w:w="540" w:type="dxa"/>
            <w:vAlign w:val="bottom"/>
            <w:tcBorders>
              <w:bottom w:val="single" w:sz="8" w:color="CFF0FC"/>
            </w:tcBorders>
            <w:gridSpan w:val="3"/>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gridSpan w:val="2"/>
            <w:shd w:val="clear" w:color="auto" w:fill="CFF0FC"/>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560" w:type="dxa"/>
            <w:vAlign w:val="bottom"/>
            <w:tcBorders>
              <w:bottom w:val="single" w:sz="8" w:color="CFF0FC"/>
            </w:tcBorders>
            <w:gridSpan w:val="3"/>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80" w:type="dxa"/>
            <w:vAlign w:val="bottom"/>
            <w:tcBorders>
              <w:bottom w:val="single" w:sz="8" w:color="CFF0FC"/>
            </w:tcBorders>
            <w:gridSpan w:val="2"/>
            <w:shd w:val="clear" w:color="auto" w:fill="CFF0FC"/>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tcBorders>
              <w:bottom w:val="single" w:sz="8" w:color="CFF0FC"/>
              <w:right w:val="single" w:sz="8" w:color="auto"/>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tcBorders>
              <w:bottom w:val="single" w:sz="8" w:color="CFF0FC"/>
            </w:tcBorders>
            <w:gridSpan w:val="2"/>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7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1,269</w:t>
            </w:r>
          </w:p>
        </w:tc>
        <w:tc>
          <w:tcPr>
            <w:tcW w:w="1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3"/>
            <w:shd w:val="clear" w:color="auto" w:fill="CFF0FC"/>
          </w:tcPr>
          <w:p>
            <w:pPr>
              <w:ind w:left="52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tcBorders>
              <w:bottom w:val="single" w:sz="8" w:color="CFF0FC"/>
            </w:tcBorders>
            <w:shd w:val="clear" w:color="auto" w:fill="CFF0FC"/>
          </w:tcPr>
          <w:p>
            <w:pPr>
              <w:ind w:left="16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3"/>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460" w:type="dxa"/>
            <w:vAlign w:val="bottom"/>
            <w:tcBorders>
              <w:bottom w:val="single" w:sz="8" w:color="CFF0FC"/>
            </w:tcBorders>
            <w:gridSpan w:val="3"/>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6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1,269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20" w:type="dxa"/>
            <w:vAlign w:val="bottom"/>
          </w:tcPr>
          <w:p>
            <w:pPr>
              <w:ind w:left="20"/>
              <w:spacing w:after="0" w:line="152" w:lineRule="exact"/>
              <w:rPr>
                <w:sz w:val="20"/>
                <w:szCs w:val="20"/>
                <w:color w:val="auto"/>
              </w:rPr>
            </w:pPr>
            <w:r>
              <w:rPr>
                <w:rFonts w:ascii="Calibri" w:cs="Calibri" w:eastAsia="Calibri" w:hAnsi="Calibri"/>
                <w:sz w:val="13"/>
                <w:szCs w:val="13"/>
                <w:color w:val="auto"/>
              </w:rPr>
              <w:t>Issuance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w w:val="98"/>
              </w:rPr>
              <w:t>shares related to</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acquisiton</w:t>
            </w:r>
          </w:p>
        </w:tc>
        <w:tc>
          <w:tcPr>
            <w:tcW w:w="540" w:type="dxa"/>
            <w:vAlign w:val="bottom"/>
            <w:gridSpan w:val="3"/>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gridSpan w:val="2"/>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560" w:type="dxa"/>
            <w:vAlign w:val="bottom"/>
            <w:gridSpan w:val="3"/>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80" w:type="dxa"/>
            <w:vAlign w:val="bottom"/>
            <w:gridSpan w:val="2"/>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tcBorders>
              <w:right w:val="single" w:sz="8" w:color="auto"/>
            </w:tcBorders>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gridSpan w:val="2"/>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Pr>
          <w:p>
            <w:pPr>
              <w:jc w:val="right"/>
              <w:spacing w:after="0" w:line="149" w:lineRule="exact"/>
              <w:rPr>
                <w:sz w:val="20"/>
                <w:szCs w:val="20"/>
                <w:color w:val="auto"/>
              </w:rPr>
            </w:pPr>
            <w:r>
              <w:rPr>
                <w:rFonts w:ascii="Calibri" w:cs="Calibri" w:eastAsia="Calibri" w:hAnsi="Calibri"/>
                <w:sz w:val="13"/>
                <w:szCs w:val="13"/>
                <w:color w:val="auto"/>
              </w:rPr>
              <w:t>2,143,438</w:t>
            </w:r>
          </w:p>
        </w:tc>
        <w:tc>
          <w:tcPr>
            <w:tcW w:w="100" w:type="dxa"/>
            <w:vAlign w:val="bottom"/>
          </w:tcPr>
          <w:p>
            <w:pPr>
              <w:spacing w:after="0"/>
              <w:rPr>
                <w:sz w:val="12"/>
                <w:szCs w:val="12"/>
                <w:color w:val="auto"/>
              </w:rPr>
            </w:pPr>
          </w:p>
        </w:tc>
        <w:tc>
          <w:tcPr>
            <w:tcW w:w="320" w:type="dxa"/>
            <w:vAlign w:val="bottom"/>
            <w:gridSpan w:val="2"/>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20"/>
              <w:spacing w:after="0" w:line="149" w:lineRule="exact"/>
              <w:rPr>
                <w:sz w:val="20"/>
                <w:szCs w:val="20"/>
                <w:color w:val="auto"/>
              </w:rPr>
            </w:pPr>
            <w:r>
              <w:rPr>
                <w:rFonts w:ascii="Calibri" w:cs="Calibri" w:eastAsia="Calibri" w:hAnsi="Calibri"/>
                <w:sz w:val="13"/>
                <w:szCs w:val="13"/>
                <w:color w:val="auto"/>
              </w:rPr>
              <w:t>—</w:t>
            </w:r>
          </w:p>
        </w:tc>
        <w:tc>
          <w:tcPr>
            <w:tcW w:w="700" w:type="dxa"/>
            <w:vAlign w:val="bottom"/>
          </w:tcPr>
          <w:p>
            <w:pPr>
              <w:jc w:val="right"/>
              <w:spacing w:after="0" w:line="149" w:lineRule="exact"/>
              <w:rPr>
                <w:sz w:val="20"/>
                <w:szCs w:val="20"/>
                <w:color w:val="auto"/>
              </w:rPr>
            </w:pPr>
            <w:r>
              <w:rPr>
                <w:rFonts w:ascii="Calibri" w:cs="Calibri" w:eastAsia="Calibri" w:hAnsi="Calibri"/>
                <w:sz w:val="13"/>
                <w:szCs w:val="13"/>
                <w:color w:val="auto"/>
              </w:rPr>
              <w:t>21,306</w:t>
            </w:r>
          </w:p>
        </w:tc>
        <w:tc>
          <w:tcPr>
            <w:tcW w:w="100" w:type="dxa"/>
            <w:vAlign w:val="bottom"/>
          </w:tcPr>
          <w:p>
            <w:pPr>
              <w:spacing w:after="0"/>
              <w:rPr>
                <w:sz w:val="12"/>
                <w:szCs w:val="12"/>
                <w:color w:val="auto"/>
              </w:rPr>
            </w:pPr>
          </w:p>
        </w:tc>
        <w:tc>
          <w:tcPr>
            <w:tcW w:w="980" w:type="dxa"/>
            <w:vAlign w:val="bottom"/>
            <w:gridSpan w:val="3"/>
          </w:tcPr>
          <w:p>
            <w:pPr>
              <w:ind w:left="52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tcPr>
          <w:p>
            <w:pPr>
              <w:ind w:left="16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1000" w:type="dxa"/>
            <w:vAlign w:val="bottom"/>
            <w:gridSpan w:val="3"/>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460" w:type="dxa"/>
            <w:vAlign w:val="bottom"/>
            <w:gridSpan w:val="3"/>
          </w:tcPr>
          <w:p>
            <w:pPr>
              <w:ind w:left="120"/>
              <w:spacing w:after="0" w:line="149" w:lineRule="exact"/>
              <w:rPr>
                <w:sz w:val="20"/>
                <w:szCs w:val="20"/>
                <w:color w:val="auto"/>
              </w:rPr>
            </w:pPr>
            <w:r>
              <w:rPr>
                <w:rFonts w:ascii="Calibri" w:cs="Calibri" w:eastAsia="Calibri" w:hAnsi="Calibri"/>
                <w:sz w:val="13"/>
                <w:szCs w:val="13"/>
                <w:color w:val="auto"/>
              </w:rPr>
              <w:t>—</w:t>
            </w:r>
          </w:p>
        </w:tc>
        <w:tc>
          <w:tcPr>
            <w:tcW w:w="600" w:type="dxa"/>
            <w:vAlign w:val="bottom"/>
          </w:tcPr>
          <w:p>
            <w:pPr>
              <w:jc w:val="right"/>
              <w:spacing w:after="0" w:line="149" w:lineRule="exact"/>
              <w:rPr>
                <w:sz w:val="20"/>
                <w:szCs w:val="20"/>
                <w:color w:val="auto"/>
              </w:rPr>
            </w:pPr>
            <w:r>
              <w:rPr>
                <w:rFonts w:ascii="Calibri" w:cs="Calibri" w:eastAsia="Calibri" w:hAnsi="Calibri"/>
                <w:sz w:val="13"/>
                <w:szCs w:val="13"/>
                <w:color w:val="auto"/>
              </w:rPr>
              <w:t>21,306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92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w w:val="95"/>
              </w:rPr>
              <w:t>Dividends paid to</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Class A Common</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Shareholders</w:t>
            </w:r>
          </w:p>
        </w:tc>
        <w:tc>
          <w:tcPr>
            <w:tcW w:w="540" w:type="dxa"/>
            <w:vAlign w:val="bottom"/>
            <w:tcBorders>
              <w:bottom w:val="single" w:sz="8" w:color="CFF0FC"/>
            </w:tcBorders>
            <w:gridSpan w:val="3"/>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gridSpan w:val="2"/>
            <w:shd w:val="clear" w:color="auto" w:fill="CFF0FC"/>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560" w:type="dxa"/>
            <w:vAlign w:val="bottom"/>
            <w:tcBorders>
              <w:bottom w:val="single" w:sz="8" w:color="CFF0FC"/>
            </w:tcBorders>
            <w:gridSpan w:val="3"/>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80" w:type="dxa"/>
            <w:vAlign w:val="bottom"/>
            <w:tcBorders>
              <w:bottom w:val="single" w:sz="8" w:color="CFF0FC"/>
            </w:tcBorders>
            <w:gridSpan w:val="2"/>
            <w:shd w:val="clear" w:color="auto" w:fill="CFF0FC"/>
          </w:tcPr>
          <w:p>
            <w:pPr>
              <w:jc w:val="right"/>
              <w:ind w:right="140"/>
              <w:spacing w:after="0" w:line="149" w:lineRule="exact"/>
              <w:rPr>
                <w:sz w:val="20"/>
                <w:szCs w:val="20"/>
                <w:color w:val="auto"/>
              </w:rPr>
            </w:pPr>
            <w:r>
              <w:rPr>
                <w:rFonts w:ascii="Calibri" w:cs="Calibri" w:eastAsia="Calibri" w:hAnsi="Calibri"/>
                <w:sz w:val="13"/>
                <w:szCs w:val="13"/>
                <w:color w:val="auto"/>
              </w:rPr>
              <w:t>—</w:t>
            </w:r>
          </w:p>
        </w:tc>
        <w:tc>
          <w:tcPr>
            <w:tcW w:w="920" w:type="dxa"/>
            <w:vAlign w:val="bottom"/>
            <w:tcBorders>
              <w:bottom w:val="single" w:sz="8" w:color="CFF0FC"/>
              <w:right w:val="single" w:sz="8" w:color="auto"/>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tcBorders>
              <w:bottom w:val="single" w:sz="8" w:color="CFF0FC"/>
            </w:tcBorders>
            <w:gridSpan w:val="2"/>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8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(17,698 )</w:t>
            </w:r>
          </w:p>
        </w:tc>
        <w:tc>
          <w:tcPr>
            <w:tcW w:w="980" w:type="dxa"/>
            <w:vAlign w:val="bottom"/>
            <w:tcBorders>
              <w:bottom w:val="single" w:sz="8" w:color="CFF0FC"/>
            </w:tcBorders>
            <w:gridSpan w:val="3"/>
            <w:shd w:val="clear" w:color="auto" w:fill="CFF0FC"/>
          </w:tcPr>
          <w:p>
            <w:pPr>
              <w:ind w:left="520"/>
              <w:spacing w:after="0" w:line="149" w:lineRule="exact"/>
              <w:rPr>
                <w:sz w:val="20"/>
                <w:szCs w:val="20"/>
                <w:color w:val="auto"/>
              </w:rPr>
            </w:pPr>
            <w:r>
              <w:rPr>
                <w:rFonts w:ascii="Calibri" w:cs="Calibri" w:eastAsia="Calibri" w:hAnsi="Calibri"/>
                <w:sz w:val="13"/>
                <w:szCs w:val="13"/>
                <w:color w:val="auto"/>
              </w:rPr>
              <w:t>—</w:t>
            </w:r>
          </w:p>
        </w:tc>
        <w:tc>
          <w:tcPr>
            <w:tcW w:w="300" w:type="dxa"/>
            <w:vAlign w:val="bottom"/>
            <w:tcBorders>
              <w:bottom w:val="single" w:sz="8" w:color="CFF0FC"/>
            </w:tcBorders>
            <w:shd w:val="clear" w:color="auto" w:fill="CFF0FC"/>
          </w:tcPr>
          <w:p>
            <w:pPr>
              <w:ind w:left="16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3"/>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460" w:type="dxa"/>
            <w:vAlign w:val="bottom"/>
            <w:tcBorders>
              <w:bottom w:val="single" w:sz="8" w:color="CFF0FC"/>
            </w:tcBorders>
            <w:gridSpan w:val="3"/>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7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(17,698 )</w:t>
            </w:r>
          </w:p>
        </w:tc>
        <w:tc>
          <w:tcPr>
            <w:tcW w:w="0" w:type="dxa"/>
            <w:vAlign w:val="bottom"/>
          </w:tcPr>
          <w:p>
            <w:pPr>
              <w:spacing w:after="0"/>
              <w:rPr>
                <w:sz w:val="1"/>
                <w:szCs w:val="1"/>
                <w:color w:val="auto"/>
              </w:rPr>
            </w:pPr>
          </w:p>
        </w:tc>
      </w:tr>
      <w:tr>
        <w:trPr>
          <w:trHeight w:val="151"/>
        </w:trPr>
        <w:tc>
          <w:tcPr>
            <w:tcW w:w="920" w:type="dxa"/>
            <w:vAlign w:val="bottom"/>
          </w:tcPr>
          <w:p>
            <w:pPr>
              <w:ind w:left="20"/>
              <w:spacing w:after="0" w:line="152" w:lineRule="exact"/>
              <w:rPr>
                <w:sz w:val="20"/>
                <w:szCs w:val="20"/>
                <w:color w:val="auto"/>
              </w:rPr>
            </w:pPr>
            <w:r>
              <w:rPr>
                <w:rFonts w:ascii="Calibri" w:cs="Calibri" w:eastAsia="Calibri" w:hAnsi="Calibri"/>
                <w:sz w:val="13"/>
                <w:szCs w:val="13"/>
                <w:color w:val="auto"/>
              </w:rPr>
              <w:t>Subsequent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remeasurement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of Redeemable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noncontrolling</w:t>
            </w:r>
          </w:p>
        </w:tc>
        <w:tc>
          <w:tcPr>
            <w:tcW w:w="3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40" w:type="dxa"/>
            <w:vAlign w:val="bottom"/>
            <w:vMerge w:val="restart"/>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4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Calibri" w:cs="Calibri" w:eastAsia="Calibri" w:hAnsi="Calibri"/>
                <w:sz w:val="13"/>
                <w:szCs w:val="13"/>
                <w:color w:val="auto"/>
              </w:rPr>
              <w:t>1,203,714</w:t>
            </w:r>
          </w:p>
        </w:tc>
        <w:tc>
          <w:tcPr>
            <w:tcW w:w="240" w:type="dxa"/>
            <w:vAlign w:val="bottom"/>
            <w:tcBorders>
              <w:right w:val="single" w:sz="8" w:color="auto"/>
            </w:tcBorders>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20" w:type="dxa"/>
            <w:vAlign w:val="bottom"/>
            <w:vMerge w:val="restart"/>
          </w:tcPr>
          <w:p>
            <w:pPr>
              <w:spacing w:after="0"/>
              <w:rPr>
                <w:sz w:val="12"/>
                <w:szCs w:val="12"/>
                <w:color w:val="auto"/>
              </w:rPr>
            </w:pPr>
          </w:p>
        </w:tc>
        <w:tc>
          <w:tcPr>
            <w:tcW w:w="340" w:type="dxa"/>
            <w:vAlign w:val="bottom"/>
            <w:gridSpan w:val="2"/>
            <w:vMerge w:val="restart"/>
          </w:tcPr>
          <w:p>
            <w:pPr>
              <w:jc w:val="right"/>
              <w:ind w:right="80"/>
              <w:spacing w:after="0"/>
              <w:rPr>
                <w:sz w:val="20"/>
                <w:szCs w:val="20"/>
                <w:color w:val="auto"/>
              </w:rPr>
            </w:pPr>
            <w:r>
              <w:rPr>
                <w:rFonts w:ascii="Calibri" w:cs="Calibri" w:eastAsia="Calibri" w:hAnsi="Calibri"/>
                <w:sz w:val="13"/>
                <w:szCs w:val="13"/>
                <w:color w:val="auto"/>
              </w:rPr>
              <w:t>—</w:t>
            </w:r>
          </w:p>
        </w:tc>
        <w:tc>
          <w:tcPr>
            <w:tcW w:w="6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vMerge w:val="restart"/>
          </w:tcPr>
          <w:p>
            <w:pPr>
              <w:ind w:left="140"/>
              <w:spacing w:after="0"/>
              <w:rPr>
                <w:sz w:val="20"/>
                <w:szCs w:val="20"/>
                <w:color w:val="auto"/>
              </w:rPr>
            </w:pPr>
            <w:r>
              <w:rPr>
                <w:rFonts w:ascii="Calibri" w:cs="Calibri" w:eastAsia="Calibri" w:hAnsi="Calibri"/>
                <w:sz w:val="13"/>
                <w:szCs w:val="13"/>
                <w:color w:val="auto"/>
              </w:rPr>
              <w:t>—</w:t>
            </w:r>
          </w:p>
        </w:tc>
        <w:tc>
          <w:tcPr>
            <w:tcW w:w="7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vMerge w:val="restart"/>
          </w:tcPr>
          <w:p>
            <w:pPr>
              <w:ind w:left="120"/>
              <w:spacing w:after="0"/>
              <w:rPr>
                <w:sz w:val="20"/>
                <w:szCs w:val="20"/>
                <w:color w:val="auto"/>
              </w:rPr>
            </w:pPr>
            <w:r>
              <w:rPr>
                <w:rFonts w:ascii="Calibri" w:cs="Calibri" w:eastAsia="Calibri" w:hAnsi="Calibri"/>
                <w:sz w:val="13"/>
                <w:szCs w:val="13"/>
                <w:color w:val="auto"/>
              </w:rPr>
              <w:t>—</w:t>
            </w:r>
          </w:p>
        </w:tc>
        <w:tc>
          <w:tcPr>
            <w:tcW w:w="800" w:type="dxa"/>
            <w:vAlign w:val="bottom"/>
            <w:gridSpan w:val="2"/>
            <w:vMerge w:val="restart"/>
          </w:tcPr>
          <w:p>
            <w:pPr>
              <w:jc w:val="right"/>
              <w:ind w:right="60"/>
              <w:spacing w:after="0"/>
              <w:rPr>
                <w:sz w:val="20"/>
                <w:szCs w:val="20"/>
                <w:color w:val="auto"/>
              </w:rPr>
            </w:pPr>
            <w:r>
              <w:rPr>
                <w:rFonts w:ascii="Calibri" w:cs="Calibri" w:eastAsia="Calibri" w:hAnsi="Calibri"/>
                <w:sz w:val="13"/>
                <w:szCs w:val="13"/>
                <w:color w:val="auto"/>
              </w:rPr>
              <w:t>(1,203,714 )</w:t>
            </w:r>
          </w:p>
        </w:tc>
        <w:tc>
          <w:tcPr>
            <w:tcW w:w="980" w:type="dxa"/>
            <w:vAlign w:val="bottom"/>
            <w:gridSpan w:val="3"/>
            <w:vMerge w:val="restart"/>
          </w:tcPr>
          <w:p>
            <w:pPr>
              <w:ind w:left="520"/>
              <w:spacing w:after="0"/>
              <w:rPr>
                <w:sz w:val="20"/>
                <w:szCs w:val="20"/>
                <w:color w:val="auto"/>
              </w:rPr>
            </w:pPr>
            <w:r>
              <w:rPr>
                <w:rFonts w:ascii="Calibri" w:cs="Calibri" w:eastAsia="Calibri" w:hAnsi="Calibri"/>
                <w:sz w:val="13"/>
                <w:szCs w:val="13"/>
                <w:color w:val="auto"/>
              </w:rPr>
              <w:t>—</w:t>
            </w:r>
          </w:p>
        </w:tc>
        <w:tc>
          <w:tcPr>
            <w:tcW w:w="300" w:type="dxa"/>
            <w:vAlign w:val="bottom"/>
            <w:vMerge w:val="restart"/>
          </w:tcPr>
          <w:p>
            <w:pPr>
              <w:ind w:left="160"/>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1000" w:type="dxa"/>
            <w:vAlign w:val="bottom"/>
            <w:gridSpan w:val="3"/>
            <w:vMerge w:val="restart"/>
          </w:tcPr>
          <w:p>
            <w:pPr>
              <w:jc w:val="right"/>
              <w:ind w:right="320"/>
              <w:spacing w:after="0"/>
              <w:rPr>
                <w:sz w:val="20"/>
                <w:szCs w:val="20"/>
                <w:color w:val="auto"/>
              </w:rPr>
            </w:pPr>
            <w:r>
              <w:rPr>
                <w:rFonts w:ascii="Calibri" w:cs="Calibri" w:eastAsia="Calibri" w:hAnsi="Calibri"/>
                <w:sz w:val="13"/>
                <w:szCs w:val="13"/>
                <w:color w:val="auto"/>
              </w:rPr>
              <w:t>—</w:t>
            </w:r>
          </w:p>
        </w:tc>
        <w:tc>
          <w:tcPr>
            <w:tcW w:w="460" w:type="dxa"/>
            <w:vAlign w:val="bottom"/>
            <w:gridSpan w:val="3"/>
            <w:vMerge w:val="restart"/>
          </w:tcPr>
          <w:p>
            <w:pPr>
              <w:ind w:left="120"/>
              <w:spacing w:after="0"/>
              <w:rPr>
                <w:sz w:val="20"/>
                <w:szCs w:val="20"/>
                <w:color w:val="auto"/>
              </w:rPr>
            </w:pPr>
            <w:r>
              <w:rPr>
                <w:rFonts w:ascii="Calibri" w:cs="Calibri" w:eastAsia="Calibri" w:hAnsi="Calibri"/>
                <w:sz w:val="13"/>
                <w:szCs w:val="13"/>
                <w:color w:val="auto"/>
              </w:rPr>
              <w:t>—</w:t>
            </w:r>
          </w:p>
        </w:tc>
        <w:tc>
          <w:tcPr>
            <w:tcW w:w="700" w:type="dxa"/>
            <w:vAlign w:val="bottom"/>
            <w:gridSpan w:val="2"/>
            <w:vMerge w:val="restart"/>
          </w:tcPr>
          <w:p>
            <w:pPr>
              <w:jc w:val="right"/>
              <w:ind w:right="60"/>
              <w:spacing w:after="0"/>
              <w:rPr>
                <w:sz w:val="20"/>
                <w:szCs w:val="20"/>
                <w:color w:val="auto"/>
              </w:rPr>
            </w:pPr>
            <w:r>
              <w:rPr>
                <w:rFonts w:ascii="Calibri" w:cs="Calibri" w:eastAsia="Calibri" w:hAnsi="Calibri"/>
                <w:sz w:val="13"/>
                <w:szCs w:val="13"/>
                <w:color w:val="auto"/>
                <w:w w:val="97"/>
              </w:rPr>
              <w:t>(1,203,714 )</w:t>
            </w: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interests</w:t>
            </w:r>
          </w:p>
        </w:tc>
        <w:tc>
          <w:tcPr>
            <w:tcW w:w="3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20" w:type="dxa"/>
            <w:vAlign w:val="bottom"/>
            <w:shd w:val="clear" w:color="auto" w:fill="CFF0FC"/>
          </w:tcPr>
          <w:p>
            <w:pPr>
              <w:ind w:left="20"/>
              <w:spacing w:after="0" w:line="151" w:lineRule="exact"/>
              <w:rPr>
                <w:sz w:val="20"/>
                <w:szCs w:val="20"/>
                <w:color w:val="auto"/>
              </w:rPr>
            </w:pPr>
            <w:r>
              <w:rPr>
                <w:rFonts w:ascii="Calibri" w:cs="Calibri" w:eastAsia="Calibri" w:hAnsi="Calibri"/>
                <w:sz w:val="13"/>
                <w:szCs w:val="13"/>
                <w:b w:val="1"/>
                <w:bCs w:val="1"/>
                <w:color w:val="auto"/>
              </w:rPr>
              <w:t>Balances at</w:t>
            </w:r>
          </w:p>
        </w:tc>
        <w:tc>
          <w:tcPr>
            <w:tcW w:w="3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3"/>
                <w:szCs w:val="13"/>
                <w:b w:val="1"/>
                <w:bCs w:val="1"/>
                <w:color w:val="auto"/>
              </w:rPr>
              <w:t>79,091,87</w:t>
            </w:r>
          </w:p>
        </w:tc>
        <w:tc>
          <w:tcPr>
            <w:tcW w:w="10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3"/>
                <w:szCs w:val="13"/>
                <w:b w:val="1"/>
                <w:bCs w:val="1"/>
                <w:color w:val="auto"/>
              </w:rPr>
              <w:t>118,200,00</w:t>
            </w:r>
          </w:p>
        </w:tc>
        <w:tc>
          <w:tcPr>
            <w:tcW w:w="100" w:type="dxa"/>
            <w:vAlign w:val="bottom"/>
            <w:vMerge w:val="restart"/>
            <w:shd w:val="clear" w:color="auto" w:fill="CFF0FC"/>
          </w:tcPr>
          <w:p>
            <w:pPr>
              <w:spacing w:after="0"/>
              <w:rPr>
                <w:sz w:val="13"/>
                <w:szCs w:val="13"/>
                <w:color w:val="auto"/>
              </w:rPr>
            </w:pPr>
          </w:p>
        </w:tc>
        <w:tc>
          <w:tcPr>
            <w:tcW w:w="22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3"/>
                <w:szCs w:val="13"/>
                <w:b w:val="1"/>
                <w:bCs w:val="1"/>
                <w:color w:val="auto"/>
              </w:rPr>
              <w:t>1</w:t>
            </w:r>
          </w:p>
        </w:tc>
        <w:tc>
          <w:tcPr>
            <w:tcW w:w="10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920" w:type="dxa"/>
            <w:vAlign w:val="bottom"/>
            <w:vMerge w:val="restart"/>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December 31,</w:t>
            </w:r>
          </w:p>
        </w:tc>
        <w:tc>
          <w:tcPr>
            <w:tcW w:w="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100" w:type="dxa"/>
            <w:vAlign w:val="bottom"/>
            <w:vMerge w:val="continue"/>
            <w:shd w:val="clear" w:color="auto" w:fill="CFF0FC"/>
          </w:tcPr>
          <w:p>
            <w:pPr>
              <w:spacing w:after="0"/>
              <w:rPr>
                <w:sz w:val="9"/>
                <w:szCs w:val="9"/>
                <w:color w:val="auto"/>
              </w:rPr>
            </w:pPr>
          </w:p>
        </w:tc>
        <w:tc>
          <w:tcPr>
            <w:tcW w:w="2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920" w:type="dxa"/>
            <w:vAlign w:val="bottom"/>
            <w:vMerge w:val="continue"/>
            <w:shd w:val="clear" w:color="auto" w:fill="CFF0FC"/>
          </w:tcPr>
          <w:p>
            <w:pPr>
              <w:spacing w:after="0"/>
              <w:rPr>
                <w:sz w:val="3"/>
                <w:szCs w:val="3"/>
                <w:color w:val="auto"/>
              </w:rPr>
            </w:pPr>
          </w:p>
        </w:tc>
        <w:tc>
          <w:tcPr>
            <w:tcW w:w="540" w:type="dxa"/>
            <w:vAlign w:val="bottom"/>
            <w:gridSpan w:val="3"/>
            <w:vMerge w:val="restart"/>
            <w:shd w:val="clear" w:color="auto" w:fill="CFF0FC"/>
          </w:tcPr>
          <w:p>
            <w:pPr>
              <w:ind w:left="180"/>
              <w:spacing w:after="0" w:line="149" w:lineRule="exact"/>
              <w:rPr>
                <w:sz w:val="20"/>
                <w:szCs w:val="20"/>
                <w:color w:val="auto"/>
              </w:rPr>
            </w:pPr>
            <w:r>
              <w:rPr>
                <w:rFonts w:ascii="Calibri" w:cs="Calibri" w:eastAsia="Calibri" w:hAnsi="Calibri"/>
                <w:sz w:val="13"/>
                <w:szCs w:val="13"/>
                <w:b w:val="1"/>
                <w:bCs w:val="1"/>
                <w:color w:val="auto"/>
              </w:rPr>
              <w:t>—   $</w:t>
            </w:r>
          </w:p>
        </w:tc>
        <w:tc>
          <w:tcPr>
            <w:tcW w:w="640" w:type="dxa"/>
            <w:vAlign w:val="bottom"/>
            <w:gridSpan w:val="2"/>
            <w:vMerge w:val="restart"/>
            <w:shd w:val="clear" w:color="auto" w:fill="CFF0FC"/>
          </w:tcPr>
          <w:p>
            <w:pPr>
              <w:jc w:val="right"/>
              <w:ind w:right="140"/>
              <w:spacing w:after="0" w:line="149" w:lineRule="exact"/>
              <w:rPr>
                <w:sz w:val="20"/>
                <w:szCs w:val="20"/>
                <w:color w:val="auto"/>
              </w:rPr>
            </w:pPr>
            <w:r>
              <w:rPr>
                <w:rFonts w:ascii="Calibri" w:cs="Calibri" w:eastAsia="Calibri" w:hAnsi="Calibri"/>
                <w:sz w:val="13"/>
                <w:szCs w:val="13"/>
                <w:b w:val="1"/>
                <w:bCs w:val="1"/>
                <w:color w:val="auto"/>
              </w:rPr>
              <w:t>—</w:t>
            </w:r>
          </w:p>
        </w:tc>
        <w:tc>
          <w:tcPr>
            <w:tcW w:w="560" w:type="dxa"/>
            <w:vAlign w:val="bottom"/>
            <w:gridSpan w:val="3"/>
            <w:vMerge w:val="restart"/>
            <w:shd w:val="clear" w:color="auto" w:fill="CFF0FC"/>
          </w:tcPr>
          <w:p>
            <w:pPr>
              <w:ind w:left="180"/>
              <w:spacing w:after="0" w:line="149" w:lineRule="exact"/>
              <w:rPr>
                <w:sz w:val="20"/>
                <w:szCs w:val="20"/>
                <w:color w:val="auto"/>
              </w:rPr>
            </w:pPr>
            <w:r>
              <w:rPr>
                <w:rFonts w:ascii="Calibri" w:cs="Calibri" w:eastAsia="Calibri" w:hAnsi="Calibri"/>
                <w:sz w:val="13"/>
                <w:szCs w:val="13"/>
                <w:b w:val="1"/>
                <w:bCs w:val="1"/>
                <w:color w:val="auto"/>
              </w:rPr>
              <w:t>—   $</w:t>
            </w:r>
          </w:p>
        </w:tc>
        <w:tc>
          <w:tcPr>
            <w:tcW w:w="480" w:type="dxa"/>
            <w:vAlign w:val="bottom"/>
            <w:gridSpan w:val="2"/>
            <w:vMerge w:val="restart"/>
            <w:shd w:val="clear" w:color="auto" w:fill="CFF0FC"/>
          </w:tcPr>
          <w:p>
            <w:pPr>
              <w:jc w:val="right"/>
              <w:ind w:right="140"/>
              <w:spacing w:after="0" w:line="149" w:lineRule="exact"/>
              <w:rPr>
                <w:sz w:val="20"/>
                <w:szCs w:val="20"/>
                <w:color w:val="auto"/>
              </w:rPr>
            </w:pPr>
            <w:r>
              <w:rPr>
                <w:rFonts w:ascii="Calibri" w:cs="Calibri" w:eastAsia="Calibri" w:hAnsi="Calibri"/>
                <w:sz w:val="13"/>
                <w:szCs w:val="13"/>
                <w:b w:val="1"/>
                <w:bCs w:val="1"/>
                <w:color w:val="auto"/>
              </w:rPr>
              <w:t>—</w:t>
            </w:r>
          </w:p>
        </w:tc>
        <w:tc>
          <w:tcPr>
            <w:tcW w:w="68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$ 1,286,016</w:t>
            </w:r>
          </w:p>
        </w:tc>
        <w:tc>
          <w:tcPr>
            <w:tcW w:w="240" w:type="dxa"/>
            <w:vAlign w:val="bottom"/>
            <w:tcBorders>
              <w:right w:val="single" w:sz="8" w:color="auto"/>
            </w:tcBorders>
            <w:shd w:val="clear" w:color="auto" w:fill="CFF0FC"/>
          </w:tcPr>
          <w:p>
            <w:pPr>
              <w:spacing w:after="0"/>
              <w:rPr>
                <w:sz w:val="3"/>
                <w:szCs w:val="3"/>
                <w:color w:val="auto"/>
              </w:rPr>
            </w:pPr>
          </w:p>
        </w:tc>
        <w:tc>
          <w:tcPr>
            <w:tcW w:w="300" w:type="dxa"/>
            <w:vAlign w:val="bottom"/>
            <w:gridSpan w:val="2"/>
            <w:vMerge w:val="restart"/>
            <w:shd w:val="clear" w:color="auto" w:fill="CFF0FC"/>
          </w:tcPr>
          <w:p>
            <w:pPr>
              <w:jc w:val="right"/>
              <w:ind w:right="120"/>
              <w:spacing w:after="0" w:line="149" w:lineRule="exact"/>
              <w:rPr>
                <w:sz w:val="20"/>
                <w:szCs w:val="20"/>
                <w:color w:val="auto"/>
              </w:rPr>
            </w:pPr>
            <w:r>
              <w:rPr>
                <w:rFonts w:ascii="Calibri" w:cs="Calibri" w:eastAsia="Calibri" w:hAnsi="Calibri"/>
                <w:sz w:val="13"/>
                <w:szCs w:val="13"/>
                <w:b w:val="1"/>
                <w:bCs w:val="1"/>
                <w:color w:val="auto"/>
              </w:rPr>
              <w:t>—</w:t>
            </w:r>
          </w:p>
        </w:tc>
        <w:tc>
          <w:tcPr>
            <w:tcW w:w="340" w:type="dxa"/>
            <w:vAlign w:val="bottom"/>
            <w:gridSpan w:val="2"/>
            <w:vMerge w:val="restart"/>
            <w:shd w:val="clear" w:color="auto" w:fill="CFF0FC"/>
          </w:tcPr>
          <w:p>
            <w:pPr>
              <w:jc w:val="right"/>
              <w:ind w:right="80"/>
              <w:spacing w:after="0" w:line="149" w:lineRule="exact"/>
              <w:rPr>
                <w:sz w:val="20"/>
                <w:szCs w:val="20"/>
                <w:color w:val="auto"/>
              </w:rPr>
            </w:pPr>
            <w:r>
              <w:rPr>
                <w:rFonts w:ascii="Calibri" w:cs="Calibri" w:eastAsia="Calibri" w:hAnsi="Calibri"/>
                <w:sz w:val="13"/>
                <w:szCs w:val="13"/>
                <w:b w:val="1"/>
                <w:bCs w:val="1"/>
                <w:color w:val="auto"/>
              </w:rPr>
              <w:t>$ —</w:t>
            </w:r>
          </w:p>
        </w:tc>
        <w:tc>
          <w:tcPr>
            <w:tcW w:w="64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w:t>
            </w:r>
          </w:p>
        </w:tc>
        <w:tc>
          <w:tcPr>
            <w:tcW w:w="320" w:type="dxa"/>
            <w:vAlign w:val="bottom"/>
            <w:gridSpan w:val="2"/>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$ 8</w:t>
            </w:r>
          </w:p>
        </w:tc>
        <w:tc>
          <w:tcPr>
            <w:tcW w:w="100" w:type="dxa"/>
            <w:vAlign w:val="bottom"/>
            <w:shd w:val="clear" w:color="auto" w:fill="CFF0FC"/>
          </w:tcPr>
          <w:p>
            <w:pPr>
              <w:spacing w:after="0"/>
              <w:rPr>
                <w:sz w:val="3"/>
                <w:szCs w:val="3"/>
                <w:color w:val="auto"/>
              </w:rPr>
            </w:pPr>
          </w:p>
        </w:tc>
        <w:tc>
          <w:tcPr>
            <w:tcW w:w="72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320" w:type="dxa"/>
            <w:vAlign w:val="bottom"/>
            <w:gridSpan w:val="2"/>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$ 2</w:t>
            </w:r>
          </w:p>
        </w:tc>
        <w:tc>
          <w:tcPr>
            <w:tcW w:w="100" w:type="dxa"/>
            <w:vAlign w:val="bottom"/>
            <w:shd w:val="clear" w:color="auto" w:fill="CFF0FC"/>
          </w:tcPr>
          <w:p>
            <w:pPr>
              <w:spacing w:after="0"/>
              <w:rPr>
                <w:sz w:val="3"/>
                <w:szCs w:val="3"/>
                <w:color w:val="auto"/>
              </w:rPr>
            </w:pPr>
          </w:p>
        </w:tc>
        <w:tc>
          <w:tcPr>
            <w:tcW w:w="70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   182,091</w:t>
            </w:r>
          </w:p>
        </w:tc>
        <w:tc>
          <w:tcPr>
            <w:tcW w:w="100" w:type="dxa"/>
            <w:vAlign w:val="bottom"/>
            <w:shd w:val="clear" w:color="auto" w:fill="CFF0FC"/>
          </w:tcPr>
          <w:p>
            <w:pPr>
              <w:spacing w:after="0"/>
              <w:rPr>
                <w:sz w:val="3"/>
                <w:szCs w:val="3"/>
                <w:color w:val="auto"/>
              </w:rPr>
            </w:pPr>
          </w:p>
        </w:tc>
        <w:tc>
          <w:tcPr>
            <w:tcW w:w="980" w:type="dxa"/>
            <w:vAlign w:val="bottom"/>
            <w:gridSpan w:val="3"/>
            <w:vMerge w:val="restart"/>
            <w:shd w:val="clear" w:color="auto" w:fill="CFF0FC"/>
          </w:tcPr>
          <w:p>
            <w:pPr>
              <w:ind w:left="520"/>
              <w:spacing w:after="0" w:line="149" w:lineRule="exact"/>
              <w:rPr>
                <w:sz w:val="20"/>
                <w:szCs w:val="20"/>
                <w:color w:val="auto"/>
              </w:rPr>
            </w:pPr>
            <w:r>
              <w:rPr>
                <w:rFonts w:ascii="Calibri" w:cs="Calibri" w:eastAsia="Calibri" w:hAnsi="Calibri"/>
                <w:sz w:val="13"/>
                <w:szCs w:val="13"/>
                <w:b w:val="1"/>
                <w:bCs w:val="1"/>
                <w:color w:val="auto"/>
              </w:rPr>
              <w:t>—  $</w:t>
            </w:r>
          </w:p>
        </w:tc>
        <w:tc>
          <w:tcPr>
            <w:tcW w:w="300" w:type="dxa"/>
            <w:vAlign w:val="bottom"/>
            <w:vMerge w:val="restart"/>
            <w:shd w:val="clear" w:color="auto" w:fill="CFF0FC"/>
          </w:tcPr>
          <w:p>
            <w:pPr>
              <w:ind w:left="160"/>
              <w:spacing w:after="0" w:line="149" w:lineRule="exact"/>
              <w:rPr>
                <w:sz w:val="20"/>
                <w:szCs w:val="20"/>
                <w:color w:val="auto"/>
              </w:rPr>
            </w:pPr>
            <w:r>
              <w:rPr>
                <w:rFonts w:ascii="Calibri" w:cs="Calibri" w:eastAsia="Calibri" w:hAnsi="Calibri"/>
                <w:sz w:val="13"/>
                <w:szCs w:val="13"/>
                <w:b w:val="1"/>
                <w:bCs w:val="1"/>
                <w:color w:val="auto"/>
              </w:rPr>
              <w:t>—</w:t>
            </w:r>
          </w:p>
        </w:tc>
        <w:tc>
          <w:tcPr>
            <w:tcW w:w="1100" w:type="dxa"/>
            <w:vAlign w:val="bottom"/>
            <w:gridSpan w:val="4"/>
            <w:vMerge w:val="restart"/>
            <w:shd w:val="clear" w:color="auto" w:fill="CFF0FC"/>
          </w:tcPr>
          <w:p>
            <w:pPr>
              <w:jc w:val="right"/>
              <w:ind w:right="120"/>
              <w:spacing w:after="0" w:line="149" w:lineRule="exact"/>
              <w:rPr>
                <w:sz w:val="20"/>
                <w:szCs w:val="20"/>
                <w:color w:val="auto"/>
              </w:rPr>
            </w:pPr>
            <w:r>
              <w:rPr>
                <w:rFonts w:ascii="Calibri" w:cs="Calibri" w:eastAsia="Calibri" w:hAnsi="Calibri"/>
                <w:sz w:val="13"/>
                <w:szCs w:val="13"/>
                <w:b w:val="1"/>
                <w:bCs w:val="1"/>
                <w:color w:val="auto"/>
              </w:rPr>
              <w:t>$ (1,042,794 ) $</w:t>
            </w:r>
          </w:p>
        </w:tc>
        <w:tc>
          <w:tcPr>
            <w:tcW w:w="460" w:type="dxa"/>
            <w:vAlign w:val="bottom"/>
            <w:gridSpan w:val="3"/>
            <w:vMerge w:val="restart"/>
            <w:shd w:val="clear" w:color="auto" w:fill="CFF0FC"/>
          </w:tcPr>
          <w:p>
            <w:pPr>
              <w:ind w:left="120"/>
              <w:spacing w:after="0" w:line="149" w:lineRule="exact"/>
              <w:rPr>
                <w:sz w:val="20"/>
                <w:szCs w:val="20"/>
                <w:color w:val="auto"/>
              </w:rPr>
            </w:pPr>
            <w:r>
              <w:rPr>
                <w:rFonts w:ascii="Calibri" w:cs="Calibri" w:eastAsia="Calibri" w:hAnsi="Calibri"/>
                <w:sz w:val="13"/>
                <w:szCs w:val="13"/>
                <w:b w:val="1"/>
                <w:bCs w:val="1"/>
                <w:color w:val="auto"/>
              </w:rPr>
              <w:t>—  $</w:t>
            </w:r>
          </w:p>
        </w:tc>
        <w:tc>
          <w:tcPr>
            <w:tcW w:w="700" w:type="dxa"/>
            <w:vAlign w:val="bottom"/>
            <w:gridSpan w:val="2"/>
            <w:vMerge w:val="restart"/>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(860,683 )</w:t>
            </w:r>
          </w:p>
        </w:tc>
        <w:tc>
          <w:tcPr>
            <w:tcW w:w="0" w:type="dxa"/>
            <w:vAlign w:val="bottom"/>
          </w:tcPr>
          <w:p>
            <w:pPr>
              <w:spacing w:after="0"/>
              <w:rPr>
                <w:sz w:val="1"/>
                <w:szCs w:val="1"/>
                <w:color w:val="auto"/>
              </w:rPr>
            </w:pPr>
          </w:p>
        </w:tc>
      </w:tr>
      <w:tr>
        <w:trPr>
          <w:trHeight w:val="152"/>
        </w:trPr>
        <w:tc>
          <w:tcPr>
            <w:tcW w:w="920" w:type="dxa"/>
            <w:vAlign w:val="bottom"/>
            <w:tcBorders>
              <w:bottom w:val="single" w:sz="8" w:color="CFF0FC"/>
            </w:tcBorders>
            <w:shd w:val="clear" w:color="auto" w:fill="CFF0FC"/>
          </w:tcPr>
          <w:p>
            <w:pPr>
              <w:ind w:left="20"/>
              <w:spacing w:after="0" w:line="132" w:lineRule="exact"/>
              <w:rPr>
                <w:sz w:val="20"/>
                <w:szCs w:val="20"/>
                <w:color w:val="auto"/>
              </w:rPr>
            </w:pPr>
            <w:r>
              <w:rPr>
                <w:rFonts w:ascii="Calibri" w:cs="Calibri" w:eastAsia="Calibri" w:hAnsi="Calibri"/>
                <w:sz w:val="13"/>
                <w:szCs w:val="13"/>
                <w:b w:val="1"/>
                <w:bCs w:val="1"/>
                <w:color w:val="auto"/>
              </w:rPr>
              <w:t>2021</w:t>
            </w:r>
          </w:p>
        </w:tc>
        <w:tc>
          <w:tcPr>
            <w:tcW w:w="540" w:type="dxa"/>
            <w:vAlign w:val="bottom"/>
            <w:tcBorders>
              <w:bottom w:val="single" w:sz="8" w:color="CFF0FC"/>
            </w:tcBorders>
            <w:gridSpan w:val="3"/>
            <w:vMerge w:val="continue"/>
            <w:shd w:val="clear" w:color="auto" w:fill="CFF0FC"/>
          </w:tcPr>
          <w:p>
            <w:pPr>
              <w:spacing w:after="0"/>
              <w:rPr>
                <w:sz w:val="13"/>
                <w:szCs w:val="13"/>
                <w:color w:val="auto"/>
              </w:rPr>
            </w:pPr>
          </w:p>
        </w:tc>
        <w:tc>
          <w:tcPr>
            <w:tcW w:w="640" w:type="dxa"/>
            <w:vAlign w:val="bottom"/>
            <w:tcBorders>
              <w:bottom w:val="single" w:sz="8" w:color="CFF0FC"/>
            </w:tcBorders>
            <w:gridSpan w:val="2"/>
            <w:vMerge w:val="continue"/>
            <w:shd w:val="clear" w:color="auto" w:fill="CFF0FC"/>
          </w:tcPr>
          <w:p>
            <w:pPr>
              <w:spacing w:after="0"/>
              <w:rPr>
                <w:sz w:val="13"/>
                <w:szCs w:val="13"/>
                <w:color w:val="auto"/>
              </w:rPr>
            </w:pPr>
          </w:p>
        </w:tc>
        <w:tc>
          <w:tcPr>
            <w:tcW w:w="560" w:type="dxa"/>
            <w:vAlign w:val="bottom"/>
            <w:tcBorders>
              <w:bottom w:val="single" w:sz="8" w:color="CFF0FC"/>
            </w:tcBorders>
            <w:gridSpan w:val="3"/>
            <w:vMerge w:val="continue"/>
            <w:shd w:val="clear" w:color="auto" w:fill="CFF0FC"/>
          </w:tcPr>
          <w:p>
            <w:pPr>
              <w:spacing w:after="0"/>
              <w:rPr>
                <w:sz w:val="13"/>
                <w:szCs w:val="13"/>
                <w:color w:val="auto"/>
              </w:rPr>
            </w:pPr>
          </w:p>
        </w:tc>
        <w:tc>
          <w:tcPr>
            <w:tcW w:w="480" w:type="dxa"/>
            <w:vAlign w:val="bottom"/>
            <w:tcBorders>
              <w:bottom w:val="single" w:sz="8" w:color="CFF0FC"/>
            </w:tcBorders>
            <w:gridSpan w:val="2"/>
            <w:vMerge w:val="continue"/>
            <w:shd w:val="clear" w:color="auto" w:fill="CFF0FC"/>
          </w:tcPr>
          <w:p>
            <w:pPr>
              <w:spacing w:after="0"/>
              <w:rPr>
                <w:sz w:val="13"/>
                <w:szCs w:val="13"/>
                <w:color w:val="auto"/>
              </w:rPr>
            </w:pPr>
          </w:p>
        </w:tc>
        <w:tc>
          <w:tcPr>
            <w:tcW w:w="680" w:type="dxa"/>
            <w:vAlign w:val="bottom"/>
            <w:tcBorders>
              <w:bottom w:val="single" w:sz="8" w:color="CFF0FC"/>
            </w:tcBorders>
            <w:vMerge w:val="continue"/>
            <w:shd w:val="clear" w:color="auto" w:fill="CFF0FC"/>
          </w:tcPr>
          <w:p>
            <w:pPr>
              <w:spacing w:after="0"/>
              <w:rPr>
                <w:sz w:val="13"/>
                <w:szCs w:val="13"/>
                <w:color w:val="auto"/>
              </w:rPr>
            </w:pPr>
          </w:p>
        </w:tc>
        <w:tc>
          <w:tcPr>
            <w:tcW w:w="240" w:type="dxa"/>
            <w:vAlign w:val="bottom"/>
            <w:tcBorders>
              <w:bottom w:val="single" w:sz="8" w:color="CFF0FC"/>
              <w:right w:val="single" w:sz="8" w:color="auto"/>
            </w:tcBorders>
            <w:shd w:val="clear" w:color="auto" w:fill="CFF0FC"/>
          </w:tcPr>
          <w:p>
            <w:pPr>
              <w:spacing w:after="0"/>
              <w:rPr>
                <w:sz w:val="13"/>
                <w:szCs w:val="13"/>
                <w:color w:val="auto"/>
              </w:rPr>
            </w:pPr>
          </w:p>
        </w:tc>
        <w:tc>
          <w:tcPr>
            <w:tcW w:w="300" w:type="dxa"/>
            <w:vAlign w:val="bottom"/>
            <w:tcBorders>
              <w:bottom w:val="single" w:sz="8" w:color="CFF0FC"/>
            </w:tcBorders>
            <w:gridSpan w:val="2"/>
            <w:vMerge w:val="continue"/>
            <w:shd w:val="clear" w:color="auto" w:fill="CFF0FC"/>
          </w:tcPr>
          <w:p>
            <w:pPr>
              <w:spacing w:after="0"/>
              <w:rPr>
                <w:sz w:val="13"/>
                <w:szCs w:val="13"/>
                <w:color w:val="auto"/>
              </w:rPr>
            </w:pPr>
          </w:p>
        </w:tc>
        <w:tc>
          <w:tcPr>
            <w:tcW w:w="340" w:type="dxa"/>
            <w:vAlign w:val="bottom"/>
            <w:tcBorders>
              <w:bottom w:val="single" w:sz="8" w:color="CFF0FC"/>
            </w:tcBorders>
            <w:gridSpan w:val="2"/>
            <w:vMerge w:val="continue"/>
            <w:shd w:val="clear" w:color="auto" w:fill="CFF0FC"/>
          </w:tcPr>
          <w:p>
            <w:pPr>
              <w:spacing w:after="0"/>
              <w:rPr>
                <w:sz w:val="13"/>
                <w:szCs w:val="13"/>
                <w:color w:val="auto"/>
              </w:rPr>
            </w:pPr>
          </w:p>
        </w:tc>
        <w:tc>
          <w:tcPr>
            <w:tcW w:w="640" w:type="dxa"/>
            <w:vAlign w:val="bottom"/>
            <w:tcBorders>
              <w:bottom w:val="single" w:sz="8" w:color="CFF0FC"/>
            </w:tcBorders>
            <w:vMerge w:val="continue"/>
            <w:shd w:val="clear" w:color="auto" w:fill="CFF0FC"/>
          </w:tcPr>
          <w:p>
            <w:pPr>
              <w:spacing w:after="0"/>
              <w:rPr>
                <w:sz w:val="13"/>
                <w:szCs w:val="13"/>
                <w:color w:val="auto"/>
              </w:rPr>
            </w:pPr>
          </w:p>
        </w:tc>
        <w:tc>
          <w:tcPr>
            <w:tcW w:w="320" w:type="dxa"/>
            <w:vAlign w:val="bottom"/>
            <w:tcBorders>
              <w:bottom w:val="single" w:sz="8" w:color="CFF0FC"/>
            </w:tcBorders>
            <w:gridSpan w:val="2"/>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vMerge w:val="continue"/>
            <w:shd w:val="clear" w:color="auto" w:fill="CFF0FC"/>
          </w:tcPr>
          <w:p>
            <w:pPr>
              <w:spacing w:after="0"/>
              <w:rPr>
                <w:sz w:val="13"/>
                <w:szCs w:val="13"/>
                <w:color w:val="auto"/>
              </w:rPr>
            </w:pPr>
          </w:p>
        </w:tc>
        <w:tc>
          <w:tcPr>
            <w:tcW w:w="320" w:type="dxa"/>
            <w:vAlign w:val="bottom"/>
            <w:tcBorders>
              <w:bottom w:val="single" w:sz="8" w:color="CFF0FC"/>
            </w:tcBorders>
            <w:gridSpan w:val="2"/>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3"/>
            <w:vMerge w:val="continue"/>
            <w:shd w:val="clear" w:color="auto" w:fill="CFF0FC"/>
          </w:tcPr>
          <w:p>
            <w:pPr>
              <w:spacing w:after="0"/>
              <w:rPr>
                <w:sz w:val="13"/>
                <w:szCs w:val="13"/>
                <w:color w:val="auto"/>
              </w:rPr>
            </w:pPr>
          </w:p>
        </w:tc>
        <w:tc>
          <w:tcPr>
            <w:tcW w:w="300" w:type="dxa"/>
            <w:vAlign w:val="bottom"/>
            <w:tcBorders>
              <w:bottom w:val="single" w:sz="8" w:color="CFF0FC"/>
            </w:tcBorders>
            <w:vMerge w:val="continue"/>
            <w:shd w:val="clear" w:color="auto" w:fill="CFF0FC"/>
          </w:tcPr>
          <w:p>
            <w:pPr>
              <w:spacing w:after="0"/>
              <w:rPr>
                <w:sz w:val="13"/>
                <w:szCs w:val="13"/>
                <w:color w:val="auto"/>
              </w:rPr>
            </w:pPr>
          </w:p>
        </w:tc>
        <w:tc>
          <w:tcPr>
            <w:tcW w:w="1100" w:type="dxa"/>
            <w:vAlign w:val="bottom"/>
            <w:tcBorders>
              <w:bottom w:val="single" w:sz="8" w:color="CFF0FC"/>
            </w:tcBorders>
            <w:gridSpan w:val="4"/>
            <w:vMerge w:val="continue"/>
            <w:shd w:val="clear" w:color="auto" w:fill="CFF0FC"/>
          </w:tcPr>
          <w:p>
            <w:pPr>
              <w:spacing w:after="0"/>
              <w:rPr>
                <w:sz w:val="13"/>
                <w:szCs w:val="13"/>
                <w:color w:val="auto"/>
              </w:rPr>
            </w:pPr>
          </w:p>
        </w:tc>
        <w:tc>
          <w:tcPr>
            <w:tcW w:w="460" w:type="dxa"/>
            <w:vAlign w:val="bottom"/>
            <w:tcBorders>
              <w:bottom w:val="single" w:sz="8" w:color="CFF0FC"/>
            </w:tcBorders>
            <w:gridSpan w:val="3"/>
            <w:vMerge w:val="continue"/>
            <w:shd w:val="clear" w:color="auto" w:fill="CFF0FC"/>
          </w:tcPr>
          <w:p>
            <w:pPr>
              <w:spacing w:after="0"/>
              <w:rPr>
                <w:sz w:val="13"/>
                <w:szCs w:val="13"/>
                <w:color w:val="auto"/>
              </w:rPr>
            </w:pPr>
          </w:p>
        </w:tc>
        <w:tc>
          <w:tcPr>
            <w:tcW w:w="700" w:type="dxa"/>
            <w:vAlign w:val="bottom"/>
            <w:tcBorders>
              <w:bottom w:val="single" w:sz="8" w:color="CFF0FC"/>
            </w:tcBorders>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-24765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-8255</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-24765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-8255</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-24765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-8255</wp:posOffset>
            </wp:positionV>
            <wp:extent cx="768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-24765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-8255</wp:posOffset>
            </wp:positionV>
            <wp:extent cx="76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-24765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-8255</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-24765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-8255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ind w:right="-19"/>
        <w:spacing w:after="0" w:line="210" w:lineRule="auto"/>
        <w:rPr>
          <w:sz w:val="20"/>
          <w:szCs w:val="20"/>
          <w:color w:val="auto"/>
        </w:rPr>
      </w:pPr>
      <w:r>
        <w:rPr>
          <w:rFonts w:ascii="Calibri" w:cs="Calibri" w:eastAsia="Calibri" w:hAnsi="Calibri"/>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EQUITY (DEFICIT)</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920" w:type="dxa"/>
            <w:vAlign w:val="bottom"/>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2" w:lineRule="exact"/>
              <w:rPr>
                <w:sz w:val="20"/>
                <w:szCs w:val="20"/>
                <w:color w:val="auto"/>
              </w:rPr>
            </w:pPr>
            <w:r>
              <w:rPr>
                <w:rFonts w:ascii="Calibri" w:cs="Calibri" w:eastAsia="Calibri" w:hAnsi="Calibri"/>
                <w:sz w:val="13"/>
                <w:szCs w:val="13"/>
                <w:color w:val="auto"/>
              </w:rPr>
              <w:t>Net income</w:t>
            </w:r>
          </w:p>
        </w:tc>
        <w:tc>
          <w:tcPr>
            <w:tcW w:w="700" w:type="dxa"/>
            <w:vAlign w:val="bottom"/>
            <w:gridSpan w:val="3"/>
          </w:tcPr>
          <w:p>
            <w:pPr>
              <w:ind w:left="180"/>
              <w:spacing w:after="0" w:line="132" w:lineRule="exact"/>
              <w:rPr>
                <w:sz w:val="20"/>
                <w:szCs w:val="20"/>
                <w:color w:val="auto"/>
              </w:rPr>
            </w:pPr>
            <w:r>
              <w:rPr>
                <w:rFonts w:ascii="Calibri" w:cs="Calibri" w:eastAsia="Calibri" w:hAnsi="Calibri"/>
                <w:sz w:val="13"/>
                <w:szCs w:val="13"/>
                <w:color w:val="auto"/>
              </w:rPr>
              <w:t>—</w:t>
            </w:r>
          </w:p>
        </w:tc>
        <w:tc>
          <w:tcPr>
            <w:tcW w:w="340" w:type="dxa"/>
            <w:vAlign w:val="bottom"/>
          </w:tcPr>
          <w:p>
            <w:pPr>
              <w:ind w:left="220"/>
              <w:spacing w:after="0" w:line="132" w:lineRule="exact"/>
              <w:rPr>
                <w:sz w:val="20"/>
                <w:szCs w:val="20"/>
                <w:color w:val="auto"/>
              </w:rPr>
            </w:pPr>
            <w:r>
              <w:rPr>
                <w:rFonts w:ascii="Calibri" w:cs="Calibri" w:eastAsia="Calibri" w:hAnsi="Calibri"/>
                <w:sz w:val="13"/>
                <w:szCs w:val="13"/>
                <w:color w:val="auto"/>
                <w:w w:val="84"/>
              </w:rPr>
              <w:t>—</w:t>
            </w:r>
          </w:p>
        </w:tc>
        <w:tc>
          <w:tcPr>
            <w:tcW w:w="140" w:type="dxa"/>
            <w:vAlign w:val="bottom"/>
          </w:tcPr>
          <w:p>
            <w:pPr>
              <w:spacing w:after="0"/>
              <w:rPr>
                <w:sz w:val="11"/>
                <w:szCs w:val="11"/>
                <w:color w:val="auto"/>
              </w:rPr>
            </w:pPr>
          </w:p>
        </w:tc>
        <w:tc>
          <w:tcPr>
            <w:tcW w:w="640" w:type="dxa"/>
            <w:vAlign w:val="bottom"/>
            <w:gridSpan w:val="3"/>
          </w:tcPr>
          <w:p>
            <w:pPr>
              <w:ind w:left="180"/>
              <w:spacing w:after="0" w:line="132" w:lineRule="exact"/>
              <w:rPr>
                <w:sz w:val="20"/>
                <w:szCs w:val="20"/>
                <w:color w:val="auto"/>
              </w:rPr>
            </w:pPr>
            <w:r>
              <w:rPr>
                <w:rFonts w:ascii="Calibri" w:cs="Calibri" w:eastAsia="Calibri" w:hAnsi="Calibri"/>
                <w:sz w:val="13"/>
                <w:szCs w:val="13"/>
                <w:color w:val="auto"/>
              </w:rPr>
              <w:t>—</w:t>
            </w:r>
          </w:p>
        </w:tc>
        <w:tc>
          <w:tcPr>
            <w:tcW w:w="260" w:type="dxa"/>
            <w:vAlign w:val="bottom"/>
          </w:tcPr>
          <w:p>
            <w:pPr>
              <w:ind w:left="140"/>
              <w:spacing w:after="0" w:line="132" w:lineRule="exact"/>
              <w:rPr>
                <w:sz w:val="20"/>
                <w:szCs w:val="20"/>
                <w:color w:val="auto"/>
              </w:rPr>
            </w:pPr>
            <w:r>
              <w:rPr>
                <w:rFonts w:ascii="Calibri" w:cs="Calibri" w:eastAsia="Calibri" w:hAnsi="Calibri"/>
                <w:sz w:val="13"/>
                <w:szCs w:val="13"/>
                <w:color w:val="auto"/>
                <w:w w:val="84"/>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2" w:lineRule="exact"/>
              <w:rPr>
                <w:sz w:val="20"/>
                <w:szCs w:val="20"/>
                <w:color w:val="auto"/>
              </w:rPr>
            </w:pPr>
            <w:r>
              <w:rPr>
                <w:rFonts w:ascii="Calibri" w:cs="Calibri" w:eastAsia="Calibri" w:hAnsi="Calibri"/>
                <w:sz w:val="13"/>
                <w:szCs w:val="13"/>
                <w:color w:val="auto"/>
              </w:rPr>
              <w:t>42,117</w:t>
            </w:r>
          </w:p>
        </w:tc>
        <w:tc>
          <w:tcPr>
            <w:tcW w:w="240" w:type="dxa"/>
            <w:vAlign w:val="bottom"/>
            <w:tcBorders>
              <w:right w:val="single" w:sz="8" w:color="auto"/>
            </w:tcBorders>
          </w:tcPr>
          <w:p>
            <w:pPr>
              <w:spacing w:after="0"/>
              <w:rPr>
                <w:sz w:val="11"/>
                <w:szCs w:val="11"/>
                <w:color w:val="auto"/>
              </w:rPr>
            </w:pPr>
          </w:p>
        </w:tc>
        <w:tc>
          <w:tcPr>
            <w:tcW w:w="180" w:type="dxa"/>
            <w:vAlign w:val="bottom"/>
          </w:tcPr>
          <w:p>
            <w:pPr>
              <w:ind w:left="60"/>
              <w:spacing w:after="0" w:line="132" w:lineRule="exact"/>
              <w:rPr>
                <w:sz w:val="20"/>
                <w:szCs w:val="20"/>
                <w:color w:val="auto"/>
              </w:rPr>
            </w:pPr>
            <w:r>
              <w:rPr>
                <w:rFonts w:ascii="Calibri" w:cs="Calibri" w:eastAsia="Calibri" w:hAnsi="Calibri"/>
                <w:sz w:val="13"/>
                <w:szCs w:val="13"/>
                <w:color w:val="auto"/>
                <w:w w:val="84"/>
              </w:rPr>
              <w:t>—</w:t>
            </w:r>
          </w:p>
        </w:tc>
        <w:tc>
          <w:tcPr>
            <w:tcW w:w="120" w:type="dxa"/>
            <w:vAlign w:val="bottom"/>
          </w:tcPr>
          <w:p>
            <w:pPr>
              <w:spacing w:after="0"/>
              <w:rPr>
                <w:sz w:val="11"/>
                <w:szCs w:val="11"/>
                <w:color w:val="auto"/>
              </w:rPr>
            </w:pPr>
          </w:p>
        </w:tc>
        <w:tc>
          <w:tcPr>
            <w:tcW w:w="340" w:type="dxa"/>
            <w:vAlign w:val="bottom"/>
            <w:gridSpan w:val="2"/>
          </w:tcPr>
          <w:p>
            <w:pPr>
              <w:jc w:val="right"/>
              <w:ind w:right="80"/>
              <w:spacing w:after="0" w:line="132" w:lineRule="exact"/>
              <w:rPr>
                <w:sz w:val="20"/>
                <w:szCs w:val="20"/>
                <w:color w:val="auto"/>
              </w:rPr>
            </w:pPr>
            <w:r>
              <w:rPr>
                <w:rFonts w:ascii="Calibri" w:cs="Calibri" w:eastAsia="Calibri" w:hAnsi="Calibri"/>
                <w:sz w:val="13"/>
                <w:szCs w:val="13"/>
                <w:color w:val="auto"/>
              </w:rPr>
              <w:t>—</w:t>
            </w:r>
          </w:p>
        </w:tc>
        <w:tc>
          <w:tcPr>
            <w:tcW w:w="640" w:type="dxa"/>
            <w:vAlign w:val="bottom"/>
          </w:tcPr>
          <w:p>
            <w:pPr>
              <w:jc w:val="right"/>
              <w:spacing w:after="0" w:line="13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1"/>
                <w:szCs w:val="11"/>
                <w:color w:val="auto"/>
              </w:rPr>
            </w:pPr>
          </w:p>
        </w:tc>
        <w:tc>
          <w:tcPr>
            <w:tcW w:w="320" w:type="dxa"/>
            <w:vAlign w:val="bottom"/>
            <w:gridSpan w:val="2"/>
          </w:tcPr>
          <w:p>
            <w:pPr>
              <w:ind w:left="140"/>
              <w:spacing w:after="0" w:line="132" w:lineRule="exact"/>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line="13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1"/>
                <w:szCs w:val="11"/>
                <w:color w:val="auto"/>
              </w:rPr>
            </w:pPr>
          </w:p>
        </w:tc>
        <w:tc>
          <w:tcPr>
            <w:tcW w:w="320" w:type="dxa"/>
            <w:vAlign w:val="bottom"/>
            <w:gridSpan w:val="2"/>
          </w:tcPr>
          <w:p>
            <w:pPr>
              <w:ind w:left="120"/>
              <w:spacing w:after="0" w:line="132" w:lineRule="exact"/>
              <w:rPr>
                <w:sz w:val="20"/>
                <w:szCs w:val="20"/>
                <w:color w:val="auto"/>
              </w:rPr>
            </w:pPr>
            <w:r>
              <w:rPr>
                <w:rFonts w:ascii="Calibri" w:cs="Calibri" w:eastAsia="Calibri" w:hAnsi="Calibri"/>
                <w:sz w:val="13"/>
                <w:szCs w:val="13"/>
                <w:color w:val="auto"/>
              </w:rPr>
              <w:t>—</w:t>
            </w:r>
          </w:p>
        </w:tc>
        <w:tc>
          <w:tcPr>
            <w:tcW w:w="180" w:type="dxa"/>
            <w:vAlign w:val="bottom"/>
          </w:tcPr>
          <w:p>
            <w:pPr>
              <w:jc w:val="right"/>
              <w:ind w:right="37"/>
              <w:spacing w:after="0" w:line="132" w:lineRule="exact"/>
              <w:rPr>
                <w:sz w:val="20"/>
                <w:szCs w:val="20"/>
                <w:color w:val="auto"/>
              </w:rPr>
            </w:pPr>
            <w:r>
              <w:rPr>
                <w:rFonts w:ascii="Calibri" w:cs="Calibri" w:eastAsia="Calibri" w:hAnsi="Calibri"/>
                <w:sz w:val="13"/>
                <w:szCs w:val="13"/>
                <w:color w:val="auto"/>
                <w:w w:val="90"/>
              </w:rPr>
              <w:t>$</w:t>
            </w:r>
          </w:p>
        </w:tc>
        <w:tc>
          <w:tcPr>
            <w:tcW w:w="520" w:type="dxa"/>
            <w:vAlign w:val="bottom"/>
          </w:tcPr>
          <w:p>
            <w:pPr>
              <w:jc w:val="right"/>
              <w:spacing w:after="0" w:line="13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2" w:lineRule="exact"/>
              <w:rPr>
                <w:sz w:val="20"/>
                <w:szCs w:val="20"/>
                <w:color w:val="auto"/>
              </w:rPr>
            </w:pPr>
            <w:r>
              <w:rPr>
                <w:rFonts w:ascii="Calibri" w:cs="Calibri" w:eastAsia="Calibri" w:hAnsi="Calibri"/>
                <w:sz w:val="13"/>
                <w:szCs w:val="13"/>
                <w:color w:val="auto"/>
              </w:rPr>
              <w:t>—</w:t>
            </w:r>
          </w:p>
        </w:tc>
        <w:tc>
          <w:tcPr>
            <w:tcW w:w="640" w:type="dxa"/>
            <w:vAlign w:val="bottom"/>
            <w:gridSpan w:val="2"/>
          </w:tcPr>
          <w:p>
            <w:pPr>
              <w:jc w:val="right"/>
              <w:ind w:right="120"/>
              <w:spacing w:after="0" w:line="132" w:lineRule="exact"/>
              <w:rPr>
                <w:sz w:val="20"/>
                <w:szCs w:val="20"/>
                <w:color w:val="auto"/>
              </w:rPr>
            </w:pPr>
            <w:r>
              <w:rPr>
                <w:rFonts w:ascii="Calibri" w:cs="Calibri" w:eastAsia="Calibri" w:hAnsi="Calibri"/>
                <w:sz w:val="13"/>
                <w:szCs w:val="13"/>
                <w:color w:val="auto"/>
              </w:rPr>
              <w:t>—</w:t>
            </w:r>
          </w:p>
        </w:tc>
        <w:tc>
          <w:tcPr>
            <w:tcW w:w="700" w:type="dxa"/>
            <w:vAlign w:val="bottom"/>
          </w:tcPr>
          <w:p>
            <w:pPr>
              <w:jc w:val="right"/>
              <w:spacing w:after="0" w:line="132" w:lineRule="exact"/>
              <w:rPr>
                <w:sz w:val="20"/>
                <w:szCs w:val="20"/>
                <w:color w:val="auto"/>
              </w:rPr>
            </w:pPr>
            <w:r>
              <w:rPr>
                <w:rFonts w:ascii="Calibri" w:cs="Calibri" w:eastAsia="Calibri" w:hAnsi="Calibri"/>
                <w:sz w:val="13"/>
                <w:szCs w:val="13"/>
                <w:color w:val="auto"/>
              </w:rPr>
              <w:t>28,662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3"/>
          </w:tcPr>
          <w:p>
            <w:pPr>
              <w:ind w:left="120"/>
              <w:spacing w:after="0" w:line="132" w:lineRule="exact"/>
              <w:rPr>
                <w:sz w:val="20"/>
                <w:szCs w:val="20"/>
                <w:color w:val="auto"/>
              </w:rPr>
            </w:pPr>
            <w:r>
              <w:rPr>
                <w:rFonts w:ascii="Calibri" w:cs="Calibri" w:eastAsia="Calibri" w:hAnsi="Calibri"/>
                <w:sz w:val="13"/>
                <w:szCs w:val="13"/>
                <w:color w:val="auto"/>
              </w:rPr>
              <w:t>—</w:t>
            </w:r>
          </w:p>
        </w:tc>
        <w:tc>
          <w:tcPr>
            <w:tcW w:w="540" w:type="dxa"/>
            <w:vAlign w:val="bottom"/>
          </w:tcPr>
          <w:p>
            <w:pPr>
              <w:jc w:val="right"/>
              <w:spacing w:after="0" w:line="132" w:lineRule="exact"/>
              <w:rPr>
                <w:sz w:val="20"/>
                <w:szCs w:val="20"/>
                <w:color w:val="auto"/>
              </w:rPr>
            </w:pPr>
            <w:r>
              <w:rPr>
                <w:rFonts w:ascii="Calibri" w:cs="Calibri" w:eastAsia="Calibri" w:hAnsi="Calibri"/>
                <w:sz w:val="13"/>
                <w:szCs w:val="13"/>
                <w:color w:val="auto"/>
              </w:rPr>
              <w:t>28,662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2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Issuance of</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shares</w:t>
            </w:r>
          </w:p>
        </w:tc>
        <w:tc>
          <w:tcPr>
            <w:tcW w:w="700" w:type="dxa"/>
            <w:vAlign w:val="bottom"/>
            <w:tcBorders>
              <w:bottom w:val="single" w:sz="8" w:color="CFF0FC"/>
            </w:tcBorders>
            <w:gridSpan w:val="3"/>
            <w:shd w:val="clear" w:color="auto" w:fill="CFF0FC"/>
          </w:tcPr>
          <w:p>
            <w:pPr>
              <w:ind w:left="18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tcBorders>
              <w:bottom w:val="single" w:sz="8" w:color="CFF0FC"/>
            </w:tcBorders>
            <w:shd w:val="clear" w:color="auto" w:fill="CFF0FC"/>
          </w:tcPr>
          <w:p>
            <w:pPr>
              <w:ind w:left="22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3"/>
            <w:shd w:val="clear" w:color="auto" w:fill="CFF0FC"/>
          </w:tcPr>
          <w:p>
            <w:pPr>
              <w:ind w:left="18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ind w:left="14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right w:val="single" w:sz="8" w:color="auto"/>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ind w:left="60"/>
              <w:spacing w:after="0" w:line="149" w:lineRule="exact"/>
              <w:rPr>
                <w:sz w:val="20"/>
                <w:szCs w:val="20"/>
                <w:color w:val="auto"/>
              </w:rPr>
            </w:pPr>
            <w:r>
              <w:rPr>
                <w:rFonts w:ascii="Calibri" w:cs="Calibri" w:eastAsia="Calibri" w:hAnsi="Calibri"/>
                <w:sz w:val="13"/>
                <w:szCs w:val="13"/>
                <w:color w:val="auto"/>
                <w:w w:val="84"/>
              </w:rPr>
              <w:t>—</w:t>
            </w:r>
          </w:p>
        </w:tc>
        <w:tc>
          <w:tcPr>
            <w:tcW w:w="12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gridSpan w:val="2"/>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591,118</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000" w:type="dxa"/>
            <w:vAlign w:val="bottom"/>
            <w:tcBorders>
              <w:bottom w:val="single" w:sz="8" w:color="CFF0FC"/>
            </w:tcBorders>
            <w:gridSpan w:val="3"/>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520" w:type="dxa"/>
            <w:vAlign w:val="bottom"/>
            <w:tcBorders>
              <w:bottom w:val="single" w:sz="8" w:color="CFF0FC"/>
            </w:tcBorders>
            <w:gridSpan w:val="3"/>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1"/>
        </w:trPr>
        <w:tc>
          <w:tcPr>
            <w:tcW w:w="920" w:type="dxa"/>
            <w:vAlign w:val="bottom"/>
          </w:tcPr>
          <w:p>
            <w:pPr>
              <w:ind w:left="20"/>
              <w:spacing w:after="0" w:line="152" w:lineRule="exact"/>
              <w:rPr>
                <w:sz w:val="20"/>
                <w:szCs w:val="20"/>
                <w:color w:val="auto"/>
              </w:rPr>
            </w:pPr>
            <w:r>
              <w:rPr>
                <w:rFonts w:ascii="Calibri" w:cs="Calibri" w:eastAsia="Calibri" w:hAnsi="Calibri"/>
                <w:sz w:val="13"/>
                <w:szCs w:val="13"/>
                <w:color w:val="auto"/>
              </w:rPr>
              <w:t>Deemed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contributon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from former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parent</w:t>
            </w:r>
          </w:p>
        </w:tc>
        <w:tc>
          <w:tcPr>
            <w:tcW w:w="700" w:type="dxa"/>
            <w:vAlign w:val="bottom"/>
            <w:gridSpan w:val="3"/>
          </w:tcPr>
          <w:p>
            <w:pPr>
              <w:ind w:left="18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tcPr>
          <w:p>
            <w:pPr>
              <w:ind w:left="22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Pr>
          <w:p>
            <w:pPr>
              <w:spacing w:after="0"/>
              <w:rPr>
                <w:sz w:val="12"/>
                <w:szCs w:val="12"/>
                <w:color w:val="auto"/>
              </w:rPr>
            </w:pPr>
          </w:p>
        </w:tc>
        <w:tc>
          <w:tcPr>
            <w:tcW w:w="640" w:type="dxa"/>
            <w:vAlign w:val="bottom"/>
            <w:gridSpan w:val="3"/>
          </w:tcPr>
          <w:p>
            <w:pPr>
              <w:ind w:left="18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Pr>
          <w:p>
            <w:pPr>
              <w:ind w:left="14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Calibri" w:cs="Calibri" w:eastAsia="Calibri" w:hAnsi="Calibri"/>
                <w:sz w:val="13"/>
                <w:szCs w:val="13"/>
                <w:color w:val="auto"/>
              </w:rPr>
              <w:t>2,687</w:t>
            </w:r>
          </w:p>
        </w:tc>
        <w:tc>
          <w:tcPr>
            <w:tcW w:w="240" w:type="dxa"/>
            <w:vAlign w:val="bottom"/>
            <w:tcBorders>
              <w:right w:val="single" w:sz="8" w:color="auto"/>
            </w:tcBorders>
          </w:tcPr>
          <w:p>
            <w:pPr>
              <w:spacing w:after="0"/>
              <w:rPr>
                <w:sz w:val="12"/>
                <w:szCs w:val="12"/>
                <w:color w:val="auto"/>
              </w:rPr>
            </w:pPr>
          </w:p>
        </w:tc>
        <w:tc>
          <w:tcPr>
            <w:tcW w:w="180" w:type="dxa"/>
            <w:vAlign w:val="bottom"/>
          </w:tcPr>
          <w:p>
            <w:pPr>
              <w:ind w:left="60"/>
              <w:spacing w:after="0" w:line="149" w:lineRule="exact"/>
              <w:rPr>
                <w:sz w:val="20"/>
                <w:szCs w:val="20"/>
                <w:color w:val="auto"/>
              </w:rPr>
            </w:pPr>
            <w:r>
              <w:rPr>
                <w:rFonts w:ascii="Calibri" w:cs="Calibri" w:eastAsia="Calibri" w:hAnsi="Calibri"/>
                <w:sz w:val="13"/>
                <w:szCs w:val="13"/>
                <w:color w:val="auto"/>
                <w:w w:val="84"/>
              </w:rPr>
              <w:t>—</w:t>
            </w:r>
          </w:p>
        </w:tc>
        <w:tc>
          <w:tcPr>
            <w:tcW w:w="1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Calibri" w:cs="Calibri" w:eastAsia="Calibri" w:hAnsi="Calibri"/>
                <w:sz w:val="13"/>
                <w:szCs w:val="13"/>
                <w:color w:val="auto"/>
              </w:rPr>
              <w:t>1,824</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000" w:type="dxa"/>
            <w:vAlign w:val="bottom"/>
            <w:gridSpan w:val="3"/>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520" w:type="dxa"/>
            <w:vAlign w:val="bottom"/>
            <w:gridSpan w:val="3"/>
          </w:tcPr>
          <w:p>
            <w:pPr>
              <w:ind w:left="120"/>
              <w:spacing w:after="0" w:line="149" w:lineRule="exact"/>
              <w:rPr>
                <w:sz w:val="20"/>
                <w:szCs w:val="20"/>
                <w:color w:val="auto"/>
              </w:rPr>
            </w:pPr>
            <w:r>
              <w:rPr>
                <w:rFonts w:ascii="Calibri" w:cs="Calibri" w:eastAsia="Calibri" w:hAnsi="Calibri"/>
                <w:sz w:val="13"/>
                <w:szCs w:val="13"/>
                <w:color w:val="auto"/>
              </w:rPr>
              <w:t>—</w:t>
            </w:r>
          </w:p>
        </w:tc>
        <w:tc>
          <w:tcPr>
            <w:tcW w:w="540" w:type="dxa"/>
            <w:vAlign w:val="bottom"/>
          </w:tcPr>
          <w:p>
            <w:pPr>
              <w:jc w:val="right"/>
              <w:spacing w:after="0" w:line="149" w:lineRule="exact"/>
              <w:rPr>
                <w:sz w:val="20"/>
                <w:szCs w:val="20"/>
                <w:color w:val="auto"/>
              </w:rPr>
            </w:pPr>
            <w:r>
              <w:rPr>
                <w:rFonts w:ascii="Calibri" w:cs="Calibri" w:eastAsia="Calibri" w:hAnsi="Calibri"/>
                <w:sz w:val="13"/>
                <w:szCs w:val="13"/>
                <w:color w:val="auto"/>
              </w:rPr>
              <w:t>1,824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92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Equity-based</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compensaton</w:t>
            </w:r>
          </w:p>
        </w:tc>
        <w:tc>
          <w:tcPr>
            <w:tcW w:w="700" w:type="dxa"/>
            <w:vAlign w:val="bottom"/>
            <w:tcBorders>
              <w:bottom w:val="single" w:sz="8" w:color="CFF0FC"/>
            </w:tcBorders>
            <w:gridSpan w:val="3"/>
            <w:shd w:val="clear" w:color="auto" w:fill="CFF0FC"/>
          </w:tcPr>
          <w:p>
            <w:pPr>
              <w:ind w:left="18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tcBorders>
              <w:bottom w:val="single" w:sz="8" w:color="CFF0FC"/>
            </w:tcBorders>
            <w:shd w:val="clear" w:color="auto" w:fill="CFF0FC"/>
          </w:tcPr>
          <w:p>
            <w:pPr>
              <w:ind w:left="22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3"/>
            <w:shd w:val="clear" w:color="auto" w:fill="CFF0FC"/>
          </w:tcPr>
          <w:p>
            <w:pPr>
              <w:ind w:left="18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ind w:left="14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right w:val="single" w:sz="8" w:color="auto"/>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ind w:left="60"/>
              <w:spacing w:after="0" w:line="149" w:lineRule="exact"/>
              <w:rPr>
                <w:sz w:val="20"/>
                <w:szCs w:val="20"/>
                <w:color w:val="auto"/>
              </w:rPr>
            </w:pPr>
            <w:r>
              <w:rPr>
                <w:rFonts w:ascii="Calibri" w:cs="Calibri" w:eastAsia="Calibri" w:hAnsi="Calibri"/>
                <w:sz w:val="13"/>
                <w:szCs w:val="13"/>
                <w:color w:val="auto"/>
                <w:w w:val="84"/>
              </w:rPr>
              <w:t>—</w:t>
            </w:r>
          </w:p>
        </w:tc>
        <w:tc>
          <w:tcPr>
            <w:tcW w:w="12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gridSpan w:val="2"/>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14,621</w:t>
            </w: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000" w:type="dxa"/>
            <w:vAlign w:val="bottom"/>
            <w:tcBorders>
              <w:bottom w:val="single" w:sz="8" w:color="CFF0FC"/>
            </w:tcBorders>
            <w:gridSpan w:val="3"/>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520" w:type="dxa"/>
            <w:vAlign w:val="bottom"/>
            <w:tcBorders>
              <w:bottom w:val="single" w:sz="8" w:color="CFF0FC"/>
            </w:tcBorders>
            <w:gridSpan w:val="3"/>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14,621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0"/>
              <w:spacing w:after="0" w:line="152" w:lineRule="exact"/>
              <w:rPr>
                <w:sz w:val="20"/>
                <w:szCs w:val="20"/>
                <w:color w:val="auto"/>
              </w:rPr>
            </w:pPr>
            <w:r>
              <w:rPr>
                <w:rFonts w:ascii="Calibri" w:cs="Calibri" w:eastAsia="Calibri" w:hAnsi="Calibri"/>
                <w:sz w:val="13"/>
                <w:szCs w:val="13"/>
                <w:color w:val="auto"/>
              </w:rPr>
              <w:t>Repurchases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(4,342,47</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common stock</w:t>
            </w:r>
          </w:p>
        </w:tc>
        <w:tc>
          <w:tcPr>
            <w:tcW w:w="700" w:type="dxa"/>
            <w:vAlign w:val="bottom"/>
            <w:gridSpan w:val="3"/>
          </w:tcPr>
          <w:p>
            <w:pPr>
              <w:ind w:left="18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tcPr>
          <w:p>
            <w:pPr>
              <w:ind w:left="22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Pr>
          <w:p>
            <w:pPr>
              <w:spacing w:after="0"/>
              <w:rPr>
                <w:sz w:val="12"/>
                <w:szCs w:val="12"/>
                <w:color w:val="auto"/>
              </w:rPr>
            </w:pPr>
          </w:p>
        </w:tc>
        <w:tc>
          <w:tcPr>
            <w:tcW w:w="640" w:type="dxa"/>
            <w:vAlign w:val="bottom"/>
            <w:gridSpan w:val="3"/>
          </w:tcPr>
          <w:p>
            <w:pPr>
              <w:ind w:left="18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Pr>
          <w:p>
            <w:pPr>
              <w:ind w:left="14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ind w:left="60"/>
              <w:spacing w:after="0" w:line="149" w:lineRule="exact"/>
              <w:rPr>
                <w:sz w:val="20"/>
                <w:szCs w:val="20"/>
                <w:color w:val="auto"/>
              </w:rPr>
            </w:pPr>
            <w:r>
              <w:rPr>
                <w:rFonts w:ascii="Calibri" w:cs="Calibri" w:eastAsia="Calibri" w:hAnsi="Calibri"/>
                <w:sz w:val="13"/>
                <w:szCs w:val="13"/>
                <w:color w:val="auto"/>
                <w:w w:val="84"/>
              </w:rPr>
              <w:t>—</w:t>
            </w:r>
          </w:p>
        </w:tc>
        <w:tc>
          <w:tcPr>
            <w:tcW w:w="1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840" w:type="dxa"/>
            <w:vAlign w:val="bottom"/>
            <w:gridSpan w:val="3"/>
          </w:tcPr>
          <w:p>
            <w:pPr>
              <w:jc w:val="right"/>
              <w:ind w:right="60"/>
              <w:spacing w:after="0" w:line="149" w:lineRule="exact"/>
              <w:rPr>
                <w:sz w:val="20"/>
                <w:szCs w:val="20"/>
                <w:color w:val="auto"/>
              </w:rPr>
            </w:pPr>
            <w:r>
              <w:rPr>
                <w:rFonts w:ascii="Calibri" w:cs="Calibri" w:eastAsia="Calibri" w:hAnsi="Calibri"/>
                <w:sz w:val="13"/>
                <w:szCs w:val="13"/>
                <w:color w:val="auto"/>
              </w:rPr>
              <w:t>7 )</w:t>
            </w:r>
          </w:p>
        </w:tc>
        <w:tc>
          <w:tcPr>
            <w:tcW w:w="64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(32,494 )</w:t>
            </w:r>
          </w:p>
        </w:tc>
        <w:tc>
          <w:tcPr>
            <w:tcW w:w="1000" w:type="dxa"/>
            <w:vAlign w:val="bottom"/>
            <w:gridSpan w:val="3"/>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520" w:type="dxa"/>
            <w:vAlign w:val="bottom"/>
            <w:gridSpan w:val="3"/>
          </w:tcPr>
          <w:p>
            <w:pPr>
              <w:ind w:left="12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(32,494 )</w:t>
            </w: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2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Distributons to</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non-controlling</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interest</w:t>
            </w:r>
          </w:p>
        </w:tc>
        <w:tc>
          <w:tcPr>
            <w:tcW w:w="700" w:type="dxa"/>
            <w:vAlign w:val="bottom"/>
            <w:tcBorders>
              <w:bottom w:val="single" w:sz="8" w:color="CFF0FC"/>
            </w:tcBorders>
            <w:gridSpan w:val="3"/>
            <w:shd w:val="clear" w:color="auto" w:fill="CFF0FC"/>
          </w:tcPr>
          <w:p>
            <w:pPr>
              <w:ind w:left="18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tcBorders>
              <w:bottom w:val="single" w:sz="8" w:color="CFF0FC"/>
            </w:tcBorders>
            <w:shd w:val="clear" w:color="auto" w:fill="CFF0FC"/>
          </w:tcPr>
          <w:p>
            <w:pPr>
              <w:ind w:left="22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3"/>
            <w:shd w:val="clear" w:color="auto" w:fill="CFF0FC"/>
          </w:tcPr>
          <w:p>
            <w:pPr>
              <w:ind w:left="18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ind w:left="14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right w:val="single" w:sz="8" w:color="auto"/>
            </w:tcBorders>
            <w:gridSpan w:val="2"/>
            <w:shd w:val="clear" w:color="auto" w:fill="CFF0FC"/>
          </w:tcPr>
          <w:p>
            <w:pPr>
              <w:jc w:val="right"/>
              <w:ind w:right="200"/>
              <w:spacing w:after="0" w:line="149" w:lineRule="exact"/>
              <w:rPr>
                <w:sz w:val="20"/>
                <w:szCs w:val="20"/>
                <w:color w:val="auto"/>
              </w:rPr>
            </w:pPr>
            <w:r>
              <w:rPr>
                <w:rFonts w:ascii="Calibri" w:cs="Calibri" w:eastAsia="Calibri" w:hAnsi="Calibri"/>
                <w:sz w:val="13"/>
                <w:szCs w:val="13"/>
                <w:color w:val="auto"/>
              </w:rPr>
              <w:t>(5,245 )</w:t>
            </w:r>
          </w:p>
        </w:tc>
        <w:tc>
          <w:tcPr>
            <w:tcW w:w="180" w:type="dxa"/>
            <w:vAlign w:val="bottom"/>
            <w:tcBorders>
              <w:bottom w:val="single" w:sz="8" w:color="CFF0FC"/>
            </w:tcBorders>
            <w:shd w:val="clear" w:color="auto" w:fill="CFF0FC"/>
          </w:tcPr>
          <w:p>
            <w:pPr>
              <w:ind w:left="60"/>
              <w:spacing w:after="0" w:line="149" w:lineRule="exact"/>
              <w:rPr>
                <w:sz w:val="20"/>
                <w:szCs w:val="20"/>
                <w:color w:val="auto"/>
              </w:rPr>
            </w:pPr>
            <w:r>
              <w:rPr>
                <w:rFonts w:ascii="Calibri" w:cs="Calibri" w:eastAsia="Calibri" w:hAnsi="Calibri"/>
                <w:sz w:val="13"/>
                <w:szCs w:val="13"/>
                <w:color w:val="auto"/>
                <w:w w:val="84"/>
              </w:rPr>
              <w:t>—</w:t>
            </w:r>
          </w:p>
        </w:tc>
        <w:tc>
          <w:tcPr>
            <w:tcW w:w="12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gridSpan w:val="2"/>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000" w:type="dxa"/>
            <w:vAlign w:val="bottom"/>
            <w:tcBorders>
              <w:bottom w:val="single" w:sz="8" w:color="CFF0FC"/>
            </w:tcBorders>
            <w:gridSpan w:val="3"/>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520" w:type="dxa"/>
            <w:vAlign w:val="bottom"/>
            <w:tcBorders>
              <w:bottom w:val="single" w:sz="8" w:color="CFF0FC"/>
            </w:tcBorders>
            <w:gridSpan w:val="3"/>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2"/>
        </w:trPr>
        <w:tc>
          <w:tcPr>
            <w:tcW w:w="920" w:type="dxa"/>
            <w:vAlign w:val="bottom"/>
          </w:tcPr>
          <w:p>
            <w:pPr>
              <w:ind w:left="20"/>
              <w:spacing w:after="0" w:line="152" w:lineRule="exact"/>
              <w:rPr>
                <w:sz w:val="20"/>
                <w:szCs w:val="20"/>
                <w:color w:val="auto"/>
              </w:rPr>
            </w:pPr>
            <w:r>
              <w:rPr>
                <w:rFonts w:ascii="Calibri" w:cs="Calibri" w:eastAsia="Calibri" w:hAnsi="Calibri"/>
                <w:sz w:val="13"/>
                <w:szCs w:val="13"/>
                <w:color w:val="auto"/>
              </w:rPr>
              <w:t>Reclassifcaton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of contngent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consideraton</w:t>
            </w:r>
          </w:p>
        </w:tc>
        <w:tc>
          <w:tcPr>
            <w:tcW w:w="700" w:type="dxa"/>
            <w:vAlign w:val="bottom"/>
            <w:gridSpan w:val="3"/>
          </w:tcPr>
          <w:p>
            <w:pPr>
              <w:ind w:left="18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tcPr>
          <w:p>
            <w:pPr>
              <w:ind w:left="22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Pr>
          <w:p>
            <w:pPr>
              <w:spacing w:after="0"/>
              <w:rPr>
                <w:sz w:val="12"/>
                <w:szCs w:val="12"/>
                <w:color w:val="auto"/>
              </w:rPr>
            </w:pPr>
          </w:p>
        </w:tc>
        <w:tc>
          <w:tcPr>
            <w:tcW w:w="640" w:type="dxa"/>
            <w:vAlign w:val="bottom"/>
            <w:gridSpan w:val="3"/>
          </w:tcPr>
          <w:p>
            <w:pPr>
              <w:ind w:left="18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Pr>
          <w:p>
            <w:pPr>
              <w:ind w:left="14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ind w:left="60"/>
              <w:spacing w:after="0" w:line="149" w:lineRule="exact"/>
              <w:rPr>
                <w:sz w:val="20"/>
                <w:szCs w:val="20"/>
                <w:color w:val="auto"/>
              </w:rPr>
            </w:pPr>
            <w:r>
              <w:rPr>
                <w:rFonts w:ascii="Calibri" w:cs="Calibri" w:eastAsia="Calibri" w:hAnsi="Calibri"/>
                <w:sz w:val="13"/>
                <w:szCs w:val="13"/>
                <w:color w:val="auto"/>
                <w:w w:val="84"/>
              </w:rPr>
              <w:t>—</w:t>
            </w:r>
          </w:p>
        </w:tc>
        <w:tc>
          <w:tcPr>
            <w:tcW w:w="1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tcPr>
          <w:p>
            <w:pPr>
              <w:ind w:left="1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Calibri" w:cs="Calibri" w:eastAsia="Calibri" w:hAnsi="Calibri"/>
                <w:sz w:val="13"/>
                <w:szCs w:val="13"/>
                <w:color w:val="auto"/>
              </w:rPr>
              <w:t>2,657</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000" w:type="dxa"/>
            <w:vAlign w:val="bottom"/>
            <w:gridSpan w:val="3"/>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520" w:type="dxa"/>
            <w:vAlign w:val="bottom"/>
            <w:gridSpan w:val="3"/>
          </w:tcPr>
          <w:p>
            <w:pPr>
              <w:ind w:left="120"/>
              <w:spacing w:after="0" w:line="149" w:lineRule="exact"/>
              <w:rPr>
                <w:sz w:val="20"/>
                <w:szCs w:val="20"/>
                <w:color w:val="auto"/>
              </w:rPr>
            </w:pPr>
            <w:r>
              <w:rPr>
                <w:rFonts w:ascii="Calibri" w:cs="Calibri" w:eastAsia="Calibri" w:hAnsi="Calibri"/>
                <w:sz w:val="13"/>
                <w:szCs w:val="13"/>
                <w:color w:val="auto"/>
              </w:rPr>
              <w:t>—</w:t>
            </w:r>
          </w:p>
        </w:tc>
        <w:tc>
          <w:tcPr>
            <w:tcW w:w="540" w:type="dxa"/>
            <w:vAlign w:val="bottom"/>
          </w:tcPr>
          <w:p>
            <w:pPr>
              <w:jc w:val="right"/>
              <w:spacing w:after="0" w:line="149" w:lineRule="exact"/>
              <w:rPr>
                <w:sz w:val="20"/>
                <w:szCs w:val="20"/>
                <w:color w:val="auto"/>
              </w:rPr>
            </w:pPr>
            <w:r>
              <w:rPr>
                <w:rFonts w:ascii="Calibri" w:cs="Calibri" w:eastAsia="Calibri" w:hAnsi="Calibri"/>
                <w:sz w:val="13"/>
                <w:szCs w:val="13"/>
                <w:color w:val="auto"/>
              </w:rPr>
              <w:t>2,657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920" w:type="dxa"/>
            <w:vAlign w:val="bottom"/>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Subsequent</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remeasurement</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of Redeemable</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noncontrolling</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tcBorders>
              <w:bottom w:val="single" w:sz="8" w:color="CFF0FC"/>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interests</w:t>
            </w:r>
          </w:p>
        </w:tc>
        <w:tc>
          <w:tcPr>
            <w:tcW w:w="700" w:type="dxa"/>
            <w:vAlign w:val="bottom"/>
            <w:tcBorders>
              <w:bottom w:val="single" w:sz="8" w:color="CFF0FC"/>
            </w:tcBorders>
            <w:gridSpan w:val="3"/>
            <w:shd w:val="clear" w:color="auto" w:fill="CFF0FC"/>
          </w:tcPr>
          <w:p>
            <w:pPr>
              <w:ind w:left="180"/>
              <w:spacing w:after="0" w:line="149" w:lineRule="exact"/>
              <w:rPr>
                <w:sz w:val="20"/>
                <w:szCs w:val="20"/>
                <w:color w:val="auto"/>
              </w:rPr>
            </w:pPr>
            <w:r>
              <w:rPr>
                <w:rFonts w:ascii="Calibri" w:cs="Calibri" w:eastAsia="Calibri" w:hAnsi="Calibri"/>
                <w:sz w:val="13"/>
                <w:szCs w:val="13"/>
                <w:color w:val="auto"/>
              </w:rPr>
              <w:t>—</w:t>
            </w:r>
          </w:p>
        </w:tc>
        <w:tc>
          <w:tcPr>
            <w:tcW w:w="340" w:type="dxa"/>
            <w:vAlign w:val="bottom"/>
            <w:tcBorders>
              <w:bottom w:val="single" w:sz="8" w:color="CFF0FC"/>
            </w:tcBorders>
            <w:shd w:val="clear" w:color="auto" w:fill="CFF0FC"/>
          </w:tcPr>
          <w:p>
            <w:pPr>
              <w:ind w:left="22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3"/>
            <w:shd w:val="clear" w:color="auto" w:fill="CFF0FC"/>
          </w:tcPr>
          <w:p>
            <w:pPr>
              <w:ind w:left="180"/>
              <w:spacing w:after="0" w:line="149" w:lineRule="exact"/>
              <w:rPr>
                <w:sz w:val="20"/>
                <w:szCs w:val="20"/>
                <w:color w:val="auto"/>
              </w:rPr>
            </w:pPr>
            <w:r>
              <w:rPr>
                <w:rFonts w:ascii="Calibri" w:cs="Calibri" w:eastAsia="Calibri" w:hAnsi="Calibri"/>
                <w:sz w:val="13"/>
                <w:szCs w:val="13"/>
                <w:color w:val="auto"/>
              </w:rPr>
              <w:t>—</w:t>
            </w:r>
          </w:p>
        </w:tc>
        <w:tc>
          <w:tcPr>
            <w:tcW w:w="260" w:type="dxa"/>
            <w:vAlign w:val="bottom"/>
            <w:tcBorders>
              <w:bottom w:val="single" w:sz="8" w:color="CFF0FC"/>
            </w:tcBorders>
            <w:shd w:val="clear" w:color="auto" w:fill="CFF0FC"/>
          </w:tcPr>
          <w:p>
            <w:pPr>
              <w:ind w:left="140"/>
              <w:spacing w:after="0" w:line="149" w:lineRule="exact"/>
              <w:rPr>
                <w:sz w:val="20"/>
                <w:szCs w:val="20"/>
                <w:color w:val="auto"/>
              </w:rPr>
            </w:pPr>
            <w:r>
              <w:rPr>
                <w:rFonts w:ascii="Calibri" w:cs="Calibri" w:eastAsia="Calibri" w:hAnsi="Calibri"/>
                <w:sz w:val="13"/>
                <w:szCs w:val="13"/>
                <w:color w:val="auto"/>
                <w:w w:val="84"/>
              </w:rPr>
              <w:t>—</w:t>
            </w: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right w:val="single" w:sz="8" w:color="auto"/>
            </w:tcBorders>
            <w:gridSpan w:val="2"/>
            <w:shd w:val="clear" w:color="auto" w:fill="CFF0FC"/>
          </w:tcPr>
          <w:p>
            <w:pPr>
              <w:jc w:val="right"/>
              <w:ind w:right="200"/>
              <w:spacing w:after="0" w:line="149" w:lineRule="exact"/>
              <w:rPr>
                <w:sz w:val="20"/>
                <w:szCs w:val="20"/>
                <w:color w:val="auto"/>
              </w:rPr>
            </w:pPr>
            <w:r>
              <w:rPr>
                <w:rFonts w:ascii="Calibri" w:cs="Calibri" w:eastAsia="Calibri" w:hAnsi="Calibri"/>
                <w:sz w:val="13"/>
                <w:szCs w:val="13"/>
                <w:color w:val="auto"/>
              </w:rPr>
              <w:t>(462,715 )</w:t>
            </w:r>
          </w:p>
        </w:tc>
        <w:tc>
          <w:tcPr>
            <w:tcW w:w="180" w:type="dxa"/>
            <w:vAlign w:val="bottom"/>
            <w:tcBorders>
              <w:bottom w:val="single" w:sz="8" w:color="CFF0FC"/>
            </w:tcBorders>
            <w:shd w:val="clear" w:color="auto" w:fill="CFF0FC"/>
          </w:tcPr>
          <w:p>
            <w:pPr>
              <w:ind w:left="60"/>
              <w:spacing w:after="0" w:line="149" w:lineRule="exact"/>
              <w:rPr>
                <w:sz w:val="20"/>
                <w:szCs w:val="20"/>
                <w:color w:val="auto"/>
              </w:rPr>
            </w:pPr>
            <w:r>
              <w:rPr>
                <w:rFonts w:ascii="Calibri" w:cs="Calibri" w:eastAsia="Calibri" w:hAnsi="Calibri"/>
                <w:sz w:val="13"/>
                <w:szCs w:val="13"/>
                <w:color w:val="auto"/>
                <w:w w:val="84"/>
              </w:rPr>
              <w:t>—</w:t>
            </w:r>
          </w:p>
        </w:tc>
        <w:tc>
          <w:tcPr>
            <w:tcW w:w="12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gridSpan w:val="2"/>
            <w:shd w:val="clear" w:color="auto" w:fill="CFF0FC"/>
          </w:tcPr>
          <w:p>
            <w:pPr>
              <w:jc w:val="right"/>
              <w:ind w:right="8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40"/>
              <w:spacing w:after="0" w:line="149"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gridSpan w:val="2"/>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462,715</w:t>
            </w: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64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1000" w:type="dxa"/>
            <w:vAlign w:val="bottom"/>
            <w:tcBorders>
              <w:bottom w:val="single" w:sz="8" w:color="CFF0FC"/>
            </w:tcBorders>
            <w:gridSpan w:val="3"/>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520" w:type="dxa"/>
            <w:vAlign w:val="bottom"/>
            <w:tcBorders>
              <w:bottom w:val="single" w:sz="8" w:color="CFF0FC"/>
            </w:tcBorders>
            <w:gridSpan w:val="3"/>
            <w:shd w:val="clear" w:color="auto" w:fill="CFF0FC"/>
          </w:tcPr>
          <w:p>
            <w:pPr>
              <w:ind w:left="120"/>
              <w:spacing w:after="0" w:line="149" w:lineRule="exact"/>
              <w:rPr>
                <w:sz w:val="20"/>
                <w:szCs w:val="20"/>
                <w:color w:val="auto"/>
              </w:rPr>
            </w:pPr>
            <w:r>
              <w:rPr>
                <w:rFonts w:ascii="Calibri" w:cs="Calibri" w:eastAsia="Calibri" w:hAnsi="Calibri"/>
                <w:sz w:val="13"/>
                <w:szCs w:val="13"/>
                <w:color w:val="auto"/>
              </w:rPr>
              <w:t>—</w:t>
            </w:r>
          </w:p>
        </w:tc>
        <w:tc>
          <w:tcPr>
            <w:tcW w:w="5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462,715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0"/>
              <w:spacing w:after="0" w:line="152" w:lineRule="exact"/>
              <w:rPr>
                <w:sz w:val="20"/>
                <w:szCs w:val="20"/>
                <w:color w:val="auto"/>
              </w:rPr>
            </w:pPr>
            <w:r>
              <w:rPr>
                <w:rFonts w:ascii="Calibri" w:cs="Calibri" w:eastAsia="Calibri" w:hAnsi="Calibri"/>
                <w:sz w:val="13"/>
                <w:szCs w:val="13"/>
                <w:color w:val="auto"/>
              </w:rPr>
              <w:t>Increase in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common 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outstanding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following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warrant</w:t>
            </w:r>
          </w:p>
        </w:tc>
        <w:tc>
          <w:tcPr>
            <w:tcW w:w="300" w:type="dxa"/>
            <w:vAlign w:val="bottom"/>
            <w:vMerge w:val="restart"/>
          </w:tcPr>
          <w:p>
            <w:pPr>
              <w:ind w:left="180"/>
              <w:spacing w:after="0"/>
              <w:rPr>
                <w:sz w:val="20"/>
                <w:szCs w:val="20"/>
                <w:color w:val="auto"/>
              </w:rPr>
            </w:pPr>
            <w:r>
              <w:rPr>
                <w:rFonts w:ascii="Calibri" w:cs="Calibri" w:eastAsia="Calibri" w:hAnsi="Calibri"/>
                <w:sz w:val="13"/>
                <w:szCs w:val="13"/>
                <w:color w:val="auto"/>
                <w:w w:val="84"/>
              </w:rPr>
              <w:t>—</w:t>
            </w:r>
          </w:p>
        </w:tc>
        <w:tc>
          <w:tcPr>
            <w:tcW w:w="1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340" w:type="dxa"/>
            <w:vAlign w:val="bottom"/>
            <w:vMerge w:val="restart"/>
          </w:tcPr>
          <w:p>
            <w:pPr>
              <w:ind w:left="220"/>
              <w:spacing w:after="0"/>
              <w:rPr>
                <w:sz w:val="20"/>
                <w:szCs w:val="20"/>
                <w:color w:val="auto"/>
              </w:rPr>
            </w:pPr>
            <w:r>
              <w:rPr>
                <w:rFonts w:ascii="Calibri" w:cs="Calibri" w:eastAsia="Calibri" w:hAnsi="Calibri"/>
                <w:sz w:val="13"/>
                <w:szCs w:val="13"/>
                <w:color w:val="auto"/>
                <w:w w:val="84"/>
              </w:rPr>
              <w:t>—</w:t>
            </w:r>
          </w:p>
        </w:tc>
        <w:tc>
          <w:tcPr>
            <w:tcW w:w="140" w:type="dxa"/>
            <w:vAlign w:val="bottom"/>
          </w:tcPr>
          <w:p>
            <w:pPr>
              <w:spacing w:after="0"/>
              <w:rPr>
                <w:sz w:val="12"/>
                <w:szCs w:val="12"/>
                <w:color w:val="auto"/>
              </w:rPr>
            </w:pPr>
          </w:p>
        </w:tc>
        <w:tc>
          <w:tcPr>
            <w:tcW w:w="320" w:type="dxa"/>
            <w:vAlign w:val="bottom"/>
            <w:vMerge w:val="restart"/>
          </w:tcPr>
          <w:p>
            <w:pPr>
              <w:ind w:left="180"/>
              <w:spacing w:after="0"/>
              <w:rPr>
                <w:sz w:val="20"/>
                <w:szCs w:val="20"/>
                <w:color w:val="auto"/>
              </w:rPr>
            </w:pPr>
            <w:r>
              <w:rPr>
                <w:rFonts w:ascii="Calibri" w:cs="Calibri" w:eastAsia="Calibri" w:hAnsi="Calibri"/>
                <w:sz w:val="13"/>
                <w:szCs w:val="13"/>
                <w:color w:val="auto"/>
              </w:rPr>
              <w:t>—</w:t>
            </w:r>
          </w:p>
        </w:tc>
        <w:tc>
          <w:tcPr>
            <w:tcW w:w="1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60" w:type="dxa"/>
            <w:vAlign w:val="bottom"/>
            <w:vMerge w:val="restart"/>
          </w:tcPr>
          <w:p>
            <w:pPr>
              <w:ind w:left="140"/>
              <w:spacing w:after="0"/>
              <w:rPr>
                <w:sz w:val="20"/>
                <w:szCs w:val="20"/>
                <w:color w:val="auto"/>
              </w:rPr>
            </w:pPr>
            <w:r>
              <w:rPr>
                <w:rFonts w:ascii="Calibri" w:cs="Calibri" w:eastAsia="Calibri" w:hAnsi="Calibri"/>
                <w:sz w:val="13"/>
                <w:szCs w:val="13"/>
                <w:color w:val="auto"/>
                <w:w w:val="84"/>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tcBorders>
              <w:right w:val="single" w:sz="8" w:color="auto"/>
            </w:tcBorders>
            <w:vMerge w:val="restart"/>
          </w:tcPr>
          <w:p>
            <w:pPr>
              <w:spacing w:after="0"/>
              <w:rPr>
                <w:sz w:val="12"/>
                <w:szCs w:val="12"/>
                <w:color w:val="auto"/>
              </w:rPr>
            </w:pPr>
          </w:p>
        </w:tc>
        <w:tc>
          <w:tcPr>
            <w:tcW w:w="180" w:type="dxa"/>
            <w:vAlign w:val="bottom"/>
            <w:vMerge w:val="restart"/>
          </w:tcPr>
          <w:p>
            <w:pPr>
              <w:ind w:left="60"/>
              <w:spacing w:after="0"/>
              <w:rPr>
                <w:sz w:val="20"/>
                <w:szCs w:val="20"/>
                <w:color w:val="auto"/>
              </w:rPr>
            </w:pPr>
            <w:r>
              <w:rPr>
                <w:rFonts w:ascii="Calibri" w:cs="Calibri" w:eastAsia="Calibri" w:hAnsi="Calibri"/>
                <w:sz w:val="13"/>
                <w:szCs w:val="13"/>
                <w:color w:val="auto"/>
                <w:w w:val="84"/>
              </w:rPr>
              <w:t>—</w:t>
            </w:r>
          </w:p>
        </w:tc>
        <w:tc>
          <w:tcPr>
            <w:tcW w:w="120" w:type="dxa"/>
            <w:vAlign w:val="bottom"/>
          </w:tcPr>
          <w:p>
            <w:pPr>
              <w:spacing w:after="0"/>
              <w:rPr>
                <w:sz w:val="12"/>
                <w:szCs w:val="12"/>
                <w:color w:val="auto"/>
              </w:rPr>
            </w:pPr>
          </w:p>
        </w:tc>
        <w:tc>
          <w:tcPr>
            <w:tcW w:w="340" w:type="dxa"/>
            <w:vAlign w:val="bottom"/>
            <w:gridSpan w:val="2"/>
            <w:vMerge w:val="restart"/>
          </w:tcPr>
          <w:p>
            <w:pPr>
              <w:jc w:val="right"/>
              <w:ind w:right="80"/>
              <w:spacing w:after="0"/>
              <w:rPr>
                <w:sz w:val="20"/>
                <w:szCs w:val="20"/>
                <w:color w:val="auto"/>
              </w:rPr>
            </w:pPr>
            <w:r>
              <w:rPr>
                <w:rFonts w:ascii="Calibri" w:cs="Calibri" w:eastAsia="Calibri" w:hAnsi="Calibri"/>
                <w:sz w:val="13"/>
                <w:szCs w:val="13"/>
                <w:color w:val="auto"/>
              </w:rPr>
              <w:t>—</w:t>
            </w:r>
          </w:p>
        </w:tc>
        <w:tc>
          <w:tcPr>
            <w:tcW w:w="640" w:type="dxa"/>
            <w:vAlign w:val="bottom"/>
            <w:vMerge w:val="restart"/>
          </w:tcPr>
          <w:p>
            <w:pPr>
              <w:jc w:val="right"/>
              <w:spacing w:after="0"/>
              <w:rPr>
                <w:sz w:val="20"/>
                <w:szCs w:val="20"/>
                <w:color w:val="auto"/>
              </w:rPr>
            </w:pPr>
            <w:r>
              <w:rPr>
                <w:rFonts w:ascii="Calibri" w:cs="Calibri" w:eastAsia="Calibri" w:hAnsi="Calibri"/>
                <w:sz w:val="13"/>
                <w:szCs w:val="13"/>
                <w:color w:val="auto"/>
              </w:rPr>
              <w:t>2,727,785</w:t>
            </w:r>
          </w:p>
        </w:tc>
        <w:tc>
          <w:tcPr>
            <w:tcW w:w="100" w:type="dxa"/>
            <w:vAlign w:val="bottom"/>
          </w:tcPr>
          <w:p>
            <w:pPr>
              <w:spacing w:after="0"/>
              <w:rPr>
                <w:sz w:val="12"/>
                <w:szCs w:val="12"/>
                <w:color w:val="auto"/>
              </w:rPr>
            </w:pPr>
          </w:p>
        </w:tc>
        <w:tc>
          <w:tcPr>
            <w:tcW w:w="320" w:type="dxa"/>
            <w:vAlign w:val="bottom"/>
            <w:gridSpan w:val="2"/>
            <w:vMerge w:val="restart"/>
          </w:tcPr>
          <w:p>
            <w:pPr>
              <w:ind w:left="140"/>
              <w:spacing w:after="0"/>
              <w:rPr>
                <w:sz w:val="20"/>
                <w:szCs w:val="20"/>
                <w:color w:val="auto"/>
              </w:rPr>
            </w:pPr>
            <w:r>
              <w:rPr>
                <w:rFonts w:ascii="Calibri" w:cs="Calibri" w:eastAsia="Calibri" w:hAnsi="Calibri"/>
                <w:sz w:val="13"/>
                <w:szCs w:val="13"/>
                <w:color w:val="auto"/>
              </w:rPr>
              <w:t>—</w:t>
            </w:r>
          </w:p>
        </w:tc>
        <w:tc>
          <w:tcPr>
            <w:tcW w:w="7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320" w:type="dxa"/>
            <w:vAlign w:val="bottom"/>
            <w:gridSpan w:val="2"/>
            <w:vMerge w:val="restart"/>
          </w:tcPr>
          <w:p>
            <w:pPr>
              <w:ind w:left="120"/>
              <w:spacing w:after="0"/>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3"/>
                <w:szCs w:val="13"/>
                <w:color w:val="auto"/>
              </w:rPr>
              <w:t>—</w:t>
            </w:r>
          </w:p>
        </w:tc>
        <w:tc>
          <w:tcPr>
            <w:tcW w:w="640" w:type="dxa"/>
            <w:vAlign w:val="bottom"/>
            <w:gridSpan w:val="2"/>
            <w:vMerge w:val="restart"/>
          </w:tcPr>
          <w:p>
            <w:pPr>
              <w:jc w:val="right"/>
              <w:ind w:right="120"/>
              <w:spacing w:after="0"/>
              <w:rPr>
                <w:sz w:val="20"/>
                <w:szCs w:val="20"/>
                <w:color w:val="auto"/>
              </w:rPr>
            </w:pPr>
            <w:r>
              <w:rPr>
                <w:rFonts w:ascii="Calibri" w:cs="Calibri" w:eastAsia="Calibri" w:hAnsi="Calibri"/>
                <w:sz w:val="13"/>
                <w:szCs w:val="13"/>
                <w:color w:val="auto"/>
              </w:rPr>
              <w:t>—</w:t>
            </w:r>
          </w:p>
        </w:tc>
        <w:tc>
          <w:tcPr>
            <w:tcW w:w="1000" w:type="dxa"/>
            <w:vAlign w:val="bottom"/>
            <w:gridSpan w:val="3"/>
            <w:vMerge w:val="restart"/>
          </w:tcPr>
          <w:p>
            <w:pPr>
              <w:jc w:val="right"/>
              <w:ind w:right="320"/>
              <w:spacing w:after="0"/>
              <w:rPr>
                <w:sz w:val="20"/>
                <w:szCs w:val="20"/>
                <w:color w:val="auto"/>
              </w:rPr>
            </w:pPr>
            <w:r>
              <w:rPr>
                <w:rFonts w:ascii="Calibri" w:cs="Calibri" w:eastAsia="Calibri" w:hAnsi="Calibri"/>
                <w:sz w:val="13"/>
                <w:szCs w:val="13"/>
                <w:color w:val="auto"/>
              </w:rPr>
              <w:t>—</w:t>
            </w:r>
          </w:p>
        </w:tc>
        <w:tc>
          <w:tcPr>
            <w:tcW w:w="520" w:type="dxa"/>
            <w:vAlign w:val="bottom"/>
            <w:gridSpan w:val="3"/>
            <w:vMerge w:val="restart"/>
          </w:tcPr>
          <w:p>
            <w:pPr>
              <w:ind w:left="120"/>
              <w:spacing w:after="0"/>
              <w:rPr>
                <w:sz w:val="20"/>
                <w:szCs w:val="20"/>
                <w:color w:val="auto"/>
              </w:rPr>
            </w:pPr>
            <w:r>
              <w:rPr>
                <w:rFonts w:ascii="Calibri" w:cs="Calibri" w:eastAsia="Calibri" w:hAnsi="Calibri"/>
                <w:sz w:val="13"/>
                <w:szCs w:val="13"/>
                <w:color w:val="auto"/>
              </w:rPr>
              <w:t>—</w:t>
            </w:r>
          </w:p>
        </w:tc>
        <w:tc>
          <w:tcPr>
            <w:tcW w:w="640" w:type="dxa"/>
            <w:vAlign w:val="bottom"/>
            <w:gridSpan w:val="2"/>
            <w:vMerge w:val="restart"/>
          </w:tcPr>
          <w:p>
            <w:pPr>
              <w:jc w:val="right"/>
              <w:ind w:right="120"/>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Calibri" w:cs="Calibri" w:eastAsia="Calibri" w:hAnsi="Calibri"/>
                <w:sz w:val="13"/>
                <w:szCs w:val="13"/>
                <w:color w:val="auto"/>
              </w:rPr>
              <w:t>exchange</w:t>
            </w:r>
          </w:p>
        </w:tc>
        <w:tc>
          <w:tcPr>
            <w:tcW w:w="3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20" w:type="dxa"/>
            <w:vAlign w:val="bottom"/>
            <w:shd w:val="clear" w:color="auto" w:fill="CFF0FC"/>
          </w:tcPr>
          <w:p>
            <w:pPr>
              <w:ind w:left="20"/>
              <w:spacing w:after="0" w:line="151" w:lineRule="exact"/>
              <w:rPr>
                <w:sz w:val="20"/>
                <w:szCs w:val="20"/>
                <w:color w:val="auto"/>
              </w:rPr>
            </w:pPr>
            <w:r>
              <w:rPr>
                <w:rFonts w:ascii="Calibri" w:cs="Calibri" w:eastAsia="Calibri" w:hAnsi="Calibri"/>
                <w:sz w:val="13"/>
                <w:szCs w:val="13"/>
                <w:b w:val="1"/>
                <w:bCs w:val="1"/>
                <w:color w:val="auto"/>
              </w:rPr>
              <w:t>Balances at</w:t>
            </w:r>
          </w:p>
        </w:tc>
        <w:tc>
          <w:tcPr>
            <w:tcW w:w="3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3"/>
                <w:szCs w:val="13"/>
                <w:b w:val="1"/>
                <w:bCs w:val="1"/>
                <w:color w:val="auto"/>
              </w:rPr>
              <w:t>82,410,77</w:t>
            </w:r>
          </w:p>
        </w:tc>
        <w:tc>
          <w:tcPr>
            <w:tcW w:w="10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3"/>
                <w:szCs w:val="13"/>
                <w:b w:val="1"/>
                <w:bCs w:val="1"/>
                <w:color w:val="auto"/>
              </w:rPr>
              <w:t>118,200,00</w:t>
            </w:r>
          </w:p>
        </w:tc>
        <w:tc>
          <w:tcPr>
            <w:tcW w:w="100" w:type="dxa"/>
            <w:vAlign w:val="bottom"/>
            <w:vMerge w:val="restart"/>
            <w:shd w:val="clear" w:color="auto" w:fill="CFF0FC"/>
          </w:tcPr>
          <w:p>
            <w:pPr>
              <w:spacing w:after="0"/>
              <w:rPr>
                <w:sz w:val="13"/>
                <w:szCs w:val="13"/>
                <w:color w:val="auto"/>
              </w:rPr>
            </w:pPr>
          </w:p>
        </w:tc>
        <w:tc>
          <w:tcPr>
            <w:tcW w:w="22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3"/>
                <w:szCs w:val="13"/>
                <w:b w:val="1"/>
                <w:bCs w:val="1"/>
                <w:color w:val="auto"/>
              </w:rPr>
              <w:t>1</w:t>
            </w:r>
          </w:p>
        </w:tc>
        <w:tc>
          <w:tcPr>
            <w:tcW w:w="1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00" w:type="dxa"/>
            <w:vAlign w:val="bottom"/>
            <w:vMerge w:val="restart"/>
            <w:shd w:val="clear" w:color="auto" w:fill="CFF0FC"/>
          </w:tcPr>
          <w:p>
            <w:pPr>
              <w:spacing w:after="0"/>
              <w:rPr>
                <w:sz w:val="13"/>
                <w:szCs w:val="13"/>
                <w:color w:val="auto"/>
              </w:rPr>
            </w:pP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3"/>
                <w:szCs w:val="13"/>
                <w:b w:val="1"/>
                <w:bCs w:val="1"/>
                <w:color w:val="auto"/>
              </w:rPr>
              <w:t>(4,342,47</w:t>
            </w:r>
          </w:p>
        </w:tc>
        <w:tc>
          <w:tcPr>
            <w:tcW w:w="100" w:type="dxa"/>
            <w:vAlign w:val="bottom"/>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920" w:type="dxa"/>
            <w:vAlign w:val="bottom"/>
            <w:vMerge w:val="restart"/>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December 31,</w:t>
            </w:r>
          </w:p>
        </w:tc>
        <w:tc>
          <w:tcPr>
            <w:tcW w:w="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100" w:type="dxa"/>
            <w:vAlign w:val="bottom"/>
            <w:vMerge w:val="continue"/>
            <w:shd w:val="clear" w:color="auto" w:fill="CFF0FC"/>
          </w:tcPr>
          <w:p>
            <w:pPr>
              <w:spacing w:after="0"/>
              <w:rPr>
                <w:sz w:val="9"/>
                <w:szCs w:val="9"/>
                <w:color w:val="auto"/>
              </w:rPr>
            </w:pPr>
          </w:p>
        </w:tc>
        <w:tc>
          <w:tcPr>
            <w:tcW w:w="2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vMerge w:val="continue"/>
            <w:shd w:val="clear" w:color="auto" w:fill="CFF0FC"/>
          </w:tcPr>
          <w:p>
            <w:pPr>
              <w:spacing w:after="0"/>
              <w:rPr>
                <w:sz w:val="9"/>
                <w:szCs w:val="9"/>
                <w:color w:val="auto"/>
              </w:rPr>
            </w:pPr>
          </w:p>
        </w:tc>
        <w:tc>
          <w:tcPr>
            <w:tcW w:w="6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20" w:type="dxa"/>
            <w:vAlign w:val="bottom"/>
            <w:vMerge w:val="continue"/>
            <w:shd w:val="clear" w:color="auto" w:fill="CFF0FC"/>
          </w:tcPr>
          <w:p>
            <w:pPr>
              <w:spacing w:after="0"/>
              <w:rPr>
                <w:sz w:val="3"/>
                <w:szCs w:val="3"/>
                <w:color w:val="auto"/>
              </w:rPr>
            </w:pPr>
          </w:p>
        </w:tc>
        <w:tc>
          <w:tcPr>
            <w:tcW w:w="700" w:type="dxa"/>
            <w:vAlign w:val="bottom"/>
            <w:gridSpan w:val="3"/>
            <w:vMerge w:val="restart"/>
            <w:shd w:val="clear" w:color="auto" w:fill="CFF0FC"/>
          </w:tcPr>
          <w:p>
            <w:pPr>
              <w:ind w:left="180"/>
              <w:spacing w:after="0" w:line="149" w:lineRule="exact"/>
              <w:rPr>
                <w:sz w:val="20"/>
                <w:szCs w:val="20"/>
                <w:color w:val="auto"/>
              </w:rPr>
            </w:pPr>
            <w:r>
              <w:rPr>
                <w:rFonts w:ascii="Calibri" w:cs="Calibri" w:eastAsia="Calibri" w:hAnsi="Calibri"/>
                <w:sz w:val="13"/>
                <w:szCs w:val="13"/>
                <w:b w:val="1"/>
                <w:bCs w:val="1"/>
                <w:color w:val="auto"/>
              </w:rPr>
              <w:t>—   $</w:t>
            </w:r>
          </w:p>
        </w:tc>
        <w:tc>
          <w:tcPr>
            <w:tcW w:w="340" w:type="dxa"/>
            <w:vAlign w:val="bottom"/>
            <w:vMerge w:val="restart"/>
            <w:shd w:val="clear" w:color="auto" w:fill="CFF0FC"/>
          </w:tcPr>
          <w:p>
            <w:pPr>
              <w:ind w:left="220"/>
              <w:spacing w:after="0" w:line="149" w:lineRule="exact"/>
              <w:rPr>
                <w:sz w:val="20"/>
                <w:szCs w:val="20"/>
                <w:color w:val="auto"/>
              </w:rPr>
            </w:pPr>
            <w:r>
              <w:rPr>
                <w:rFonts w:ascii="Calibri" w:cs="Calibri" w:eastAsia="Calibri" w:hAnsi="Calibri"/>
                <w:sz w:val="13"/>
                <w:szCs w:val="13"/>
                <w:b w:val="1"/>
                <w:bCs w:val="1"/>
                <w:color w:val="auto"/>
                <w:w w:val="84"/>
              </w:rPr>
              <w:t>—</w:t>
            </w:r>
          </w:p>
        </w:tc>
        <w:tc>
          <w:tcPr>
            <w:tcW w:w="140" w:type="dxa"/>
            <w:vAlign w:val="bottom"/>
            <w:shd w:val="clear" w:color="auto" w:fill="CFF0FC"/>
          </w:tcPr>
          <w:p>
            <w:pPr>
              <w:spacing w:after="0"/>
              <w:rPr>
                <w:sz w:val="3"/>
                <w:szCs w:val="3"/>
                <w:color w:val="auto"/>
              </w:rPr>
            </w:pPr>
          </w:p>
        </w:tc>
        <w:tc>
          <w:tcPr>
            <w:tcW w:w="640" w:type="dxa"/>
            <w:vAlign w:val="bottom"/>
            <w:gridSpan w:val="3"/>
            <w:vMerge w:val="restart"/>
            <w:shd w:val="clear" w:color="auto" w:fill="CFF0FC"/>
          </w:tcPr>
          <w:p>
            <w:pPr>
              <w:ind w:left="180"/>
              <w:spacing w:after="0" w:line="149" w:lineRule="exact"/>
              <w:rPr>
                <w:sz w:val="20"/>
                <w:szCs w:val="20"/>
                <w:color w:val="auto"/>
              </w:rPr>
            </w:pPr>
            <w:r>
              <w:rPr>
                <w:rFonts w:ascii="Calibri" w:cs="Calibri" w:eastAsia="Calibri" w:hAnsi="Calibri"/>
                <w:sz w:val="13"/>
                <w:szCs w:val="13"/>
                <w:b w:val="1"/>
                <w:bCs w:val="1"/>
                <w:color w:val="auto"/>
              </w:rPr>
              <w:t>—   $</w:t>
            </w:r>
          </w:p>
        </w:tc>
        <w:tc>
          <w:tcPr>
            <w:tcW w:w="260" w:type="dxa"/>
            <w:vAlign w:val="bottom"/>
            <w:vMerge w:val="restart"/>
            <w:shd w:val="clear" w:color="auto" w:fill="CFF0FC"/>
          </w:tcPr>
          <w:p>
            <w:pPr>
              <w:ind w:left="140"/>
              <w:spacing w:after="0" w:line="149" w:lineRule="exact"/>
              <w:rPr>
                <w:sz w:val="20"/>
                <w:szCs w:val="20"/>
                <w:color w:val="auto"/>
              </w:rPr>
            </w:pPr>
            <w:r>
              <w:rPr>
                <w:rFonts w:ascii="Calibri" w:cs="Calibri" w:eastAsia="Calibri" w:hAnsi="Calibri"/>
                <w:sz w:val="13"/>
                <w:szCs w:val="13"/>
                <w:b w:val="1"/>
                <w:bCs w:val="1"/>
                <w:color w:val="auto"/>
                <w:w w:val="84"/>
              </w:rPr>
              <w:t>—</w:t>
            </w:r>
          </w:p>
        </w:tc>
        <w:tc>
          <w:tcPr>
            <w:tcW w:w="280" w:type="dxa"/>
            <w:vAlign w:val="bottom"/>
            <w:gridSpan w:val="2"/>
            <w:vMerge w:val="restart"/>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w:t>
            </w:r>
          </w:p>
        </w:tc>
        <w:tc>
          <w:tcPr>
            <w:tcW w:w="54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862,860</w:t>
            </w:r>
          </w:p>
        </w:tc>
        <w:tc>
          <w:tcPr>
            <w:tcW w:w="240" w:type="dxa"/>
            <w:vAlign w:val="bottom"/>
            <w:tcBorders>
              <w:right w:val="single" w:sz="8" w:color="auto"/>
            </w:tcBorders>
            <w:shd w:val="clear" w:color="auto" w:fill="CFF0FC"/>
          </w:tcPr>
          <w:p>
            <w:pPr>
              <w:spacing w:after="0"/>
              <w:rPr>
                <w:sz w:val="3"/>
                <w:szCs w:val="3"/>
                <w:color w:val="auto"/>
              </w:rPr>
            </w:pPr>
          </w:p>
        </w:tc>
        <w:tc>
          <w:tcPr>
            <w:tcW w:w="180" w:type="dxa"/>
            <w:vAlign w:val="bottom"/>
            <w:vMerge w:val="restart"/>
            <w:shd w:val="clear" w:color="auto" w:fill="CFF0FC"/>
          </w:tcPr>
          <w:p>
            <w:pPr>
              <w:ind w:left="60"/>
              <w:spacing w:after="0" w:line="149" w:lineRule="exact"/>
              <w:rPr>
                <w:sz w:val="20"/>
                <w:szCs w:val="20"/>
                <w:color w:val="auto"/>
              </w:rPr>
            </w:pPr>
            <w:r>
              <w:rPr>
                <w:rFonts w:ascii="Calibri" w:cs="Calibri" w:eastAsia="Calibri" w:hAnsi="Calibri"/>
                <w:sz w:val="13"/>
                <w:szCs w:val="13"/>
                <w:b w:val="1"/>
                <w:bCs w:val="1"/>
                <w:color w:val="auto"/>
                <w:w w:val="84"/>
              </w:rPr>
              <w:t>—</w:t>
            </w:r>
          </w:p>
        </w:tc>
        <w:tc>
          <w:tcPr>
            <w:tcW w:w="120" w:type="dxa"/>
            <w:vAlign w:val="bottom"/>
            <w:shd w:val="clear" w:color="auto" w:fill="CFF0FC"/>
          </w:tcPr>
          <w:p>
            <w:pPr>
              <w:spacing w:after="0"/>
              <w:rPr>
                <w:sz w:val="3"/>
                <w:szCs w:val="3"/>
                <w:color w:val="auto"/>
              </w:rPr>
            </w:pPr>
          </w:p>
        </w:tc>
        <w:tc>
          <w:tcPr>
            <w:tcW w:w="340" w:type="dxa"/>
            <w:vAlign w:val="bottom"/>
            <w:gridSpan w:val="2"/>
            <w:vMerge w:val="restart"/>
            <w:shd w:val="clear" w:color="auto" w:fill="CFF0FC"/>
          </w:tcPr>
          <w:p>
            <w:pPr>
              <w:jc w:val="right"/>
              <w:ind w:right="80"/>
              <w:spacing w:after="0" w:line="149" w:lineRule="exact"/>
              <w:rPr>
                <w:sz w:val="20"/>
                <w:szCs w:val="20"/>
                <w:color w:val="auto"/>
              </w:rPr>
            </w:pPr>
            <w:r>
              <w:rPr>
                <w:rFonts w:ascii="Calibri" w:cs="Calibri" w:eastAsia="Calibri" w:hAnsi="Calibri"/>
                <w:sz w:val="13"/>
                <w:szCs w:val="13"/>
                <w:b w:val="1"/>
                <w:bCs w:val="1"/>
                <w:color w:val="auto"/>
              </w:rPr>
              <w:t>$ —</w:t>
            </w:r>
          </w:p>
        </w:tc>
        <w:tc>
          <w:tcPr>
            <w:tcW w:w="64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4</w:t>
            </w:r>
          </w:p>
        </w:tc>
        <w:tc>
          <w:tcPr>
            <w:tcW w:w="320" w:type="dxa"/>
            <w:vAlign w:val="bottom"/>
            <w:gridSpan w:val="2"/>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$ 8</w:t>
            </w:r>
          </w:p>
        </w:tc>
        <w:tc>
          <w:tcPr>
            <w:tcW w:w="100" w:type="dxa"/>
            <w:vAlign w:val="bottom"/>
            <w:shd w:val="clear" w:color="auto" w:fill="CFF0FC"/>
          </w:tcPr>
          <w:p>
            <w:pPr>
              <w:spacing w:after="0"/>
              <w:rPr>
                <w:sz w:val="3"/>
                <w:szCs w:val="3"/>
                <w:color w:val="auto"/>
              </w:rPr>
            </w:pPr>
          </w:p>
        </w:tc>
        <w:tc>
          <w:tcPr>
            <w:tcW w:w="72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320" w:type="dxa"/>
            <w:vAlign w:val="bottom"/>
            <w:gridSpan w:val="2"/>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$ 2</w:t>
            </w:r>
          </w:p>
        </w:tc>
        <w:tc>
          <w:tcPr>
            <w:tcW w:w="100" w:type="dxa"/>
            <w:vAlign w:val="bottom"/>
            <w:shd w:val="clear" w:color="auto" w:fill="CFF0FC"/>
          </w:tcPr>
          <w:p>
            <w:pPr>
              <w:spacing w:after="0"/>
              <w:rPr>
                <w:sz w:val="3"/>
                <w:szCs w:val="3"/>
                <w:color w:val="auto"/>
              </w:rPr>
            </w:pPr>
          </w:p>
        </w:tc>
        <w:tc>
          <w:tcPr>
            <w:tcW w:w="180" w:type="dxa"/>
            <w:vAlign w:val="bottom"/>
            <w:vMerge w:val="restart"/>
            <w:shd w:val="clear" w:color="auto" w:fill="CFF0FC"/>
          </w:tcPr>
          <w:p>
            <w:pPr>
              <w:jc w:val="right"/>
              <w:ind w:right="37"/>
              <w:spacing w:after="0" w:line="149" w:lineRule="exact"/>
              <w:rPr>
                <w:sz w:val="20"/>
                <w:szCs w:val="20"/>
                <w:color w:val="auto"/>
              </w:rPr>
            </w:pPr>
            <w:r>
              <w:rPr>
                <w:rFonts w:ascii="Calibri" w:cs="Calibri" w:eastAsia="Calibri" w:hAnsi="Calibri"/>
                <w:sz w:val="13"/>
                <w:szCs w:val="13"/>
                <w:b w:val="1"/>
                <w:bCs w:val="1"/>
                <w:color w:val="auto"/>
                <w:w w:val="90"/>
              </w:rPr>
              <w:t>$</w:t>
            </w:r>
          </w:p>
        </w:tc>
        <w:tc>
          <w:tcPr>
            <w:tcW w:w="520" w:type="dxa"/>
            <w:vAlign w:val="bottom"/>
            <w:vMerge w:val="restart"/>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663,908</w:t>
            </w:r>
          </w:p>
        </w:tc>
        <w:tc>
          <w:tcPr>
            <w:tcW w:w="2480" w:type="dxa"/>
            <w:vAlign w:val="bottom"/>
            <w:gridSpan w:val="8"/>
            <w:vMerge w:val="restart"/>
            <w:shd w:val="clear" w:color="auto" w:fill="CFF0FC"/>
          </w:tcPr>
          <w:p>
            <w:pPr>
              <w:jc w:val="right"/>
              <w:ind w:right="120"/>
              <w:spacing w:after="0" w:line="149" w:lineRule="exact"/>
              <w:rPr>
                <w:sz w:val="20"/>
                <w:szCs w:val="20"/>
                <w:color w:val="auto"/>
              </w:rPr>
            </w:pPr>
            <w:r>
              <w:rPr>
                <w:rFonts w:ascii="Calibri" w:cs="Calibri" w:eastAsia="Calibri" w:hAnsi="Calibri"/>
                <w:sz w:val="13"/>
                <w:szCs w:val="13"/>
                <w:b w:val="1"/>
                <w:bCs w:val="1"/>
                <w:color w:val="auto"/>
              </w:rPr>
              <w:t>7 ) $ (32,494 ) $ (1,014,132 ) $</w:t>
            </w:r>
          </w:p>
        </w:tc>
        <w:tc>
          <w:tcPr>
            <w:tcW w:w="520" w:type="dxa"/>
            <w:vAlign w:val="bottom"/>
            <w:gridSpan w:val="3"/>
            <w:vMerge w:val="restart"/>
            <w:shd w:val="clear" w:color="auto" w:fill="CFF0FC"/>
          </w:tcPr>
          <w:p>
            <w:pPr>
              <w:ind w:left="120"/>
              <w:spacing w:after="0" w:line="149" w:lineRule="exact"/>
              <w:rPr>
                <w:sz w:val="20"/>
                <w:szCs w:val="20"/>
                <w:color w:val="auto"/>
              </w:rPr>
            </w:pPr>
            <w:r>
              <w:rPr>
                <w:rFonts w:ascii="Calibri" w:cs="Calibri" w:eastAsia="Calibri" w:hAnsi="Calibri"/>
                <w:sz w:val="13"/>
                <w:szCs w:val="13"/>
                <w:b w:val="1"/>
                <w:bCs w:val="1"/>
                <w:color w:val="auto"/>
              </w:rPr>
              <w:t>—  $</w:t>
            </w:r>
          </w:p>
        </w:tc>
        <w:tc>
          <w:tcPr>
            <w:tcW w:w="640" w:type="dxa"/>
            <w:vAlign w:val="bottom"/>
            <w:gridSpan w:val="2"/>
            <w:vMerge w:val="restart"/>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(382,698 )</w:t>
            </w:r>
          </w:p>
        </w:tc>
        <w:tc>
          <w:tcPr>
            <w:tcW w:w="0" w:type="dxa"/>
            <w:vAlign w:val="bottom"/>
          </w:tcPr>
          <w:p>
            <w:pPr>
              <w:spacing w:after="0"/>
              <w:rPr>
                <w:sz w:val="1"/>
                <w:szCs w:val="1"/>
                <w:color w:val="auto"/>
              </w:rPr>
            </w:pPr>
          </w:p>
        </w:tc>
      </w:tr>
      <w:tr>
        <w:trPr>
          <w:trHeight w:val="152"/>
        </w:trPr>
        <w:tc>
          <w:tcPr>
            <w:tcW w:w="920" w:type="dxa"/>
            <w:vAlign w:val="bottom"/>
            <w:tcBorders>
              <w:bottom w:val="single" w:sz="8" w:color="CFF0FC"/>
            </w:tcBorders>
            <w:shd w:val="clear" w:color="auto" w:fill="CFF0FC"/>
          </w:tcPr>
          <w:p>
            <w:pPr>
              <w:ind w:left="20"/>
              <w:spacing w:after="0" w:line="132" w:lineRule="exact"/>
              <w:rPr>
                <w:sz w:val="20"/>
                <w:szCs w:val="20"/>
                <w:color w:val="auto"/>
              </w:rPr>
            </w:pPr>
            <w:r>
              <w:rPr>
                <w:rFonts w:ascii="Calibri" w:cs="Calibri" w:eastAsia="Calibri" w:hAnsi="Calibri"/>
                <w:sz w:val="13"/>
                <w:szCs w:val="13"/>
                <w:b w:val="1"/>
                <w:bCs w:val="1"/>
                <w:color w:val="auto"/>
              </w:rPr>
              <w:t>2022</w:t>
            </w:r>
          </w:p>
        </w:tc>
        <w:tc>
          <w:tcPr>
            <w:tcW w:w="700" w:type="dxa"/>
            <w:vAlign w:val="bottom"/>
            <w:tcBorders>
              <w:bottom w:val="single" w:sz="8" w:color="CFF0FC"/>
            </w:tcBorders>
            <w:gridSpan w:val="3"/>
            <w:vMerge w:val="continue"/>
            <w:shd w:val="clear" w:color="auto" w:fill="CFF0FC"/>
          </w:tcPr>
          <w:p>
            <w:pPr>
              <w:spacing w:after="0"/>
              <w:rPr>
                <w:sz w:val="13"/>
                <w:szCs w:val="13"/>
                <w:color w:val="auto"/>
              </w:rPr>
            </w:pPr>
          </w:p>
        </w:tc>
        <w:tc>
          <w:tcPr>
            <w:tcW w:w="340" w:type="dxa"/>
            <w:vAlign w:val="bottom"/>
            <w:tcBorders>
              <w:bottom w:val="single" w:sz="8" w:color="CFF0FC"/>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gridSpan w:val="3"/>
            <w:vMerge w:val="continue"/>
            <w:shd w:val="clear" w:color="auto" w:fill="CFF0FC"/>
          </w:tcPr>
          <w:p>
            <w:pPr>
              <w:spacing w:after="0"/>
              <w:rPr>
                <w:sz w:val="13"/>
                <w:szCs w:val="13"/>
                <w:color w:val="auto"/>
              </w:rPr>
            </w:pPr>
          </w:p>
        </w:tc>
        <w:tc>
          <w:tcPr>
            <w:tcW w:w="260" w:type="dxa"/>
            <w:vAlign w:val="bottom"/>
            <w:tcBorders>
              <w:bottom w:val="single" w:sz="8" w:color="CFF0FC"/>
            </w:tcBorders>
            <w:vMerge w:val="continue"/>
            <w:shd w:val="clear" w:color="auto" w:fill="CFF0FC"/>
          </w:tcPr>
          <w:p>
            <w:pPr>
              <w:spacing w:after="0"/>
              <w:rPr>
                <w:sz w:val="13"/>
                <w:szCs w:val="13"/>
                <w:color w:val="auto"/>
              </w:rPr>
            </w:pPr>
          </w:p>
        </w:tc>
        <w:tc>
          <w:tcPr>
            <w:tcW w:w="280" w:type="dxa"/>
            <w:vAlign w:val="bottom"/>
            <w:tcBorders>
              <w:bottom w:val="single" w:sz="8" w:color="CFF0FC"/>
            </w:tcBorders>
            <w:gridSpan w:val="2"/>
            <w:vMerge w:val="continue"/>
            <w:shd w:val="clear" w:color="auto" w:fill="CFF0FC"/>
          </w:tcPr>
          <w:p>
            <w:pPr>
              <w:spacing w:after="0"/>
              <w:rPr>
                <w:sz w:val="13"/>
                <w:szCs w:val="13"/>
                <w:color w:val="auto"/>
              </w:rPr>
            </w:pPr>
          </w:p>
        </w:tc>
        <w:tc>
          <w:tcPr>
            <w:tcW w:w="540" w:type="dxa"/>
            <w:vAlign w:val="bottom"/>
            <w:tcBorders>
              <w:bottom w:val="single" w:sz="8" w:color="CFF0FC"/>
            </w:tcBorders>
            <w:vMerge w:val="continue"/>
            <w:shd w:val="clear" w:color="auto" w:fill="CFF0FC"/>
          </w:tcPr>
          <w:p>
            <w:pPr>
              <w:spacing w:after="0"/>
              <w:rPr>
                <w:sz w:val="13"/>
                <w:szCs w:val="13"/>
                <w:color w:val="auto"/>
              </w:rPr>
            </w:pPr>
          </w:p>
        </w:tc>
        <w:tc>
          <w:tcPr>
            <w:tcW w:w="240" w:type="dxa"/>
            <w:vAlign w:val="bottom"/>
            <w:tcBorders>
              <w:bottom w:val="single" w:sz="8" w:color="CFF0FC"/>
              <w:right w:val="single" w:sz="8" w:color="auto"/>
            </w:tcBorders>
            <w:shd w:val="clear" w:color="auto" w:fill="CFF0FC"/>
          </w:tcPr>
          <w:p>
            <w:pPr>
              <w:spacing w:after="0"/>
              <w:rPr>
                <w:sz w:val="13"/>
                <w:szCs w:val="13"/>
                <w:color w:val="auto"/>
              </w:rPr>
            </w:pPr>
          </w:p>
        </w:tc>
        <w:tc>
          <w:tcPr>
            <w:tcW w:w="180" w:type="dxa"/>
            <w:vAlign w:val="bottom"/>
            <w:tcBorders>
              <w:bottom w:val="single" w:sz="8" w:color="CFF0FC"/>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gridSpan w:val="2"/>
            <w:vMerge w:val="continue"/>
            <w:shd w:val="clear" w:color="auto" w:fill="CFF0FC"/>
          </w:tcPr>
          <w:p>
            <w:pPr>
              <w:spacing w:after="0"/>
              <w:rPr>
                <w:sz w:val="13"/>
                <w:szCs w:val="13"/>
                <w:color w:val="auto"/>
              </w:rPr>
            </w:pPr>
          </w:p>
        </w:tc>
        <w:tc>
          <w:tcPr>
            <w:tcW w:w="640" w:type="dxa"/>
            <w:vAlign w:val="bottom"/>
            <w:tcBorders>
              <w:bottom w:val="single" w:sz="8" w:color="CFF0FC"/>
            </w:tcBorders>
            <w:vMerge w:val="continue"/>
            <w:shd w:val="clear" w:color="auto" w:fill="CFF0FC"/>
          </w:tcPr>
          <w:p>
            <w:pPr>
              <w:spacing w:after="0"/>
              <w:rPr>
                <w:sz w:val="13"/>
                <w:szCs w:val="13"/>
                <w:color w:val="auto"/>
              </w:rPr>
            </w:pPr>
          </w:p>
        </w:tc>
        <w:tc>
          <w:tcPr>
            <w:tcW w:w="320" w:type="dxa"/>
            <w:vAlign w:val="bottom"/>
            <w:tcBorders>
              <w:bottom w:val="single" w:sz="8" w:color="CFF0FC"/>
            </w:tcBorders>
            <w:gridSpan w:val="2"/>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vMerge w:val="continue"/>
            <w:shd w:val="clear" w:color="auto" w:fill="CFF0FC"/>
          </w:tcPr>
          <w:p>
            <w:pPr>
              <w:spacing w:after="0"/>
              <w:rPr>
                <w:sz w:val="13"/>
                <w:szCs w:val="13"/>
                <w:color w:val="auto"/>
              </w:rPr>
            </w:pPr>
          </w:p>
        </w:tc>
        <w:tc>
          <w:tcPr>
            <w:tcW w:w="320" w:type="dxa"/>
            <w:vAlign w:val="bottom"/>
            <w:tcBorders>
              <w:bottom w:val="single" w:sz="8" w:color="CFF0FC"/>
            </w:tcBorders>
            <w:gridSpan w:val="2"/>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vMerge w:val="continue"/>
            <w:shd w:val="clear" w:color="auto" w:fill="CFF0FC"/>
          </w:tcPr>
          <w:p>
            <w:pPr>
              <w:spacing w:after="0"/>
              <w:rPr>
                <w:sz w:val="13"/>
                <w:szCs w:val="13"/>
                <w:color w:val="auto"/>
              </w:rPr>
            </w:pPr>
          </w:p>
        </w:tc>
        <w:tc>
          <w:tcPr>
            <w:tcW w:w="520" w:type="dxa"/>
            <w:vAlign w:val="bottom"/>
            <w:tcBorders>
              <w:bottom w:val="single" w:sz="8" w:color="CFF0FC"/>
            </w:tcBorders>
            <w:vMerge w:val="continue"/>
            <w:shd w:val="clear" w:color="auto" w:fill="CFF0FC"/>
          </w:tcPr>
          <w:p>
            <w:pPr>
              <w:spacing w:after="0"/>
              <w:rPr>
                <w:sz w:val="13"/>
                <w:szCs w:val="13"/>
                <w:color w:val="auto"/>
              </w:rPr>
            </w:pPr>
          </w:p>
        </w:tc>
        <w:tc>
          <w:tcPr>
            <w:tcW w:w="2480" w:type="dxa"/>
            <w:vAlign w:val="bottom"/>
            <w:tcBorders>
              <w:bottom w:val="single" w:sz="8" w:color="CFF0FC"/>
            </w:tcBorders>
            <w:gridSpan w:val="8"/>
            <w:vMerge w:val="continue"/>
            <w:shd w:val="clear" w:color="auto" w:fill="CFF0FC"/>
          </w:tcPr>
          <w:p>
            <w:pPr>
              <w:spacing w:after="0"/>
              <w:rPr>
                <w:sz w:val="13"/>
                <w:szCs w:val="13"/>
                <w:color w:val="auto"/>
              </w:rPr>
            </w:pPr>
          </w:p>
        </w:tc>
        <w:tc>
          <w:tcPr>
            <w:tcW w:w="520" w:type="dxa"/>
            <w:vAlign w:val="bottom"/>
            <w:tcBorders>
              <w:bottom w:val="single" w:sz="8" w:color="CFF0FC"/>
            </w:tcBorders>
            <w:gridSpan w:val="3"/>
            <w:vMerge w:val="continue"/>
            <w:shd w:val="clear" w:color="auto" w:fill="CFF0FC"/>
          </w:tcPr>
          <w:p>
            <w:pPr>
              <w:spacing w:after="0"/>
              <w:rPr>
                <w:sz w:val="13"/>
                <w:szCs w:val="13"/>
                <w:color w:val="auto"/>
              </w:rPr>
            </w:pPr>
          </w:p>
        </w:tc>
        <w:tc>
          <w:tcPr>
            <w:tcW w:w="640" w:type="dxa"/>
            <w:vAlign w:val="bottom"/>
            <w:tcBorders>
              <w:bottom w:val="single" w:sz="8" w:color="CFF0FC"/>
            </w:tcBorders>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-25400</wp:posOffset>
            </wp:positionV>
            <wp:extent cx="76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-7620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-25400</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-7620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-25400</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-25400</wp:posOffset>
            </wp:positionV>
            <wp:extent cx="768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-25400</wp:posOffset>
            </wp:positionV>
            <wp:extent cx="76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-25400</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-25400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-25400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-25400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CASH FLOWS</w:t>
      </w:r>
    </w:p>
    <w:p>
      <w:pPr>
        <w:jc w:val="center"/>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80" w:type="dxa"/>
            <w:vAlign w:val="bottom"/>
            <w:gridSpan w:val="5"/>
          </w:tcPr>
          <w:p>
            <w:pPr>
              <w:jc w:val="right"/>
              <w:ind w:right="420"/>
              <w:spacing w:after="0"/>
              <w:rPr>
                <w:sz w:val="20"/>
                <w:szCs w:val="20"/>
                <w:color w:val="auto"/>
              </w:rPr>
            </w:pPr>
            <w:r>
              <w:rPr>
                <w:rFonts w:ascii="Calibri" w:cs="Calibri" w:eastAsia="Calibri" w:hAnsi="Calibri"/>
                <w:sz w:val="18"/>
                <w:szCs w:val="18"/>
                <w:b w:val="1"/>
                <w:bCs w:val="1"/>
                <w:color w:val="auto"/>
                <w:w w:val="97"/>
              </w:rPr>
              <w:t>Years Ended December 31,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5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5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10"/>
              <w:spacing w:after="0" w:line="208" w:lineRule="exact"/>
              <w:rPr>
                <w:sz w:val="20"/>
                <w:szCs w:val="20"/>
                <w:color w:val="auto"/>
              </w:rPr>
            </w:pPr>
            <w:r>
              <w:rPr>
                <w:rFonts w:ascii="Calibri" w:cs="Calibri" w:eastAsia="Calibri" w:hAnsi="Calibri"/>
                <w:sz w:val="18"/>
                <w:szCs w:val="18"/>
                <w:b w:val="1"/>
                <w:bCs w:val="1"/>
                <w:color w:val="auto"/>
              </w:rPr>
              <w:t>2022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0"/>
              <w:spacing w:after="0" w:line="208" w:lineRule="exact"/>
              <w:rPr>
                <w:sz w:val="20"/>
                <w:szCs w:val="20"/>
                <w:color w:val="auto"/>
              </w:rPr>
            </w:pPr>
            <w:r>
              <w:rPr>
                <w:rFonts w:ascii="Calibri" w:cs="Calibri" w:eastAsia="Calibri" w:hAnsi="Calibri"/>
                <w:sz w:val="18"/>
                <w:szCs w:val="18"/>
                <w:b w:val="1"/>
                <w:bCs w:val="1"/>
                <w:color w:val="auto"/>
              </w:rPr>
              <w:t>2021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0"/>
              <w:spacing w:after="0" w:line="208" w:lineRule="exact"/>
              <w:rPr>
                <w:sz w:val="20"/>
                <w:szCs w:val="20"/>
                <w:color w:val="auto"/>
              </w:rPr>
            </w:pPr>
            <w:r>
              <w:rPr>
                <w:rFonts w:ascii="Calibri" w:cs="Calibri" w:eastAsia="Calibri" w:hAnsi="Calibri"/>
                <w:sz w:val="18"/>
                <w:szCs w:val="18"/>
                <w:b w:val="1"/>
                <w:bCs w:val="1"/>
                <w:color w:val="auto"/>
              </w:rPr>
              <w:t>2020</w:t>
            </w:r>
          </w:p>
        </w:tc>
        <w:tc>
          <w:tcPr>
            <w:tcW w:w="100" w:type="dxa"/>
            <w:vAlign w:val="bottom"/>
          </w:tcPr>
          <w:p>
            <w:pPr>
              <w:spacing w:after="0"/>
              <w:rPr>
                <w:sz w:val="18"/>
                <w:szCs w:val="18"/>
                <w:color w:val="auto"/>
              </w:rPr>
            </w:pP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55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Cash fows from operatng actvites</w:t>
            </w:r>
          </w:p>
        </w:tc>
        <w:tc>
          <w:tcPr>
            <w:tcW w:w="4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(loss)</w:t>
            </w:r>
          </w:p>
        </w:tc>
        <w:tc>
          <w:tcPr>
            <w:tcW w:w="8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70,779</w:t>
            </w:r>
          </w:p>
        </w:tc>
        <w:tc>
          <w:tcPr>
            <w:tcW w:w="260" w:type="dxa"/>
            <w:vAlign w:val="bottom"/>
          </w:tcPr>
          <w:p>
            <w:pPr>
              <w:spacing w:after="0"/>
              <w:rPr>
                <w:sz w:val="18"/>
                <w:szCs w:val="18"/>
                <w:color w:val="auto"/>
              </w:rPr>
            </w:pP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78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(19,129 )  $</w:t>
            </w:r>
          </w:p>
        </w:tc>
        <w:tc>
          <w:tcPr>
            <w:tcW w:w="12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(774,185 )</w:t>
            </w: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554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b w:val="1"/>
                <w:bCs w:val="1"/>
                <w:color w:val="auto"/>
                <w:w w:val="96"/>
              </w:rPr>
              <w:t>Adjustments to reconcile net income (loss) to net cash provided by (used in)</w:t>
            </w: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5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operatng actvites:</w:t>
            </w:r>
          </w:p>
        </w:tc>
        <w:tc>
          <w:tcPr>
            <w:tcW w:w="4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7,732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2,322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48,247</w:t>
            </w:r>
          </w:p>
        </w:tc>
        <w:tc>
          <w:tcPr>
            <w:tcW w:w="100" w:type="dxa"/>
            <w:vAlign w:val="bottom"/>
          </w:tcPr>
          <w:p>
            <w:pPr>
              <w:spacing w:after="0"/>
              <w:rPr>
                <w:sz w:val="18"/>
                <w:szCs w:val="18"/>
                <w:color w:val="auto"/>
              </w:rPr>
            </w:pP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Amortzaton of deferred fnancing costs and interest rate cap</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1,052</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4,472</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Loss on asset disposals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369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169</w:t>
            </w:r>
          </w:p>
        </w:tc>
        <w:tc>
          <w:tcPr>
            <w:tcW w:w="100" w:type="dxa"/>
            <w:vAlign w:val="bottom"/>
          </w:tcPr>
          <w:p>
            <w:pPr>
              <w:spacing w:after="0"/>
              <w:rPr>
                <w:sz w:val="18"/>
                <w:szCs w:val="18"/>
                <w:color w:val="auto"/>
              </w:rPr>
            </w:pP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Equity-based compensaton expense</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19,053</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6,047</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4,287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Loss on extnguishment of debt</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4,285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35,828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685</w:t>
            </w:r>
          </w:p>
        </w:tc>
        <w:tc>
          <w:tcPr>
            <w:tcW w:w="100" w:type="dxa"/>
            <w:vAlign w:val="bottom"/>
          </w:tcPr>
          <w:p>
            <w:pPr>
              <w:spacing w:after="0"/>
              <w:rPr>
                <w:sz w:val="18"/>
                <w:szCs w:val="18"/>
                <w:color w:val="auto"/>
              </w:rPr>
            </w:pP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Interest expense paid-in-kind</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25,214</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15,678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Change in fair value of warrants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(8,227 )</w:t>
            </w:r>
          </w:p>
        </w:tc>
        <w:tc>
          <w:tcPr>
            <w:tcW w:w="3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1,389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Impairment charges</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gridSpan w:val="3"/>
            <w:shd w:val="clear" w:color="auto" w:fill="CFF0FC"/>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573,838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Amortzaton of right-of-use assets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2,170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Change in fair value of contngent consideraton</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(2,065 )</w:t>
            </w:r>
          </w:p>
        </w:tc>
        <w:tc>
          <w:tcPr>
            <w:tcW w:w="34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gridSpan w:val="3"/>
            <w:shd w:val="clear" w:color="auto" w:fill="CFF0FC"/>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5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Changes in operatng assets and liabilites: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Accounts receivable</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(329 )</w:t>
            </w:r>
          </w:p>
        </w:tc>
        <w:tc>
          <w:tcPr>
            <w:tcW w:w="3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(874 )</w:t>
            </w:r>
          </w:p>
        </w:tc>
        <w:tc>
          <w:tcPr>
            <w:tcW w:w="3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(10,250 )</w:t>
            </w: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Inventory</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(1,010 )</w:t>
            </w:r>
          </w:p>
        </w:tc>
        <w:tc>
          <w:tcPr>
            <w:tcW w:w="340" w:type="dxa"/>
            <w:vAlign w:val="bottom"/>
          </w:tcPr>
          <w:p>
            <w:pPr>
              <w:spacing w:after="0"/>
              <w:rPr>
                <w:sz w:val="18"/>
                <w:szCs w:val="18"/>
                <w:color w:val="auto"/>
              </w:rPr>
            </w:pPr>
          </w:p>
        </w:tc>
        <w:tc>
          <w:tcPr>
            <w:tcW w:w="142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(4,311 )</w:t>
            </w:r>
          </w:p>
        </w:tc>
        <w:tc>
          <w:tcPr>
            <w:tcW w:w="36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4,094</w:t>
            </w:r>
          </w:p>
        </w:tc>
        <w:tc>
          <w:tcPr>
            <w:tcW w:w="100" w:type="dxa"/>
            <w:vAlign w:val="bottom"/>
          </w:tcPr>
          <w:p>
            <w:pPr>
              <w:spacing w:after="0"/>
              <w:rPr>
                <w:sz w:val="18"/>
                <w:szCs w:val="18"/>
                <w:color w:val="auto"/>
              </w:rPr>
            </w:pP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42,894</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7,623</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(67,584 )</w:t>
            </w: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Accounts payable</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(30,779 )</w:t>
            </w:r>
          </w:p>
        </w:tc>
        <w:tc>
          <w:tcPr>
            <w:tcW w:w="3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128,160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(28,674 )</w:t>
            </w: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(94,415 )</w:t>
            </w:r>
          </w:p>
        </w:tc>
        <w:tc>
          <w:tcPr>
            <w:tcW w:w="3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14,196</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195,404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Deferred paid-in-kind interest paid on May 2020 First Lien Loan</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8"/>
                <w:szCs w:val="18"/>
                <w:color w:val="auto"/>
              </w:rPr>
            </w:pPr>
          </w:p>
        </w:tc>
        <w:tc>
          <w:tcPr>
            <w:tcW w:w="142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(44,141 )</w:t>
            </w:r>
          </w:p>
        </w:tc>
        <w:tc>
          <w:tcPr>
            <w:tcW w:w="360" w:type="dxa"/>
            <w:vAlign w:val="bottom"/>
          </w:tcPr>
          <w:p>
            <w:pPr>
              <w:spacing w:after="0"/>
              <w:rPr>
                <w:sz w:val="18"/>
                <w:szCs w:val="18"/>
                <w:color w:val="auto"/>
              </w:rPr>
            </w:pPr>
          </w:p>
        </w:tc>
        <w:tc>
          <w:tcPr>
            <w:tcW w:w="128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Deferred revenue</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6,844</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19,183</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5540" w:type="dxa"/>
            <w:vAlign w:val="bottom"/>
          </w:tcPr>
          <w:p>
            <w:pPr>
              <w:ind w:left="120"/>
              <w:spacing w:after="0"/>
              <w:rPr>
                <w:sz w:val="20"/>
                <w:szCs w:val="20"/>
                <w:color w:val="auto"/>
              </w:rPr>
            </w:pPr>
            <w:r>
              <w:rPr>
                <w:rFonts w:ascii="Calibri" w:cs="Calibri" w:eastAsia="Calibri" w:hAnsi="Calibri"/>
                <w:sz w:val="18"/>
                <w:szCs w:val="18"/>
                <w:color w:val="auto"/>
              </w:rPr>
              <w:t>Other assets and liabilites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(3,978 )</w:t>
            </w:r>
          </w:p>
        </w:tc>
        <w:tc>
          <w:tcPr>
            <w:tcW w:w="340" w:type="dxa"/>
            <w:vAlign w:val="bottom"/>
          </w:tcPr>
          <w:p>
            <w:pPr>
              <w:spacing w:after="0"/>
              <w:rPr>
                <w:sz w:val="19"/>
                <w:szCs w:val="19"/>
                <w:color w:val="auto"/>
              </w:rPr>
            </w:pPr>
          </w:p>
        </w:tc>
        <w:tc>
          <w:tcPr>
            <w:tcW w:w="142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(189 )</w:t>
            </w:r>
          </w:p>
        </w:tc>
        <w:tc>
          <w:tcPr>
            <w:tcW w:w="36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512</w:t>
            </w:r>
          </w:p>
        </w:tc>
        <w:tc>
          <w:tcPr>
            <w:tcW w:w="100" w:type="dxa"/>
            <w:vAlign w:val="bottom"/>
          </w:tcPr>
          <w:p>
            <w:pPr>
              <w:spacing w:after="0"/>
              <w:rPr>
                <w:sz w:val="19"/>
                <w:szCs w:val="19"/>
                <w:color w:val="auto"/>
              </w:rPr>
            </w:pPr>
          </w:p>
        </w:tc>
      </w:tr>
      <w:tr>
        <w:trPr>
          <w:trHeight w:val="23"/>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17"/>
        </w:trPr>
        <w:tc>
          <w:tcPr>
            <w:tcW w:w="55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cash provided by (used in) operatng actvites</w:t>
            </w:r>
          </w:p>
        </w:tc>
        <w:tc>
          <w:tcPr>
            <w:tcW w:w="4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14,375</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175,790</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(33,892</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w w:val="70"/>
              </w:rPr>
              <w:t>)</w:t>
            </w:r>
          </w:p>
        </w:tc>
      </w:tr>
      <w:tr>
        <w:trPr>
          <w:trHeight w:val="215"/>
        </w:trPr>
        <w:tc>
          <w:tcPr>
            <w:tcW w:w="55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investng actvites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Cash acquired (paid) in acquisiton</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(8 )</w:t>
            </w:r>
          </w:p>
        </w:tc>
        <w:tc>
          <w:tcPr>
            <w:tcW w:w="3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301</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Purchases of property and equipment</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(3,558 )</w:t>
            </w:r>
          </w:p>
        </w:tc>
        <w:tc>
          <w:tcPr>
            <w:tcW w:w="340" w:type="dxa"/>
            <w:vAlign w:val="bottom"/>
          </w:tcPr>
          <w:p>
            <w:pPr>
              <w:spacing w:after="0"/>
              <w:rPr>
                <w:sz w:val="18"/>
                <w:szCs w:val="18"/>
                <w:color w:val="auto"/>
              </w:rPr>
            </w:pPr>
          </w:p>
        </w:tc>
        <w:tc>
          <w:tcPr>
            <w:tcW w:w="142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(1,132 )</w:t>
            </w:r>
          </w:p>
        </w:tc>
        <w:tc>
          <w:tcPr>
            <w:tcW w:w="360" w:type="dxa"/>
            <w:vAlign w:val="bottom"/>
          </w:tcPr>
          <w:p>
            <w:pPr>
              <w:spacing w:after="0"/>
              <w:rPr>
                <w:sz w:val="18"/>
                <w:szCs w:val="18"/>
                <w:color w:val="auto"/>
              </w:rPr>
            </w:pPr>
          </w:p>
        </w:tc>
        <w:tc>
          <w:tcPr>
            <w:tcW w:w="12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(341 )</w:t>
            </w: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Purchases of personal seat licenses</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(165 )</w:t>
            </w:r>
          </w:p>
        </w:tc>
        <w:tc>
          <w:tcPr>
            <w:tcW w:w="3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(76 )</w:t>
            </w:r>
          </w:p>
        </w:tc>
        <w:tc>
          <w:tcPr>
            <w:tcW w:w="3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20"/>
        </w:trPr>
        <w:tc>
          <w:tcPr>
            <w:tcW w:w="5540" w:type="dxa"/>
            <w:vAlign w:val="bottom"/>
          </w:tcPr>
          <w:p>
            <w:pPr>
              <w:ind w:left="120"/>
              <w:spacing w:after="0"/>
              <w:rPr>
                <w:sz w:val="20"/>
                <w:szCs w:val="20"/>
                <w:color w:val="auto"/>
              </w:rPr>
            </w:pPr>
            <w:r>
              <w:rPr>
                <w:rFonts w:ascii="Calibri" w:cs="Calibri" w:eastAsia="Calibri" w:hAnsi="Calibri"/>
                <w:sz w:val="18"/>
                <w:szCs w:val="18"/>
                <w:color w:val="auto"/>
              </w:rPr>
              <w:t>Investments in developed technology</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(11,684 )</w:t>
            </w:r>
          </w:p>
        </w:tc>
        <w:tc>
          <w:tcPr>
            <w:tcW w:w="340" w:type="dxa"/>
            <w:vAlign w:val="bottom"/>
          </w:tcPr>
          <w:p>
            <w:pPr>
              <w:spacing w:after="0"/>
              <w:rPr>
                <w:sz w:val="19"/>
                <w:szCs w:val="19"/>
                <w:color w:val="auto"/>
              </w:rPr>
            </w:pPr>
          </w:p>
        </w:tc>
        <w:tc>
          <w:tcPr>
            <w:tcW w:w="142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(8,438 )</w:t>
            </w:r>
          </w:p>
        </w:tc>
        <w:tc>
          <w:tcPr>
            <w:tcW w:w="360" w:type="dxa"/>
            <w:vAlign w:val="bottom"/>
          </w:tcPr>
          <w:p>
            <w:pPr>
              <w:spacing w:after="0"/>
              <w:rPr>
                <w:sz w:val="19"/>
                <w:szCs w:val="19"/>
                <w:color w:val="auto"/>
              </w:rPr>
            </w:pPr>
          </w:p>
        </w:tc>
        <w:tc>
          <w:tcPr>
            <w:tcW w:w="12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(7,264 )</w:t>
            </w:r>
          </w:p>
        </w:tc>
      </w:tr>
      <w:tr>
        <w:trPr>
          <w:trHeight w:val="23"/>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16"/>
        </w:trPr>
        <w:tc>
          <w:tcPr>
            <w:tcW w:w="55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cash used in investng actvites</w:t>
            </w:r>
          </w:p>
        </w:tc>
        <w:tc>
          <w:tcPr>
            <w:tcW w:w="4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(15,415</w:t>
            </w:r>
          </w:p>
        </w:tc>
        <w:tc>
          <w:tcPr>
            <w:tcW w:w="26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b w:val="1"/>
                <w:bCs w:val="1"/>
                <w:color w:val="auto"/>
              </w:rPr>
              <w:t>)</w:t>
            </w:r>
          </w:p>
        </w:tc>
        <w:tc>
          <w:tcPr>
            <w:tcW w:w="340" w:type="dxa"/>
            <w:vAlign w:val="bottom"/>
            <w:tcBorders>
              <w:top w:val="single" w:sz="8" w:color="auto"/>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(9,345</w:t>
            </w:r>
          </w:p>
        </w:tc>
        <w:tc>
          <w:tcPr>
            <w:tcW w:w="22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b w:val="1"/>
                <w:bCs w:val="1"/>
                <w:color w:val="auto"/>
                <w:w w:val="70"/>
              </w:rPr>
              <w:t>)</w:t>
            </w:r>
          </w:p>
        </w:tc>
        <w:tc>
          <w:tcPr>
            <w:tcW w:w="360" w:type="dxa"/>
            <w:vAlign w:val="bottom"/>
            <w:tcBorders>
              <w:top w:val="single" w:sz="8" w:color="auto"/>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(7,605</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w w:val="70"/>
              </w:rPr>
              <w:t>)</w:t>
            </w:r>
          </w:p>
        </w:tc>
      </w:tr>
      <w:tr>
        <w:trPr>
          <w:trHeight w:val="215"/>
        </w:trPr>
        <w:tc>
          <w:tcPr>
            <w:tcW w:w="55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fnancing actvites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Proceeds from February 2022 First Lien Loan</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275,000</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gridSpan w:val="3"/>
            <w:shd w:val="clear" w:color="auto" w:fill="CFF0FC"/>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Payments of February 2022 First Lien Loan</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(2,062 )</w:t>
            </w:r>
          </w:p>
        </w:tc>
        <w:tc>
          <w:tcPr>
            <w:tcW w:w="340" w:type="dxa"/>
            <w:vAlign w:val="bottom"/>
          </w:tcPr>
          <w:p>
            <w:pPr>
              <w:spacing w:after="0"/>
              <w:rPr>
                <w:sz w:val="18"/>
                <w:szCs w:val="18"/>
                <w:color w:val="auto"/>
              </w:rPr>
            </w:pPr>
          </w:p>
        </w:tc>
        <w:tc>
          <w:tcPr>
            <w:tcW w:w="1780" w:type="dxa"/>
            <w:vAlign w:val="bottom"/>
            <w:gridSpan w:val="3"/>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Distributons to non-controlling interests</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(5,245 )</w:t>
            </w:r>
          </w:p>
        </w:tc>
        <w:tc>
          <w:tcPr>
            <w:tcW w:w="34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gridSpan w:val="3"/>
            <w:shd w:val="clear" w:color="auto" w:fill="CFF0FC"/>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Repurchase of Common Stock as Treasury Stock</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(32,494 )</w:t>
            </w:r>
          </w:p>
        </w:tc>
        <w:tc>
          <w:tcPr>
            <w:tcW w:w="340" w:type="dxa"/>
            <w:vAlign w:val="bottom"/>
          </w:tcPr>
          <w:p>
            <w:pPr>
              <w:spacing w:after="0"/>
              <w:rPr>
                <w:sz w:val="18"/>
                <w:szCs w:val="18"/>
                <w:color w:val="auto"/>
              </w:rPr>
            </w:pPr>
          </w:p>
        </w:tc>
        <w:tc>
          <w:tcPr>
            <w:tcW w:w="1780" w:type="dxa"/>
            <w:vAlign w:val="bottom"/>
            <w:gridSpan w:val="3"/>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Cash paid for milestone payments</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(1,111 )</w:t>
            </w:r>
          </w:p>
        </w:tc>
        <w:tc>
          <w:tcPr>
            <w:tcW w:w="34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gridSpan w:val="3"/>
            <w:shd w:val="clear" w:color="auto" w:fill="CFF0FC"/>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Proceeds from PIPE Financing</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475,172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Proceeds from the Merger Transacton</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277,738</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Redempton of Redeemable Senior Preferred Units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8"/>
                <w:szCs w:val="18"/>
                <w:color w:val="auto"/>
              </w:rPr>
            </w:pPr>
          </w:p>
        </w:tc>
        <w:tc>
          <w:tcPr>
            <w:tcW w:w="142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(236,026 )</w:t>
            </w:r>
          </w:p>
        </w:tc>
        <w:tc>
          <w:tcPr>
            <w:tcW w:w="360" w:type="dxa"/>
            <w:vAlign w:val="bottom"/>
          </w:tcPr>
          <w:p>
            <w:pPr>
              <w:spacing w:after="0"/>
              <w:rPr>
                <w:sz w:val="18"/>
                <w:szCs w:val="18"/>
                <w:color w:val="auto"/>
              </w:rPr>
            </w:pPr>
          </w:p>
        </w:tc>
        <w:tc>
          <w:tcPr>
            <w:tcW w:w="128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Payments of May 2020 First Lien Loan</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(260,000 )</w:t>
            </w:r>
          </w:p>
        </w:tc>
        <w:tc>
          <w:tcPr>
            <w:tcW w:w="3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Payments of June 2017 First Lien Loan</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(465,712 )</w:t>
            </w:r>
          </w:p>
        </w:tc>
        <w:tc>
          <w:tcPr>
            <w:tcW w:w="340" w:type="dxa"/>
            <w:vAlign w:val="bottom"/>
          </w:tcPr>
          <w:p>
            <w:pPr>
              <w:spacing w:after="0"/>
              <w:rPr>
                <w:sz w:val="18"/>
                <w:szCs w:val="18"/>
                <w:color w:val="auto"/>
              </w:rPr>
            </w:pPr>
          </w:p>
        </w:tc>
        <w:tc>
          <w:tcPr>
            <w:tcW w:w="142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(153,009 )</w:t>
            </w:r>
          </w:p>
        </w:tc>
        <w:tc>
          <w:tcPr>
            <w:tcW w:w="360" w:type="dxa"/>
            <w:vAlign w:val="bottom"/>
          </w:tcPr>
          <w:p>
            <w:pPr>
              <w:spacing w:after="0"/>
              <w:rPr>
                <w:sz w:val="18"/>
                <w:szCs w:val="18"/>
                <w:color w:val="auto"/>
              </w:rPr>
            </w:pPr>
          </w:p>
        </w:tc>
        <w:tc>
          <w:tcPr>
            <w:tcW w:w="12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(5,856 )</w:t>
            </w: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Prepayment penalty on extnguishment of debt</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(27,974 )</w:t>
            </w:r>
          </w:p>
        </w:tc>
        <w:tc>
          <w:tcPr>
            <w:tcW w:w="3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 of reverse recapitalizaton costs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8"/>
                <w:szCs w:val="18"/>
                <w:color w:val="auto"/>
              </w:rPr>
            </w:pPr>
          </w:p>
        </w:tc>
        <w:tc>
          <w:tcPr>
            <w:tcW w:w="142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(20,175 )</w:t>
            </w:r>
          </w:p>
        </w:tc>
        <w:tc>
          <w:tcPr>
            <w:tcW w:w="360" w:type="dxa"/>
            <w:vAlign w:val="bottom"/>
          </w:tcPr>
          <w:p>
            <w:pPr>
              <w:spacing w:after="0"/>
              <w:rPr>
                <w:sz w:val="18"/>
                <w:szCs w:val="18"/>
                <w:color w:val="auto"/>
              </w:rPr>
            </w:pPr>
          </w:p>
        </w:tc>
        <w:tc>
          <w:tcPr>
            <w:tcW w:w="128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Dividends paid to Class A Common Stock Shareholders</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(17,698 )</w:t>
            </w:r>
          </w:p>
        </w:tc>
        <w:tc>
          <w:tcPr>
            <w:tcW w:w="3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Proceeds from May 2020 First Lien Loan</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8"/>
                <w:szCs w:val="18"/>
                <w:color w:val="auto"/>
              </w:rPr>
            </w:pPr>
          </w:p>
        </w:tc>
        <w:tc>
          <w:tcPr>
            <w:tcW w:w="1780" w:type="dxa"/>
            <w:vAlign w:val="bottom"/>
            <w:gridSpan w:val="3"/>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260,000</w:t>
            </w:r>
          </w:p>
        </w:tc>
        <w:tc>
          <w:tcPr>
            <w:tcW w:w="100" w:type="dxa"/>
            <w:vAlign w:val="bottom"/>
          </w:tcPr>
          <w:p>
            <w:pPr>
              <w:spacing w:after="0"/>
              <w:rPr>
                <w:sz w:val="18"/>
                <w:szCs w:val="18"/>
                <w:color w:val="auto"/>
              </w:rPr>
            </w:pPr>
          </w:p>
        </w:tc>
      </w:tr>
      <w:tr>
        <w:trPr>
          <w:trHeight w:val="28"/>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Proceeds from Revolving Facility</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gridSpan w:val="3"/>
            <w:shd w:val="clear" w:color="auto" w:fill="CFF0FC"/>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50,000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Payments of Revolving Facility</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8"/>
                <w:szCs w:val="18"/>
                <w:color w:val="auto"/>
              </w:rPr>
            </w:pPr>
          </w:p>
        </w:tc>
        <w:tc>
          <w:tcPr>
            <w:tcW w:w="1780" w:type="dxa"/>
            <w:vAlign w:val="bottom"/>
            <w:gridSpan w:val="3"/>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(50,000 )</w:t>
            </w:r>
          </w:p>
        </w:tc>
      </w:tr>
      <w:tr>
        <w:trPr>
          <w:trHeight w:val="221"/>
        </w:trPr>
        <w:tc>
          <w:tcPr>
            <w:tcW w:w="5540" w:type="dxa"/>
            <w:vAlign w:val="bottom"/>
          </w:tcPr>
          <w:p>
            <w:pPr>
              <w:spacing w:after="0"/>
              <w:rPr>
                <w:sz w:val="19"/>
                <w:szCs w:val="19"/>
                <w:color w:val="auto"/>
              </w:rPr>
            </w:pPr>
          </w:p>
        </w:tc>
        <w:tc>
          <w:tcPr>
            <w:tcW w:w="480" w:type="dxa"/>
            <w:vAlign w:val="bottom"/>
          </w:tcPr>
          <w:p>
            <w:pPr>
              <w:jc w:val="right"/>
              <w:ind w:right="210"/>
              <w:spacing w:after="0"/>
              <w:rPr>
                <w:sz w:val="20"/>
                <w:szCs w:val="20"/>
                <w:color w:val="auto"/>
              </w:rPr>
            </w:pPr>
            <w:r>
              <w:rPr>
                <w:rFonts w:ascii="Calibri" w:cs="Calibri" w:eastAsia="Calibri" w:hAnsi="Calibri"/>
                <w:sz w:val="18"/>
                <w:szCs w:val="18"/>
                <w:color w:val="auto"/>
                <w:w w:val="87"/>
              </w:rPr>
              <w:t>64</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39"/>
        </w:trPr>
        <w:tc>
          <w:tcPr>
            <w:tcW w:w="55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4801235</wp:posOffset>
            </wp:positionH>
            <wp:positionV relativeFrom="paragraph">
              <wp:posOffset>-7658735</wp:posOffset>
            </wp:positionV>
            <wp:extent cx="2348230" cy="1968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348230" cy="1968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0"/>
        </w:trPr>
        <w:tc>
          <w:tcPr>
            <w:tcW w:w="6580" w:type="dxa"/>
            <w:vAlign w:val="bottom"/>
            <w:gridSpan w:val="2"/>
          </w:tcPr>
          <w:p>
            <w:pPr>
              <w:jc w:val="center"/>
              <w:ind w:left="4590"/>
              <w:spacing w:after="0"/>
              <w:rPr>
                <w:sz w:val="20"/>
                <w:szCs w:val="20"/>
                <w:color w:val="auto"/>
              </w:rPr>
            </w:pPr>
            <w:r>
              <w:rPr>
                <w:rFonts w:ascii="Calibri" w:cs="Calibri" w:eastAsia="Calibri" w:hAnsi="Calibri"/>
                <w:sz w:val="18"/>
                <w:szCs w:val="18"/>
                <w:b w:val="1"/>
                <w:bCs w:val="1"/>
                <w:color w:val="auto"/>
                <w:w w:val="96"/>
              </w:rPr>
              <w:t>VIVID SEATS INC.</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840" w:type="dxa"/>
            <w:vAlign w:val="bottom"/>
            <w:gridSpan w:val="4"/>
          </w:tcPr>
          <w:p>
            <w:pPr>
              <w:jc w:val="center"/>
              <w:ind w:left="3330"/>
              <w:spacing w:after="0" w:line="216" w:lineRule="exact"/>
              <w:rPr>
                <w:sz w:val="20"/>
                <w:szCs w:val="20"/>
                <w:color w:val="auto"/>
              </w:rPr>
            </w:pPr>
            <w:r>
              <w:rPr>
                <w:rFonts w:ascii="Calibri" w:cs="Calibri" w:eastAsia="Calibri" w:hAnsi="Calibri"/>
                <w:sz w:val="18"/>
                <w:szCs w:val="18"/>
                <w:b w:val="1"/>
                <w:bCs w:val="1"/>
                <w:color w:val="auto"/>
                <w:w w:val="96"/>
              </w:rPr>
              <w:t>CONSOLIDATED STATEMENTS OF CASH FLOWS</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gridSpan w:val="2"/>
          </w:tcPr>
          <w:p>
            <w:pPr>
              <w:jc w:val="center"/>
              <w:ind w:left="4570"/>
              <w:spacing w:after="0" w:line="216" w:lineRule="exact"/>
              <w:rPr>
                <w:sz w:val="20"/>
                <w:szCs w:val="20"/>
                <w:color w:val="auto"/>
              </w:rPr>
            </w:pPr>
            <w:r>
              <w:rPr>
                <w:rFonts w:ascii="Calibri" w:cs="Calibri" w:eastAsia="Calibri" w:hAnsi="Calibri"/>
                <w:sz w:val="18"/>
                <w:szCs w:val="18"/>
                <w:b w:val="1"/>
                <w:bCs w:val="1"/>
                <w:color w:val="auto"/>
                <w:w w:val="96"/>
              </w:rPr>
              <w:t>(in thousands)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0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Payments of deferred fnancing costs and other debt-related costs</w:t>
            </w:r>
          </w:p>
        </w:tc>
        <w:tc>
          <w:tcPr>
            <w:tcW w:w="5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(4,856 )</w:t>
            </w:r>
          </w:p>
        </w:tc>
        <w:tc>
          <w:tcPr>
            <w:tcW w:w="5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(8,479 )</w:t>
            </w:r>
          </w:p>
        </w:tc>
      </w:tr>
      <w:tr>
        <w:trPr>
          <w:trHeight w:val="220"/>
        </w:trPr>
        <w:tc>
          <w:tcPr>
            <w:tcW w:w="6020" w:type="dxa"/>
            <w:vAlign w:val="bottom"/>
          </w:tcPr>
          <w:p>
            <w:pPr>
              <w:ind w:left="120"/>
              <w:spacing w:after="0"/>
              <w:rPr>
                <w:sz w:val="20"/>
                <w:szCs w:val="20"/>
                <w:color w:val="auto"/>
              </w:rPr>
            </w:pPr>
            <w:r>
              <w:rPr>
                <w:rFonts w:ascii="Calibri" w:cs="Calibri" w:eastAsia="Calibri" w:hAnsi="Calibri"/>
                <w:sz w:val="18"/>
                <w:szCs w:val="18"/>
                <w:color w:val="auto"/>
              </w:rPr>
              <w:t>Distributons</w:t>
            </w:r>
          </w:p>
        </w:tc>
        <w:tc>
          <w:tcPr>
            <w:tcW w:w="560" w:type="dxa"/>
            <w:vAlign w:val="bottom"/>
          </w:tcPr>
          <w:p>
            <w:pPr>
              <w:spacing w:after="0"/>
              <w:rPr>
                <w:sz w:val="19"/>
                <w:szCs w:val="19"/>
                <w:color w:val="auto"/>
              </w:rPr>
            </w:pPr>
          </w:p>
        </w:tc>
        <w:tc>
          <w:tcPr>
            <w:tcW w:w="126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(120 )</w:t>
            </w:r>
          </w:p>
        </w:tc>
      </w:tr>
      <w:tr>
        <w:trPr>
          <w:trHeight w:val="23"/>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02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Net cash (used in) provided by fnancing actvites</w:t>
            </w:r>
          </w:p>
        </w:tc>
        <w:tc>
          <w:tcPr>
            <w:tcW w:w="560" w:type="dxa"/>
            <w:vAlign w:val="bottom"/>
            <w:tcBorders>
              <w:top w:val="single" w:sz="8" w:color="auto"/>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(236,480</w:t>
            </w:r>
          </w:p>
        </w:tc>
        <w:tc>
          <w:tcPr>
            <w:tcW w:w="260" w:type="dxa"/>
            <w:vAlign w:val="bottom"/>
            <w:tcBorders>
              <w:bottom w:val="single" w:sz="8" w:color="CFF0FC"/>
            </w:tcBorders>
            <w:shd w:val="clear" w:color="auto" w:fill="CFF0FC"/>
          </w:tcPr>
          <w:p>
            <w:pPr>
              <w:jc w:val="right"/>
              <w:ind w:right="90"/>
              <w:spacing w:after="0" w:line="213"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top w:val="single" w:sz="8" w:color="auto"/>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38,028</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245,545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0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3"/>
        </w:trPr>
        <w:tc>
          <w:tcPr>
            <w:tcW w:w="6020" w:type="dxa"/>
            <w:vAlign w:val="bottom"/>
          </w:tcPr>
          <w:p>
            <w:pPr>
              <w:ind w:left="20"/>
              <w:spacing w:after="0" w:line="213" w:lineRule="exact"/>
              <w:rPr>
                <w:sz w:val="20"/>
                <w:szCs w:val="20"/>
                <w:color w:val="auto"/>
              </w:rPr>
            </w:pPr>
            <w:r>
              <w:rPr>
                <w:rFonts w:ascii="Calibri" w:cs="Calibri" w:eastAsia="Calibri" w:hAnsi="Calibri"/>
                <w:sz w:val="18"/>
                <w:szCs w:val="18"/>
                <w:b w:val="1"/>
                <w:bCs w:val="1"/>
                <w:color w:val="auto"/>
              </w:rPr>
              <w:t>Net increase (decrease) in cash, cash equivalents, and restricted cash</w:t>
            </w:r>
          </w:p>
        </w:tc>
        <w:tc>
          <w:tcPr>
            <w:tcW w:w="560" w:type="dxa"/>
            <w:vAlign w:val="bottom"/>
          </w:tcPr>
          <w:p>
            <w:pPr>
              <w:spacing w:after="0"/>
              <w:rPr>
                <w:sz w:val="18"/>
                <w:szCs w:val="18"/>
                <w:color w:val="auto"/>
              </w:rPr>
            </w:pPr>
          </w:p>
        </w:tc>
        <w:tc>
          <w:tcPr>
            <w:tcW w:w="1260" w:type="dxa"/>
            <w:vAlign w:val="bottom"/>
            <w:gridSpan w:val="2"/>
          </w:tcPr>
          <w:p>
            <w:pPr>
              <w:jc w:val="right"/>
              <w:ind w:right="90"/>
              <w:spacing w:after="0" w:line="213" w:lineRule="exact"/>
              <w:rPr>
                <w:sz w:val="20"/>
                <w:szCs w:val="20"/>
                <w:color w:val="auto"/>
              </w:rPr>
            </w:pPr>
            <w:r>
              <w:rPr>
                <w:rFonts w:ascii="Calibri" w:cs="Calibri" w:eastAsia="Calibri" w:hAnsi="Calibri"/>
                <w:sz w:val="18"/>
                <w:szCs w:val="18"/>
                <w:b w:val="1"/>
                <w:bCs w:val="1"/>
                <w:color w:val="auto"/>
              </w:rPr>
              <w:t>(237,520 )</w:t>
            </w:r>
          </w:p>
        </w:tc>
        <w:tc>
          <w:tcPr>
            <w:tcW w:w="520" w:type="dxa"/>
            <w:vAlign w:val="bottom"/>
          </w:tcPr>
          <w:p>
            <w:pPr>
              <w:spacing w:after="0"/>
              <w:rPr>
                <w:sz w:val="18"/>
                <w:szCs w:val="18"/>
                <w:color w:val="auto"/>
              </w:rPr>
            </w:pPr>
          </w:p>
        </w:tc>
        <w:tc>
          <w:tcPr>
            <w:tcW w:w="1020" w:type="dxa"/>
            <w:vAlign w:val="bottom"/>
          </w:tcPr>
          <w:p>
            <w:pPr>
              <w:jc w:val="right"/>
              <w:spacing w:after="0" w:line="213" w:lineRule="exact"/>
              <w:rPr>
                <w:sz w:val="20"/>
                <w:szCs w:val="20"/>
                <w:color w:val="auto"/>
              </w:rPr>
            </w:pPr>
            <w:r>
              <w:rPr>
                <w:rFonts w:ascii="Calibri" w:cs="Calibri" w:eastAsia="Calibri" w:hAnsi="Calibri"/>
                <w:sz w:val="18"/>
                <w:szCs w:val="18"/>
                <w:b w:val="1"/>
                <w:bCs w:val="1"/>
                <w:color w:val="auto"/>
              </w:rPr>
              <w:t>204,473</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line="213" w:lineRule="exact"/>
              <w:rPr>
                <w:sz w:val="20"/>
                <w:szCs w:val="20"/>
                <w:color w:val="auto"/>
              </w:rPr>
            </w:pPr>
            <w:r>
              <w:rPr>
                <w:rFonts w:ascii="Calibri" w:cs="Calibri" w:eastAsia="Calibri" w:hAnsi="Calibri"/>
                <w:sz w:val="18"/>
                <w:szCs w:val="18"/>
                <w:b w:val="1"/>
                <w:bCs w:val="1"/>
                <w:color w:val="auto"/>
              </w:rPr>
              <w:t>204,048</w:t>
            </w:r>
          </w:p>
        </w:tc>
        <w:tc>
          <w:tcPr>
            <w:tcW w:w="100" w:type="dxa"/>
            <w:vAlign w:val="bottom"/>
          </w:tcPr>
          <w:p>
            <w:pPr>
              <w:spacing w:after="0"/>
              <w:rPr>
                <w:sz w:val="18"/>
                <w:szCs w:val="18"/>
                <w:color w:val="auto"/>
              </w:rPr>
            </w:pPr>
          </w:p>
        </w:tc>
      </w:tr>
      <w:tr>
        <w:trPr>
          <w:trHeight w:val="23"/>
        </w:trPr>
        <w:tc>
          <w:tcPr>
            <w:tcW w:w="6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602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Cash, cash equivalents, and restricted cash – beginning of period</w:t>
            </w:r>
          </w:p>
        </w:tc>
        <w:tc>
          <w:tcPr>
            <w:tcW w:w="5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489,810</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285,337</w:t>
            </w:r>
          </w:p>
        </w:tc>
        <w:tc>
          <w:tcPr>
            <w:tcW w:w="2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81,289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0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Cash, cash equivalents, and restricted cash – end of period</w:t>
            </w:r>
          </w:p>
        </w:tc>
        <w:tc>
          <w:tcPr>
            <w:tcW w:w="560" w:type="dxa"/>
            <w:vAlign w:val="bottom"/>
            <w:tcBorders>
              <w:top w:val="single" w:sz="8" w:color="auto"/>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252,290</w:t>
            </w:r>
          </w:p>
        </w:tc>
        <w:tc>
          <w:tcPr>
            <w:tcW w:w="26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b w:val="1"/>
                <w:bCs w:val="1"/>
                <w:color w:val="auto"/>
                <w:w w:val="87"/>
              </w:rPr>
              <w:t>$</w:t>
            </w:r>
          </w:p>
        </w:tc>
        <w:tc>
          <w:tcPr>
            <w:tcW w:w="10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489,810</w:t>
            </w:r>
          </w:p>
        </w:tc>
        <w:tc>
          <w:tcPr>
            <w:tcW w:w="22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b w:val="1"/>
                <w:bCs w:val="1"/>
                <w:color w:val="auto"/>
              </w:rPr>
              <w:t>$</w:t>
            </w:r>
          </w:p>
        </w:tc>
        <w:tc>
          <w:tcPr>
            <w:tcW w:w="10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285,337</w:t>
            </w:r>
          </w:p>
        </w:tc>
        <w:tc>
          <w:tcPr>
            <w:tcW w:w="100" w:type="dxa"/>
            <w:vAlign w:val="bottom"/>
            <w:tcBorders>
              <w:top w:val="single" w:sz="8" w:color="CFF0FC"/>
            </w:tcBorders>
          </w:tcPr>
          <w:p>
            <w:pPr>
              <w:spacing w:after="0"/>
              <w:rPr>
                <w:sz w:val="20"/>
                <w:szCs w:val="20"/>
                <w:color w:val="auto"/>
              </w:rPr>
            </w:pPr>
          </w:p>
        </w:tc>
      </w:tr>
      <w:tr>
        <w:trPr>
          <w:trHeight w:val="20"/>
        </w:trPr>
        <w:tc>
          <w:tcPr>
            <w:tcW w:w="6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020" w:type="dxa"/>
            <w:vAlign w:val="bottom"/>
            <w:tcBorders>
              <w:bottom w:val="single" w:sz="8" w:color="CFF0FC"/>
            </w:tcBorders>
            <w:shd w:val="clear" w:color="auto" w:fill="CFF0FC"/>
          </w:tcPr>
          <w:p>
            <w:pPr>
              <w:ind w:left="20"/>
              <w:spacing w:after="0" w:line="196" w:lineRule="exact"/>
              <w:rPr>
                <w:sz w:val="20"/>
                <w:szCs w:val="20"/>
                <w:color w:val="auto"/>
              </w:rPr>
            </w:pPr>
            <w:r>
              <w:rPr>
                <w:rFonts w:ascii="Calibri" w:cs="Calibri" w:eastAsia="Calibri" w:hAnsi="Calibri"/>
                <w:sz w:val="18"/>
                <w:szCs w:val="18"/>
                <w:b w:val="1"/>
                <w:bCs w:val="1"/>
                <w:color w:val="auto"/>
              </w:rPr>
              <w:t>Supplemental disclosure of cash fow informaton:</w:t>
            </w:r>
          </w:p>
        </w:tc>
        <w:tc>
          <w:tcPr>
            <w:tcW w:w="5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15"/>
        </w:trPr>
        <w:tc>
          <w:tcPr>
            <w:tcW w:w="6020" w:type="dxa"/>
            <w:vAlign w:val="bottom"/>
          </w:tcPr>
          <w:p>
            <w:pPr>
              <w:ind w:left="120"/>
              <w:spacing w:after="0" w:line="215" w:lineRule="exact"/>
              <w:rPr>
                <w:sz w:val="20"/>
                <w:szCs w:val="20"/>
                <w:color w:val="auto"/>
              </w:rPr>
            </w:pPr>
            <w:r>
              <w:rPr>
                <w:rFonts w:ascii="Calibri" w:cs="Calibri" w:eastAsia="Calibri" w:hAnsi="Calibri"/>
                <w:sz w:val="18"/>
                <w:szCs w:val="18"/>
                <w:color w:val="auto"/>
              </w:rPr>
              <w:t>Paid-in-kind interest added to May 2020 First Lien Loan principal</w:t>
            </w:r>
          </w:p>
        </w:tc>
        <w:tc>
          <w:tcPr>
            <w:tcW w:w="560" w:type="dxa"/>
            <w:vAlign w:val="bottom"/>
          </w:tcPr>
          <w:p>
            <w:pPr>
              <w:jc w:val="right"/>
              <w:ind w:right="35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ind w:right="3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28,463</w:t>
            </w:r>
          </w:p>
        </w:tc>
        <w:tc>
          <w:tcPr>
            <w:tcW w:w="740" w:type="dxa"/>
            <w:vAlign w:val="bottom"/>
            <w:gridSpan w:val="2"/>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15,678</w:t>
            </w:r>
          </w:p>
        </w:tc>
        <w:tc>
          <w:tcPr>
            <w:tcW w:w="100" w:type="dxa"/>
            <w:vAlign w:val="bottom"/>
          </w:tcPr>
          <w:p>
            <w:pPr>
              <w:spacing w:after="0"/>
              <w:rPr>
                <w:sz w:val="18"/>
                <w:szCs w:val="18"/>
                <w:color w:val="auto"/>
              </w:rPr>
            </w:pPr>
          </w:p>
        </w:tc>
      </w:tr>
      <w:tr>
        <w:trPr>
          <w:trHeight w:val="28"/>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0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Cash paid for interest</w:t>
            </w:r>
          </w:p>
        </w:tc>
        <w:tc>
          <w:tcPr>
            <w:tcW w:w="560" w:type="dxa"/>
            <w:vAlign w:val="bottom"/>
            <w:tcBorders>
              <w:bottom w:val="single" w:sz="8" w:color="CFF0FC"/>
            </w:tcBorders>
            <w:shd w:val="clear" w:color="auto" w:fill="CFF0FC"/>
          </w:tcPr>
          <w:p>
            <w:pPr>
              <w:jc w:val="right"/>
              <w:ind w:right="35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14,794</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ind w:right="3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72,736</w:t>
            </w:r>
          </w:p>
        </w:tc>
        <w:tc>
          <w:tcPr>
            <w:tcW w:w="740" w:type="dxa"/>
            <w:vAlign w:val="bottom"/>
            <w:tcBorders>
              <w:bottom w:val="single" w:sz="8" w:color="CFF0FC"/>
            </w:tcBorders>
            <w:gridSpan w:val="2"/>
            <w:shd w:val="clear" w:color="auto" w:fill="CFF0FC"/>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34,592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020" w:type="dxa"/>
            <w:vAlign w:val="bottom"/>
          </w:tcPr>
          <w:p>
            <w:pPr>
              <w:ind w:left="120"/>
              <w:spacing w:after="0" w:line="215" w:lineRule="exact"/>
              <w:rPr>
                <w:sz w:val="20"/>
                <w:szCs w:val="20"/>
                <w:color w:val="auto"/>
              </w:rPr>
            </w:pPr>
            <w:r>
              <w:rPr>
                <w:rFonts w:ascii="Calibri" w:cs="Calibri" w:eastAsia="Calibri" w:hAnsi="Calibri"/>
                <w:sz w:val="18"/>
                <w:szCs w:val="18"/>
                <w:color w:val="auto"/>
              </w:rPr>
              <w:t>Acquisiton non-cash consideraton</w:t>
            </w:r>
          </w:p>
        </w:tc>
        <w:tc>
          <w:tcPr>
            <w:tcW w:w="560" w:type="dxa"/>
            <w:vAlign w:val="bottom"/>
          </w:tcPr>
          <w:p>
            <w:pPr>
              <w:jc w:val="right"/>
              <w:ind w:right="35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ind w:right="3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21,306</w:t>
            </w:r>
          </w:p>
        </w:tc>
        <w:tc>
          <w:tcPr>
            <w:tcW w:w="740" w:type="dxa"/>
            <w:vAlign w:val="bottom"/>
            <w:gridSpan w:val="2"/>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r>
      <w:tr>
        <w:trPr>
          <w:trHeight w:val="223"/>
        </w:trPr>
        <w:tc>
          <w:tcPr>
            <w:tcW w:w="60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Property and equipment acquired through tenant improvement allowance</w:t>
            </w:r>
          </w:p>
        </w:tc>
        <w:tc>
          <w:tcPr>
            <w:tcW w:w="560" w:type="dxa"/>
            <w:vAlign w:val="bottom"/>
            <w:tcBorders>
              <w:bottom w:val="single" w:sz="8" w:color="CFF0FC"/>
            </w:tcBorders>
            <w:shd w:val="clear" w:color="auto" w:fill="CFF0FC"/>
          </w:tcPr>
          <w:p>
            <w:pPr>
              <w:jc w:val="right"/>
              <w:ind w:right="35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6,472</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ind w:right="3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CFF0FC"/>
            </w:tcBorders>
            <w:gridSpan w:val="2"/>
            <w:shd w:val="clear" w:color="auto" w:fill="CFF0FC"/>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6020" w:type="dxa"/>
            <w:vAlign w:val="bottom"/>
          </w:tcPr>
          <w:p>
            <w:pPr>
              <w:ind w:left="120"/>
              <w:spacing w:after="0" w:line="215" w:lineRule="exact"/>
              <w:rPr>
                <w:sz w:val="20"/>
                <w:szCs w:val="20"/>
                <w:color w:val="auto"/>
              </w:rPr>
            </w:pPr>
            <w:r>
              <w:rPr>
                <w:rFonts w:ascii="Calibri" w:cs="Calibri" w:eastAsia="Calibri" w:hAnsi="Calibri"/>
                <w:sz w:val="18"/>
                <w:szCs w:val="18"/>
                <w:color w:val="auto"/>
              </w:rPr>
              <w:t>Right-of-use assets obtained in exchange for lease obligatons</w:t>
            </w:r>
          </w:p>
        </w:tc>
        <w:tc>
          <w:tcPr>
            <w:tcW w:w="560" w:type="dxa"/>
            <w:vAlign w:val="bottom"/>
          </w:tcPr>
          <w:p>
            <w:pPr>
              <w:jc w:val="right"/>
              <w:ind w:right="35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3,406</w:t>
            </w:r>
          </w:p>
        </w:tc>
        <w:tc>
          <w:tcPr>
            <w:tcW w:w="260" w:type="dxa"/>
            <w:vAlign w:val="bottom"/>
          </w:tcPr>
          <w:p>
            <w:pPr>
              <w:spacing w:after="0"/>
              <w:rPr>
                <w:sz w:val="18"/>
                <w:szCs w:val="18"/>
                <w:color w:val="auto"/>
              </w:rPr>
            </w:pPr>
          </w:p>
        </w:tc>
        <w:tc>
          <w:tcPr>
            <w:tcW w:w="520" w:type="dxa"/>
            <w:vAlign w:val="bottom"/>
          </w:tcPr>
          <w:p>
            <w:pPr>
              <w:jc w:val="right"/>
              <w:ind w:right="3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740" w:type="dxa"/>
            <w:vAlign w:val="bottom"/>
            <w:gridSpan w:val="2"/>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r>
      <w:tr>
        <w:trPr>
          <w:trHeight w:val="223"/>
        </w:trPr>
        <w:tc>
          <w:tcPr>
            <w:tcW w:w="602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Equity-based compensaton expense related to capitalized development costs</w:t>
            </w:r>
          </w:p>
        </w:tc>
        <w:tc>
          <w:tcPr>
            <w:tcW w:w="560" w:type="dxa"/>
            <w:vAlign w:val="bottom"/>
            <w:tcBorders>
              <w:bottom w:val="single" w:sz="8" w:color="CFF0FC"/>
            </w:tcBorders>
            <w:shd w:val="clear" w:color="auto" w:fill="CFF0FC"/>
          </w:tcPr>
          <w:p>
            <w:pPr>
              <w:jc w:val="right"/>
              <w:ind w:right="35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ind w:right="3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CFF0FC"/>
            </w:tcBorders>
            <w:gridSpan w:val="2"/>
            <w:shd w:val="clear" w:color="auto" w:fill="CFF0FC"/>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60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-1602105</wp:posOffset>
            </wp:positionV>
            <wp:extent cx="7747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-1602105</wp:posOffset>
            </wp:positionV>
            <wp:extent cx="6858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-1276985</wp:posOffset>
            </wp:positionV>
            <wp:extent cx="77470"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-1276985</wp:posOffset>
            </wp:positionV>
            <wp:extent cx="68580"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Background, Description of Business and Basis of Presentation</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Vivid Seats Inc. ("VSI") and its subsidiaries including Hoya Intermediate, LLC ("Hoya Intermediate"), Hoya Midco, LLC ("Hoya Midco"), and Vivid Seats LLC (collectvely the “Company,” “us,” “we,” and “our”) provide an online secondary tcket marketplace that enables tcket buyers to discover and easily purchase tckets to concert, sportng and theater events in the United States and Canada. Through our Marketplace segment, we operate an online platorm enabling tcket buyers to purchase tckets to live events, while enabling tcket sellers to seamlessly manage their operatons. In our Resale segment, we acquire tckets to resell on secondary tcket marketplaces, including our own.</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consolidated fnancial statements include all of our accounts, including those of our consolidated subsidiaries. All intercompany transactons and balances have been eliminated in consolidaton. The consolidated fnancial statements have been prepared in accordance with accountng principles generally accepted in the United States of America (“GAAP”).</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VSI was incorporated in Delaware on March 29, 2021 as a wholly owned subsidiary of Hoya Intermediate. VSI was formed for the purpose of completng the transactons contemplated by the defnitve transacton agreement, dated April 21, 2021 (the “Transacton Agreement”), by and among Horizon Acquisiton Corporaton (“Horizon”), a publicly traded special purpose acquisiton company, Hoya Intermediate, Hoya Topco, VSI, and the other partes thereto. On October 18, 2021, the transactons contemplated by the Transacton Agreement were completed.</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The Merger Transacton and PIPE Financing</w:t>
      </w:r>
      <w:r>
        <w:rPr>
          <w:rFonts w:ascii="Calibri" w:cs="Calibri" w:eastAsia="Calibri" w:hAnsi="Calibri"/>
          <w:sz w:val="18"/>
          <w:szCs w:val="18"/>
          <w:color w:val="auto"/>
        </w:rPr>
        <w:t>—On October 18, 2021, we consummated a series of transactons (collectvely, the "Merger Transacton")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between Horizon, VSI, and Hoya Intermediate. The Merger Transacton was accounted for as a reverse recapitalizaton, with Hoya Intermediate treated as the accountng acquirer. Accordingly, our consolidated fnancial statements represent a contnuaton of the fnancial statements of Hoya Intermediate with net assets of Hoya Intermediate stated at historical cost.</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color w:val="auto"/>
        </w:rPr>
        <w:t>In connecton with the Merger Transacton, VSI:</w:t>
      </w:r>
    </w:p>
    <w:p>
      <w:pPr>
        <w:spacing w:after="0" w:line="163" w:lineRule="exact"/>
        <w:rPr>
          <w:sz w:val="20"/>
          <w:szCs w:val="20"/>
          <w:color w:val="auto"/>
        </w:rPr>
      </w:pPr>
    </w:p>
    <w:p>
      <w:pPr>
        <w:jc w:val="both"/>
        <w:ind w:left="102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Issued 29,431,260 shares of Class A common stock to former shareholders of Horizon, whereby $293.2 million in cash and cash equivalents (afer the payment of $18.7 million in transacton costs incurred by Horizon) of Horizon became available to VSI. We subsequently paid an additonal $15.5 million in transacton costs incurred by Horizon using the cash and cash equivalents that became available to VSI;</w:t>
      </w:r>
    </w:p>
    <w:p>
      <w:pPr>
        <w:spacing w:after="0" w:line="151"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Issued 118,200,000 shares of Class B common stock and 6,000,000 warrants at an exercise price of $0.001 per share to purchase Class B common stock ("Class B Warrants"), which are only exercisable upon the exercise of a corresponding Hoya Intermediate Warrant (defned below), to Hoya Topco in exchange for the outstanding shares of Hoya Intermediate;</w:t>
      </w:r>
    </w:p>
    <w:p>
      <w:pPr>
        <w:spacing w:after="0" w:line="164"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Received $475.2 million in aggregate consideraton from certain investors, including Horizon Sponsor in exchange for 47,517,173 shares of Class A common stock, pursuant to a private investment in public equity (“PIPE Financing”).</w:t>
      </w:r>
    </w:p>
    <w:p>
      <w:pPr>
        <w:spacing w:after="0" w:line="163"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Used proceeds from Horizon and the PIPE Financing to pay (i) $482.4 million towards our outstanding debt, (ii) $236.0 million to facilitate the redempton of preferred units held in Hoya Intermediate, and (iii) $54.3 million for transacton fees incurred in connecton with the Merger Transacton;</w:t>
      </w:r>
    </w:p>
    <w:p>
      <w:pPr>
        <w:spacing w:after="0" w:line="151"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Issued to Horizon Sponsor (i) warrants to purchase 17,000,000 shares of Class A common stock at an exercise price of $10.00 per share , (ii) warrants to purchase 17,000,000 shares of Class A common stock at an exercise of $15.00 per share (collectvely, the "Exercise Warrants"), and (iii) 50,000 shares of Class A common stock; and</w:t>
      </w:r>
    </w:p>
    <w:p>
      <w:pPr>
        <w:spacing w:after="0" w:line="164"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Issued private warrants to purchase 6,519,791 shares of Class A common stock at an exercise price of $11.50 per share ("Private Warrants"), and public warrants to purchase 18,132,776 shares of Class A</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20"/>
        <w:spacing w:after="0"/>
        <w:rPr>
          <w:sz w:val="20"/>
          <w:szCs w:val="20"/>
          <w:color w:val="auto"/>
        </w:rPr>
      </w:pPr>
      <w:r>
        <w:rPr>
          <w:rFonts w:ascii="Calibri" w:cs="Calibri" w:eastAsia="Calibri" w:hAnsi="Calibri"/>
          <w:sz w:val="18"/>
          <w:szCs w:val="18"/>
          <w:color w:val="auto"/>
        </w:rPr>
        <w:t>common stock at an exercise price of $11.50 per share ("Public Warrants"), to former holders of Horizon warrants.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connecton with the Merger Transacton, Hoya Intermediate issued to Hoya Topco (i) warrants to purchase 3,000,000 shares of common units of Hoya Intermediate (“Intermediate Units”) at an exercise price of $10.00 per share, and (ii) warrants to purchase 3,000,000 shares of Intermediate Units at an exercise of $15.00 per share (collectvely, the "Hoya Intermediate Warrants"). A porton of the Hoya Intermediate Warrants consistng of warrants to purchase 1,000,000 Intermediate Units at exercise prices of $10.00 and $15.00 per unit (“Opton Contngent Warrants”), respectvely, were issued in tandem with stock optons issued by VSI to members of our management team (“Management Optons”). The Opton Contngent Warrants only become available to exercise by Hoya Topco in the event that a Management Opton is forfeited or goes unexercised. For additonal details regarding the issuance of warrants in connecton with the Merger Transacton refer to Note 14, </w:t>
      </w:r>
      <w:r>
        <w:rPr>
          <w:rFonts w:ascii="Calibri" w:cs="Calibri" w:eastAsia="Calibri" w:hAnsi="Calibri"/>
          <w:sz w:val="18"/>
          <w:szCs w:val="18"/>
          <w:i w:val="1"/>
          <w:iCs w:val="1"/>
          <w:color w:val="auto"/>
        </w:rPr>
        <w:t>Financial Instruments</w:t>
      </w:r>
      <w:r>
        <w:rPr>
          <w:rFonts w:ascii="Calibri" w:cs="Calibri" w:eastAsia="Calibri" w:hAnsi="Calibri"/>
          <w:sz w:val="18"/>
          <w:szCs w:val="18"/>
          <w:color w:val="auto"/>
        </w:rPr>
        <w:t>.</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Following the Merger Transacton, the legacy unit holders of Hoya Intermediate own a controlling interest in VSI through their ownership of Class B common stock in VSI.</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Immaterial Correcton of an Error in Prior Period</w:t>
      </w:r>
      <w:r>
        <w:rPr>
          <w:rFonts w:ascii="Calibri" w:cs="Calibri" w:eastAsia="Calibri" w:hAnsi="Calibri"/>
          <w:sz w:val="18"/>
          <w:szCs w:val="18"/>
          <w:color w:val="auto"/>
        </w:rPr>
        <w:t>—We identfed an immaterial error related to the classifcaton of the payment of previously deferred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interest in our Consolidated Statement of Cash Flows for the year ended December 31, 2021. The payment of $44.1 million of deferred interest was previously classifed as a fnancing cash outlow included within the Payments of May 2020 First Lien Loan in the Consolidated Statement of Cash fows. We subsequently determined that the $44.1 million should have been classifed as an operatng cash outlow in the Consolidated Statement of Cash Flows. We therefore conducted an evaluaton of the quanttatve and qualitatve factors outlined in Staf Accountng Bulletn No. 99 and concluded that the impact of the cash fow classifcaton error was not material to the previously issued fnancial statements. We corrected the deferred interest payment of $44.1 million from an outlow in cash fows from fnancing actvites to an outlow in cash fows from operatng actvites in the Consolidated Statement of Cash Flows for the year ended December 31, 2021. The efect of the error did not impact the Consolidated Statement of Operatons, the Consolidated Statement of Comprehensive Income (Loss), or the Consolidated Statement of Equity (Defcit) for the year ended December 31, 2021. The efect of the error did not impact the Consolidated Balance Sheet as of December 31, 2021.</w:t>
      </w:r>
    </w:p>
    <w:p>
      <w:pPr>
        <w:spacing w:after="0" w:line="139" w:lineRule="exact"/>
        <w:rPr>
          <w:sz w:val="20"/>
          <w:szCs w:val="20"/>
          <w:color w:val="auto"/>
        </w:rPr>
      </w:pPr>
    </w:p>
    <w:p>
      <w:pPr>
        <w:spacing w:after="0"/>
        <w:rPr>
          <w:sz w:val="20"/>
          <w:szCs w:val="20"/>
          <w:color w:val="auto"/>
        </w:rPr>
      </w:pPr>
      <w:r>
        <w:rPr>
          <w:rFonts w:ascii="Calibri" w:cs="Calibri" w:eastAsia="Calibri" w:hAnsi="Calibri"/>
          <w:sz w:val="18"/>
          <w:szCs w:val="18"/>
          <w:color w:val="auto"/>
        </w:rPr>
        <w:t>The impact of this correcton in the Consolidated Statement of Cash Flows for the year ended December 31, 2021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Calibri" w:cs="Calibri" w:eastAsia="Calibri" w:hAnsi="Calibri"/>
                <w:sz w:val="18"/>
                <w:szCs w:val="18"/>
                <w:b w:val="1"/>
                <w:bCs w:val="1"/>
                <w:color w:val="auto"/>
                <w:w w:val="97"/>
              </w:rPr>
              <w:t>As Reported</w:t>
            </w:r>
          </w:p>
        </w:tc>
        <w:tc>
          <w:tcPr>
            <w:tcW w:w="1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Calibri" w:cs="Calibri" w:eastAsia="Calibri" w:hAnsi="Calibri"/>
                <w:sz w:val="18"/>
                <w:szCs w:val="18"/>
                <w:b w:val="1"/>
                <w:bCs w:val="1"/>
                <w:color w:val="auto"/>
                <w:w w:val="99"/>
              </w:rPr>
              <w:t>As Restated</w:t>
            </w:r>
          </w:p>
        </w:tc>
      </w:tr>
      <w:tr>
        <w:trPr>
          <w:trHeight w:val="37"/>
        </w:trPr>
        <w:tc>
          <w:tcPr>
            <w:tcW w:w="84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84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Cash fows from operatng actvites</w:t>
            </w: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44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paid-in-kind interest paid on May 2020 Loan</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(44,141 )</w:t>
            </w:r>
          </w:p>
        </w:tc>
      </w:tr>
      <w:tr>
        <w:trPr>
          <w:trHeight w:val="28"/>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4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Net cash provided by operatng actvites</w:t>
            </w: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219,931</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175,790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4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fnancing actvites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223"/>
        </w:trPr>
        <w:tc>
          <w:tcPr>
            <w:tcW w:w="84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Payments of May 2020 First Lien Loan</w:t>
            </w: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(304,141 )</w:t>
            </w:r>
          </w:p>
        </w:tc>
        <w:tc>
          <w:tcPr>
            <w:tcW w:w="1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(260,000 )</w:t>
            </w:r>
          </w:p>
        </w:tc>
      </w:tr>
      <w:tr>
        <w:trPr>
          <w:trHeight w:val="215"/>
        </w:trPr>
        <w:tc>
          <w:tcPr>
            <w:tcW w:w="84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Net cash (used in) provided by fnancing actvites</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b w:val="1"/>
                <w:bCs w:val="1"/>
                <w:color w:val="auto"/>
              </w:rPr>
              <w:t>(6,113 )</w:t>
            </w:r>
          </w:p>
        </w:tc>
        <w:tc>
          <w:tcPr>
            <w:tcW w:w="12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38,028</w:t>
            </w:r>
          </w:p>
        </w:tc>
        <w:tc>
          <w:tcPr>
            <w:tcW w:w="100" w:type="dxa"/>
            <w:vAlign w:val="bottom"/>
          </w:tcPr>
          <w:p>
            <w:pPr>
              <w:spacing w:after="0"/>
              <w:rPr>
                <w:sz w:val="18"/>
                <w:szCs w:val="18"/>
                <w:color w:val="auto"/>
              </w:rPr>
            </w:pPr>
          </w:p>
        </w:tc>
      </w:tr>
      <w:tr>
        <w:trPr>
          <w:trHeight w:val="28"/>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4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Supplemental disclosure of cash fow informaton:</w:t>
            </w: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8440" w:type="dxa"/>
            <w:vAlign w:val="bottom"/>
          </w:tcPr>
          <w:p>
            <w:pPr>
              <w:ind w:left="20"/>
              <w:spacing w:after="0" w:line="215" w:lineRule="exact"/>
              <w:rPr>
                <w:sz w:val="20"/>
                <w:szCs w:val="20"/>
                <w:color w:val="auto"/>
              </w:rPr>
            </w:pPr>
            <w:r>
              <w:rPr>
                <w:rFonts w:ascii="Calibri" w:cs="Calibri" w:eastAsia="Calibri" w:hAnsi="Calibri"/>
                <w:sz w:val="18"/>
                <w:szCs w:val="18"/>
                <w:color w:val="auto"/>
              </w:rPr>
              <w:t>Cash paid for interest</w:t>
            </w:r>
          </w:p>
        </w:tc>
        <w:tc>
          <w:tcPr>
            <w:tcW w:w="14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28,595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72,736</w:t>
            </w:r>
          </w:p>
        </w:tc>
        <w:tc>
          <w:tcPr>
            <w:tcW w:w="100" w:type="dxa"/>
            <w:vAlign w:val="bottom"/>
          </w:tcPr>
          <w:p>
            <w:pPr>
              <w:spacing w:after="0"/>
              <w:rPr>
                <w:sz w:val="18"/>
                <w:szCs w:val="18"/>
                <w:color w:val="auto"/>
              </w:rPr>
            </w:pPr>
          </w:p>
        </w:tc>
      </w:tr>
    </w:tbl>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COVID-19 Update</w:t>
      </w:r>
      <w:r>
        <w:rPr>
          <w:rFonts w:ascii="Calibri" w:cs="Calibri" w:eastAsia="Calibri" w:hAnsi="Calibri"/>
          <w:sz w:val="18"/>
          <w:szCs w:val="18"/>
          <w:color w:val="auto"/>
        </w:rPr>
        <w:t>—Beginning in the second quarter of 2021, and contnuing throughout 2022, we have seen a recovery in tcket orders as mitgaton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measures ease. While we have experienced recovery from the COVID-19 pandemic, uncertainty remains around the potental for new variants to emerge or case counts to rise. We expect some of our key accountng estmates to contnue to evolve depending on the degree of future impacts associated with the COVID-19 pandemic. If economic conditons caused by the pandemic worsen, our fnancial conditon, cash fows, and results of operatons may be materially impacted.</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Summary of Significant Accounting Policies</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Use of Estmates</w:t>
      </w:r>
      <w:r>
        <w:rPr>
          <w:rFonts w:ascii="Calibri" w:cs="Calibri" w:eastAsia="Calibri" w:hAnsi="Calibri"/>
          <w:sz w:val="18"/>
          <w:szCs w:val="18"/>
          <w:color w:val="auto"/>
        </w:rPr>
        <w:t>—We use estmates and assumptons in the preparaton of our consolidated fnancial statements in accordance with GAAP. Our estmates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assumptons afect the reported amounts of assets and liabilites at the date of the financial statements, and the reported amounts of revenues and expenses during the reportng period. Our actual fnancial results could difer signifcantly from these estmates. The signifcant estmates underlying our consolidated fnancial statements include the accrual for future customer compensaton and the related recovery of future customer compensaton asset; breakage rates related to customer credits; usage assumptons for our loyalty program; inventory valuaton; valuaton of equity-based compensaton; valuaton of warrants; valuaton of acquired intangible assets and goodwill and valuaton of earnouts issued in connecton with our acquisiton of Betcha Sports, Inc. (“Betcha”, as renamed "Vivid Picks"); useful life of defnite-lived intangible assets and other long-lived assets; impairments of goodwill, indefnite-lived intangible assets, defnite-lived intangible assets and long-lived assets, and valuaton allowances.</w:t>
      </w:r>
    </w:p>
    <w:p>
      <w:pPr>
        <w:spacing w:after="0" w:line="14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Cash and Cash Equivalents</w:t>
      </w:r>
      <w:r>
        <w:rPr>
          <w:rFonts w:ascii="Calibri" w:cs="Calibri" w:eastAsia="Calibri" w:hAnsi="Calibri"/>
          <w:sz w:val="18"/>
          <w:szCs w:val="18"/>
          <w:color w:val="auto"/>
        </w:rPr>
        <w:t>—Cash and cash equivalents include all cash balances and highly liquid investments purchased with original maturites of three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months or less. Our cash and cash equivalents consist primarily of domestc bank accounts, interest-bearing deposit accounts, and money market accounts managed by third-party fnancial insttutons. Cash and cash equivalents are valued by us based on quoted prices in an actve market, which represent a Level 1 measurement within the fair value hierarchy.</w:t>
      </w:r>
    </w:p>
    <w:p>
      <w:pPr>
        <w:spacing w:after="0" w:line="152"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Cash and cash equivalents held in interest-bearing accounts may exceed the Federal Deposit Insurance Corporaton insurance limits. To reduce credit risk, we monitor the credit standing of the fnancial insttutons that hold our cash and cash equivalents. However, balances could be impacted in the future if underlying fnancial insttutons fail. As of December 31, 2022 and 2021, we have not experienced any loss or lack of access to its cash and cash equivalents.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Restricted Cash</w:t>
      </w:r>
      <w:r>
        <w:rPr>
          <w:rFonts w:ascii="Calibri" w:cs="Calibri" w:eastAsia="Calibri" w:hAnsi="Calibri"/>
          <w:sz w:val="18"/>
          <w:szCs w:val="18"/>
          <w:color w:val="auto"/>
        </w:rPr>
        <w:t>—Restricted cash consists of funds reserved for Vivid Picks account balances, which are required to remain separate from our operatonal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funds and are reserved for users.</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Accounts Receivable and Credit Policies</w:t>
      </w:r>
      <w:r>
        <w:rPr>
          <w:rFonts w:ascii="Calibri" w:cs="Calibri" w:eastAsia="Calibri" w:hAnsi="Calibri"/>
          <w:sz w:val="18"/>
          <w:szCs w:val="18"/>
          <w:color w:val="auto"/>
        </w:rPr>
        <w:t>—$18.9 million and $9.5 million of the Accounts receivable balance at December 31, 2022 and 2021, respectvely,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consisted of uncollateralized payment processor obligatons due under normal trade terms typically requiring payment within three business days. Credit risk with respect to accounts receivable from payment processing enttes is limited due to the consolidaton of those receivables with large fnancial insttutons and the frequency with which the receivables turn over.</w:t>
      </w:r>
    </w:p>
    <w:p>
      <w:pPr>
        <w:spacing w:after="0" w:line="15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$1.0 million and $7.2 million of the Accounts receivable balance at December 31, 2022 and 2021, respectvely, consisted of amounts due from marketplace tcket sellers for cancelled event tckets. We recorded an allowance for doubtul accounts of $0.1 million and $1.4 million at December 31, 2022 and 2021, respectvely, to refect potental challenges in collectng funds from marketplace tcket sellers. The allowance for doubtul accounts decreased during 2022 as tcket sellers on the marketplace platorm repaid their outstanding balances or uncollectable amounts were writen of. Accounts receivable balances are stated net of allowance for doubtul accounts and bad debt expense is presented as a reducton of Revenues in the Consolidated Statements of Operatons.</w:t>
      </w:r>
    </w:p>
    <w:p>
      <w:pPr>
        <w:spacing w:after="0" w:line="14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$11.7 million and $14.5 million of the Accounts receivable balance at December 31, 2022 and 2021, respectvely, consisted of amounts due from distributon partners for cancellaton charges, primarily related to cancelled events. We recorded an allowance for doubtul accounts of $3.6 million and $1.6 million at December 31, 2022 and 2021, respectvely, to refect potental challenges in collectng funds from distributon partners, partcularly for amounts due upon usage of store credit previously issued to buyers. Accounts receivable balances are stated net of allowance for doubtul accounts and bad debt expense is presented as a reducton of Revenues in the Consolidated Statements of Operatons.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color w:val="auto"/>
        </w:rPr>
        <w:t>Write-ofs were $4.9 million, $1.0 million, and less than $0.1 million for the years ended December 31, 2022, 2021 and 2020, respectvely.</w:t>
      </w:r>
    </w:p>
    <w:p>
      <w:pPr>
        <w:spacing w:after="0" w:line="104"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Inventory</w:t>
      </w:r>
      <w:r>
        <w:rPr>
          <w:rFonts w:ascii="Calibri" w:cs="Calibri" w:eastAsia="Calibri" w:hAnsi="Calibri"/>
          <w:sz w:val="18"/>
          <w:szCs w:val="18"/>
          <w:color w:val="auto"/>
        </w:rPr>
        <w:t>—Inventory consists of tckets to live events purchased by our Resale segment. All inventory is valued at the lower of cost or net realizable value,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determined by the specifc identfcaton method. A provision is recorded to adjust inventory to its estmated realizable value when inventory is determined to be in excess of antcipated demand. During the years ended December 31, 2022, 2021, and 2020, we incurred inventory write-downs of $5.0 million, $2.1 million, and $1.6 million, respectvely, which are presented in Cost of revenues in the Consolidated Statements of Operatons.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Property and Equipment—</w:t>
      </w:r>
      <w:r>
        <w:rPr>
          <w:rFonts w:ascii="Calibri" w:cs="Calibri" w:eastAsia="Calibri" w:hAnsi="Calibri"/>
          <w:sz w:val="18"/>
          <w:szCs w:val="18"/>
          <w:color w:val="auto"/>
        </w:rPr>
        <w:t>Property and equipment are stated at cost, net of depreciaton. Depreciaton is computed using the straight-line method over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following estmated useful lives: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2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Asset Class</w:t>
            </w:r>
          </w:p>
        </w:tc>
        <w:tc>
          <w:tcPr>
            <w:tcW w:w="2020" w:type="dxa"/>
            <w:vAlign w:val="bottom"/>
          </w:tcPr>
          <w:p>
            <w:pPr>
              <w:jc w:val="center"/>
              <w:ind w:right="670"/>
              <w:spacing w:after="0"/>
              <w:rPr>
                <w:sz w:val="20"/>
                <w:szCs w:val="20"/>
                <w:color w:val="auto"/>
              </w:rPr>
            </w:pPr>
            <w:r>
              <w:rPr>
                <w:rFonts w:ascii="Calibri" w:cs="Calibri" w:eastAsia="Calibri" w:hAnsi="Calibri"/>
                <w:sz w:val="18"/>
                <w:szCs w:val="18"/>
                <w:b w:val="1"/>
                <w:bCs w:val="1"/>
                <w:color w:val="auto"/>
                <w:w w:val="99"/>
              </w:rPr>
              <w:t>Useful Life</w:t>
            </w:r>
          </w:p>
        </w:tc>
      </w:tr>
      <w:tr>
        <w:trPr>
          <w:trHeight w:val="37"/>
        </w:trPr>
        <w:tc>
          <w:tcPr>
            <w:tcW w:w="846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2020" w:type="dxa"/>
            <w:vAlign w:val="bottom"/>
          </w:tcPr>
          <w:p>
            <w:pPr>
              <w:spacing w:after="0"/>
              <w:rPr>
                <w:sz w:val="3"/>
                <w:szCs w:val="3"/>
                <w:color w:val="auto"/>
              </w:rPr>
            </w:pPr>
          </w:p>
        </w:tc>
      </w:tr>
      <w:tr>
        <w:trPr>
          <w:trHeight w:val="217"/>
        </w:trPr>
        <w:tc>
          <w:tcPr>
            <w:tcW w:w="8260" w:type="dxa"/>
            <w:vAlign w:val="bottom"/>
            <w:tcBorders>
              <w:top w:val="single" w:sz="8" w:color="auto"/>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Computer Equipment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spacing w:after="0"/>
              <w:rPr>
                <w:sz w:val="18"/>
                <w:szCs w:val="18"/>
                <w:color w:val="auto"/>
              </w:rPr>
            </w:pPr>
          </w:p>
        </w:tc>
        <w:tc>
          <w:tcPr>
            <w:tcW w:w="2020" w:type="dxa"/>
            <w:vAlign w:val="bottom"/>
            <w:tcBorders>
              <w:top w:val="single" w:sz="8" w:color="auto"/>
              <w:bottom w:val="single" w:sz="8" w:color="CFF0FC"/>
            </w:tcBorders>
            <w:shd w:val="clear" w:color="auto" w:fill="CFF0FC"/>
          </w:tcPr>
          <w:p>
            <w:pPr>
              <w:jc w:val="center"/>
              <w:ind w:right="670"/>
              <w:spacing w:after="0" w:line="208" w:lineRule="exact"/>
              <w:rPr>
                <w:sz w:val="20"/>
                <w:szCs w:val="20"/>
                <w:color w:val="auto"/>
              </w:rPr>
            </w:pPr>
            <w:r>
              <w:rPr>
                <w:rFonts w:ascii="Calibri" w:cs="Calibri" w:eastAsia="Calibri" w:hAnsi="Calibri"/>
                <w:sz w:val="18"/>
                <w:szCs w:val="18"/>
                <w:color w:val="auto"/>
                <w:w w:val="95"/>
              </w:rPr>
              <w:t>5 years</w:t>
            </w:r>
          </w:p>
        </w:tc>
      </w:tr>
      <w:tr>
        <w:trPr>
          <w:trHeight w:val="215"/>
        </w:trPr>
        <w:tc>
          <w:tcPr>
            <w:tcW w:w="922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Purchased Sofware</w:t>
            </w:r>
          </w:p>
        </w:tc>
        <w:tc>
          <w:tcPr>
            <w:tcW w:w="2020" w:type="dxa"/>
            <w:vAlign w:val="bottom"/>
          </w:tcPr>
          <w:p>
            <w:pPr>
              <w:jc w:val="center"/>
              <w:ind w:right="670"/>
              <w:spacing w:after="0" w:line="215" w:lineRule="exact"/>
              <w:rPr>
                <w:sz w:val="20"/>
                <w:szCs w:val="20"/>
                <w:color w:val="auto"/>
              </w:rPr>
            </w:pPr>
            <w:r>
              <w:rPr>
                <w:rFonts w:ascii="Calibri" w:cs="Calibri" w:eastAsia="Calibri" w:hAnsi="Calibri"/>
                <w:sz w:val="18"/>
                <w:szCs w:val="18"/>
                <w:color w:val="auto"/>
                <w:w w:val="95"/>
              </w:rPr>
              <w:t>3 years</w:t>
            </w:r>
          </w:p>
        </w:tc>
      </w:tr>
      <w:tr>
        <w:trPr>
          <w:trHeight w:val="28"/>
        </w:trPr>
        <w:tc>
          <w:tcPr>
            <w:tcW w:w="9220" w:type="dxa"/>
            <w:vAlign w:val="bottom"/>
            <w:gridSpan w:val="3"/>
          </w:tcPr>
          <w:p>
            <w:pPr>
              <w:spacing w:after="0"/>
              <w:rPr>
                <w:sz w:val="2"/>
                <w:szCs w:val="2"/>
                <w:color w:val="auto"/>
              </w:rPr>
            </w:pPr>
          </w:p>
        </w:tc>
        <w:tc>
          <w:tcPr>
            <w:tcW w:w="2020" w:type="dxa"/>
            <w:vAlign w:val="bottom"/>
          </w:tcPr>
          <w:p>
            <w:pPr>
              <w:spacing w:after="0"/>
              <w:rPr>
                <w:sz w:val="2"/>
                <w:szCs w:val="2"/>
                <w:color w:val="auto"/>
              </w:rPr>
            </w:pPr>
          </w:p>
        </w:tc>
      </w:tr>
      <w:tr>
        <w:trPr>
          <w:trHeight w:val="223"/>
        </w:trPr>
        <w:tc>
          <w:tcPr>
            <w:tcW w:w="9220" w:type="dxa"/>
            <w:vAlign w:val="bottom"/>
            <w:tcBorders>
              <w:bottom w:val="single" w:sz="8" w:color="CFF0FC"/>
            </w:tcBorders>
            <w:gridSpan w:val="3"/>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Furniture and Fixtures</w:t>
            </w:r>
          </w:p>
        </w:tc>
        <w:tc>
          <w:tcPr>
            <w:tcW w:w="2020" w:type="dxa"/>
            <w:vAlign w:val="bottom"/>
            <w:tcBorders>
              <w:bottom w:val="single" w:sz="8" w:color="CFF0FC"/>
            </w:tcBorders>
            <w:shd w:val="clear" w:color="auto" w:fill="CFF0FC"/>
          </w:tcPr>
          <w:p>
            <w:pPr>
              <w:jc w:val="center"/>
              <w:ind w:right="670"/>
              <w:spacing w:after="0" w:line="215" w:lineRule="exact"/>
              <w:rPr>
                <w:sz w:val="20"/>
                <w:szCs w:val="20"/>
                <w:color w:val="auto"/>
              </w:rPr>
            </w:pPr>
            <w:r>
              <w:rPr>
                <w:rFonts w:ascii="Calibri" w:cs="Calibri" w:eastAsia="Calibri" w:hAnsi="Calibri"/>
                <w:sz w:val="18"/>
                <w:szCs w:val="18"/>
                <w:color w:val="auto"/>
                <w:w w:val="95"/>
              </w:rPr>
              <w:t>7 years</w:t>
            </w:r>
          </w:p>
        </w:tc>
      </w:tr>
      <w:tr>
        <w:trPr>
          <w:trHeight w:val="341"/>
        </w:trPr>
        <w:tc>
          <w:tcPr>
            <w:tcW w:w="9220" w:type="dxa"/>
            <w:vAlign w:val="bottom"/>
            <w:gridSpan w:val="3"/>
          </w:tcPr>
          <w:p>
            <w:pPr>
              <w:spacing w:after="0"/>
              <w:rPr>
                <w:sz w:val="20"/>
                <w:szCs w:val="20"/>
                <w:color w:val="auto"/>
              </w:rPr>
            </w:pPr>
            <w:r>
              <w:rPr>
                <w:rFonts w:ascii="Calibri" w:cs="Calibri" w:eastAsia="Calibri" w:hAnsi="Calibri"/>
                <w:sz w:val="18"/>
                <w:szCs w:val="18"/>
                <w:color w:val="auto"/>
              </w:rPr>
              <w:t>Leasehold improvements are amortzed over the shorter of the term of the lease or the improvements’ estmated useful lives.</w:t>
            </w:r>
          </w:p>
        </w:tc>
        <w:tc>
          <w:tcPr>
            <w:tcW w:w="2020" w:type="dxa"/>
            <w:vAlign w:val="bottom"/>
          </w:tcPr>
          <w:p>
            <w:pPr>
              <w:spacing w:after="0"/>
              <w:rPr>
                <w:sz w:val="24"/>
                <w:szCs w:val="24"/>
                <w:color w:val="auto"/>
              </w:rPr>
            </w:pPr>
          </w:p>
        </w:tc>
      </w:tr>
    </w:tbl>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Long-Lived Assets Impairment Assessments</w:t>
      </w:r>
      <w:r>
        <w:rPr>
          <w:rFonts w:ascii="Calibri" w:cs="Calibri" w:eastAsia="Calibri" w:hAnsi="Calibri"/>
          <w:sz w:val="18"/>
          <w:szCs w:val="18"/>
          <w:color w:val="auto"/>
        </w:rPr>
        <w:t>—We review our long-lived assets (property and equipment – net and personal seat licenses – net) for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impairment whenever events or changes in circumstances indicate the carrying amount of an asset or asset group may not be recoverable. The fair value of our long-lived assets is determined using both the market approach and income approach, utlizing Level 3 inputs. If circumstances require a long-lived asset or asset group to be held and used be tested for possible impairment, we frst compare the undiscounted cash fows expected to be generated by that long-lived asset or asset group to its carrying amount. If the carrying amount of the long-lived asset or asset group is not recoverable on an undiscounted cash fow basis, an impairment is recognized to the extent the carrying amount exceeds its fair value.</w:t>
      </w: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During the second quarter of 2020, we determined a triggering event occurred that required us to evaluate our long-lived assets for impairment. We recorded an impairment charge as a result of those assessments. Refer to Note 6, </w:t>
      </w:r>
      <w:r>
        <w:rPr>
          <w:rFonts w:ascii="Calibri" w:cs="Calibri" w:eastAsia="Calibri" w:hAnsi="Calibri"/>
          <w:sz w:val="18"/>
          <w:szCs w:val="18"/>
          <w:i w:val="1"/>
          <w:iCs w:val="1"/>
          <w:color w:val="auto"/>
        </w:rPr>
        <w:t>Impairments</w:t>
      </w:r>
      <w:r>
        <w:rPr>
          <w:rFonts w:ascii="Calibri" w:cs="Calibri" w:eastAsia="Calibri" w:hAnsi="Calibri"/>
          <w:sz w:val="18"/>
          <w:szCs w:val="18"/>
          <w:color w:val="auto"/>
        </w:rPr>
        <w:t>, for additonal informaton.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Goodwill and Intangible Assets</w:t>
      </w:r>
      <w:r>
        <w:rPr>
          <w:rFonts w:ascii="Calibri" w:cs="Calibri" w:eastAsia="Calibri" w:hAnsi="Calibri"/>
          <w:sz w:val="18"/>
          <w:szCs w:val="18"/>
          <w:color w:val="auto"/>
        </w:rPr>
        <w:t>—Goodwill represents the excess purchase price over the fair value of the net assets acquired. Intangible assets other than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goodwill primarily consists of customer and supplier relatonships, developed technology, non-compete agreements, and trademarks.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evaluate goodwill and our indefnite-lived intangible asset for impairment annually on October 31 or more frequently when an event occurs or circumstances change that indicates the carrying value may not be recoverable. We have the opton to assess goodwill and our indefnite-lived intangible asset for impairment by frst performing a qualitatve assessment to determine whether it is more-likely-than-not that the fair value of a reportng unit or the indefnite-lived intangible asset is less than its carrying value. If it is determined that the reportng unit’s or the indefnite-lived intangible asset’s fair value is more-likely-than-not less than its carrying value, or if we do not elect the opton to perform an inital qualitatve assessment, we perform a quanttatve assessment of the reportng unit’s or the indefnite-lived intangible asset’s fair value. If the fair value of the reportng unit or the indefnite-lived intangible asset is in excess of its carrying value, the related goodwill or the indefnite-lived intangible asset is not impaired. If the fair value of the reportng unit is less than the carrying value, we recognize an impairment equal to the diference between the carrying value of the reportng unit and its fair value, not to exceed the carrying value of goodwill. If the fair value of the indefnite-lived intangible asset is less than the carrying value, we recognize an impairment equal to the diference.</w:t>
      </w:r>
    </w:p>
    <w:p>
      <w:pPr>
        <w:spacing w:after="0" w:line="14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review our defnite-lived intangible assets for impairment whenever events or changes in circumstances indicate the carrying amount of an asset or asset group may not be recoverable. If circumstances require a defnite-lived intangible asset or its asset group to be held and used be tested for possible impairment, we frst compare the undiscounted cash fows expected to be generated by that defnite-lived intangible asset or asset group to its carrying amount. If the carrying amount of the defnite-lived intangible asset or asset group is not recoverable on an</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undiscounted cash fow basis, an impairment is recognized to the extent that the carrying amount exceeds its fair value. The fair value of our defnite-lived intangible assets or asset group is determined using both the market approach and income approach, utlizing Level 3 inputs.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color w:val="auto"/>
        </w:rPr>
        <w:t>Defnite-lived intangible assets are amortzed on a straight-line basis over their estmated period of beneft, over the following estmated useful lives: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60" w:type="dxa"/>
            <w:vAlign w:val="bottom"/>
          </w:tcPr>
          <w:p>
            <w:pPr>
              <w:ind w:left="20"/>
              <w:spacing w:after="0"/>
              <w:rPr>
                <w:sz w:val="20"/>
                <w:szCs w:val="20"/>
                <w:color w:val="auto"/>
              </w:rPr>
            </w:pPr>
            <w:r>
              <w:rPr>
                <w:rFonts w:ascii="Calibri" w:cs="Calibri" w:eastAsia="Calibri" w:hAnsi="Calibri"/>
                <w:sz w:val="18"/>
                <w:szCs w:val="18"/>
                <w:b w:val="1"/>
                <w:bCs w:val="1"/>
                <w:color w:val="auto"/>
              </w:rPr>
              <w:t>Asset Class</w:t>
            </w:r>
          </w:p>
        </w:tc>
        <w:tc>
          <w:tcPr>
            <w:tcW w:w="20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Calibri" w:cs="Calibri" w:eastAsia="Calibri" w:hAnsi="Calibri"/>
                <w:sz w:val="18"/>
                <w:szCs w:val="18"/>
                <w:b w:val="1"/>
                <w:bCs w:val="1"/>
                <w:color w:val="auto"/>
                <w:w w:val="99"/>
              </w:rPr>
              <w:t>Useful Life</w:t>
            </w:r>
          </w:p>
        </w:tc>
      </w:tr>
      <w:tr>
        <w:trPr>
          <w:trHeight w:val="37"/>
        </w:trPr>
        <w:tc>
          <w:tcPr>
            <w:tcW w:w="82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r>
      <w:tr>
        <w:trPr>
          <w:trHeight w:val="216"/>
        </w:trPr>
        <w:tc>
          <w:tcPr>
            <w:tcW w:w="82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Non-competton agreements</w:t>
            </w:r>
          </w:p>
        </w:tc>
        <w:tc>
          <w:tcPr>
            <w:tcW w:w="200" w:type="dxa"/>
            <w:vAlign w:val="bottom"/>
            <w:tcBorders>
              <w:bottom w:val="single" w:sz="8" w:color="CFF0FC"/>
            </w:tcBorders>
            <w:shd w:val="clear" w:color="auto" w:fill="CFF0FC"/>
          </w:tcPr>
          <w:p>
            <w:pPr>
              <w:spacing w:after="0"/>
              <w:rPr>
                <w:sz w:val="18"/>
                <w:szCs w:val="18"/>
                <w:color w:val="auto"/>
              </w:rPr>
            </w:pPr>
          </w:p>
        </w:tc>
        <w:tc>
          <w:tcPr>
            <w:tcW w:w="2780" w:type="dxa"/>
            <w:vAlign w:val="bottom"/>
            <w:tcBorders>
              <w:bottom w:val="single" w:sz="8" w:color="CFF0FC"/>
            </w:tcBorders>
            <w:shd w:val="clear" w:color="auto" w:fill="CFF0FC"/>
          </w:tcPr>
          <w:p>
            <w:pPr>
              <w:jc w:val="center"/>
              <w:spacing w:after="0" w:line="208" w:lineRule="exact"/>
              <w:rPr>
                <w:sz w:val="20"/>
                <w:szCs w:val="20"/>
                <w:color w:val="auto"/>
              </w:rPr>
            </w:pPr>
            <w:r>
              <w:rPr>
                <w:rFonts w:ascii="Calibri" w:cs="Calibri" w:eastAsia="Calibri" w:hAnsi="Calibri"/>
                <w:sz w:val="18"/>
                <w:szCs w:val="18"/>
                <w:color w:val="auto"/>
                <w:w w:val="95"/>
              </w:rPr>
              <w:t>3 years</w:t>
            </w:r>
          </w:p>
        </w:tc>
      </w:tr>
      <w:tr>
        <w:trPr>
          <w:trHeight w:val="215"/>
        </w:trPr>
        <w:tc>
          <w:tcPr>
            <w:tcW w:w="8260" w:type="dxa"/>
            <w:vAlign w:val="bottom"/>
          </w:tcPr>
          <w:p>
            <w:pPr>
              <w:ind w:left="20"/>
              <w:spacing w:after="0" w:line="215" w:lineRule="exact"/>
              <w:rPr>
                <w:sz w:val="20"/>
                <w:szCs w:val="20"/>
                <w:color w:val="auto"/>
              </w:rPr>
            </w:pPr>
            <w:r>
              <w:rPr>
                <w:rFonts w:ascii="Calibri" w:cs="Calibri" w:eastAsia="Calibri" w:hAnsi="Calibri"/>
                <w:sz w:val="18"/>
                <w:szCs w:val="18"/>
                <w:color w:val="auto"/>
              </w:rPr>
              <w:t>Supplier relatonships</w:t>
            </w:r>
          </w:p>
        </w:tc>
        <w:tc>
          <w:tcPr>
            <w:tcW w:w="200" w:type="dxa"/>
            <w:vAlign w:val="bottom"/>
          </w:tcPr>
          <w:p>
            <w:pPr>
              <w:spacing w:after="0"/>
              <w:rPr>
                <w:sz w:val="18"/>
                <w:szCs w:val="18"/>
                <w:color w:val="auto"/>
              </w:rPr>
            </w:pPr>
          </w:p>
        </w:tc>
        <w:tc>
          <w:tcPr>
            <w:tcW w:w="278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4 years</w:t>
            </w:r>
          </w:p>
        </w:tc>
      </w:tr>
      <w:tr>
        <w:trPr>
          <w:trHeight w:val="28"/>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23"/>
        </w:trPr>
        <w:tc>
          <w:tcPr>
            <w:tcW w:w="82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Developed technology</w:t>
            </w:r>
          </w:p>
        </w:tc>
        <w:tc>
          <w:tcPr>
            <w:tcW w:w="200" w:type="dxa"/>
            <w:vAlign w:val="bottom"/>
            <w:tcBorders>
              <w:bottom w:val="single" w:sz="8" w:color="CFF0FC"/>
            </w:tcBorders>
            <w:shd w:val="clear" w:color="auto" w:fill="CFF0FC"/>
          </w:tcPr>
          <w:p>
            <w:pPr>
              <w:spacing w:after="0"/>
              <w:rPr>
                <w:sz w:val="19"/>
                <w:szCs w:val="19"/>
                <w:color w:val="auto"/>
              </w:rPr>
            </w:pPr>
          </w:p>
        </w:tc>
        <w:tc>
          <w:tcPr>
            <w:tcW w:w="27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8"/>
              </w:rPr>
              <w:t>3-5 years</w:t>
            </w:r>
          </w:p>
        </w:tc>
      </w:tr>
      <w:tr>
        <w:trPr>
          <w:trHeight w:val="215"/>
        </w:trPr>
        <w:tc>
          <w:tcPr>
            <w:tcW w:w="8260" w:type="dxa"/>
            <w:vAlign w:val="bottom"/>
          </w:tcPr>
          <w:p>
            <w:pPr>
              <w:ind w:left="20"/>
              <w:spacing w:after="0" w:line="215" w:lineRule="exact"/>
              <w:rPr>
                <w:sz w:val="20"/>
                <w:szCs w:val="20"/>
                <w:color w:val="auto"/>
              </w:rPr>
            </w:pPr>
            <w:r>
              <w:rPr>
                <w:rFonts w:ascii="Calibri" w:cs="Calibri" w:eastAsia="Calibri" w:hAnsi="Calibri"/>
                <w:sz w:val="18"/>
                <w:szCs w:val="18"/>
                <w:color w:val="auto"/>
              </w:rPr>
              <w:t>Customer relatonships</w:t>
            </w:r>
          </w:p>
        </w:tc>
        <w:tc>
          <w:tcPr>
            <w:tcW w:w="200" w:type="dxa"/>
            <w:vAlign w:val="bottom"/>
          </w:tcPr>
          <w:p>
            <w:pPr>
              <w:spacing w:after="0"/>
              <w:rPr>
                <w:sz w:val="18"/>
                <w:szCs w:val="18"/>
                <w:color w:val="auto"/>
              </w:rPr>
            </w:pPr>
          </w:p>
        </w:tc>
        <w:tc>
          <w:tcPr>
            <w:tcW w:w="278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2-5 years</w:t>
            </w:r>
          </w:p>
        </w:tc>
      </w:tr>
    </w:tbl>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During the second quarter of 2020, we determined a triggering event occurred that required us to evaluate our long-lived assets for impairment. We recorded an impairment charge as a result of those assessments. Refer to Note 6, </w:t>
      </w:r>
      <w:r>
        <w:rPr>
          <w:rFonts w:ascii="Calibri" w:cs="Calibri" w:eastAsia="Calibri" w:hAnsi="Calibri"/>
          <w:sz w:val="18"/>
          <w:szCs w:val="18"/>
          <w:i w:val="1"/>
          <w:iCs w:val="1"/>
          <w:color w:val="auto"/>
        </w:rPr>
        <w:t>Impairments</w:t>
      </w:r>
      <w:r>
        <w:rPr>
          <w:rFonts w:ascii="Calibri" w:cs="Calibri" w:eastAsia="Calibri" w:hAnsi="Calibri"/>
          <w:sz w:val="18"/>
          <w:szCs w:val="18"/>
          <w:color w:val="auto"/>
        </w:rPr>
        <w:t>, for additonal informaton.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Capitalized Development Costs</w:t>
      </w:r>
      <w:r>
        <w:rPr>
          <w:rFonts w:ascii="Calibri" w:cs="Calibri" w:eastAsia="Calibri" w:hAnsi="Calibri"/>
          <w:sz w:val="18"/>
          <w:szCs w:val="18"/>
          <w:color w:val="auto"/>
        </w:rPr>
        <w:t>—We incur costs related to internal-use sofware and website development. Costs incurred in both the preliminary project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stage and post-implementaton stage of development are expensed as incurred. Qualifying development costs, including those incurred for upgrades and enhancements that result in additonal functonality to existng sofware, are capitalized. Capitalized development costs are classifed as Intangible assets – net on the Consolidated Balance Sheets and amortzed using the straight-line method over the 3 year useful life of the applicable sofware. The amortzaton is presented in Depreciaton and amortzaton expense in the Consolidated Statements of Operatons.</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Accrued Customer Credits</w:t>
      </w:r>
      <w:r>
        <w:rPr>
          <w:rFonts w:ascii="Calibri" w:cs="Calibri" w:eastAsia="Calibri" w:hAnsi="Calibri"/>
          <w:sz w:val="18"/>
          <w:szCs w:val="18"/>
          <w:color w:val="auto"/>
        </w:rPr>
        <w:t>—We may issue credits to customers for cancelled events that can be applied to future purchases on our marketplace. The amount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recognized in Accrued expenses and other current liabilites in the Consolidated Balance Sheets represents the balance of credits issued to these customers. Breakage income from customer credits that are not expected to be used, and are not subject to escheatment, is estmated and recognized as revenue in proporton to the patern of redempton for the customer credits that are used. We estmate breakage based on historical usage trends for credits issued by us and available data on comparable programs. This estmate could be impacted by changes in credit usage rates, or in the determinaton of which credits are subject to escheatment, the efects of which could be material to the consolidated fnancial statements. When customer credits are used to make a purchase, revenue is recognized for the new transacton.</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Accrued Future Customer Compensaton</w:t>
      </w:r>
      <w:r>
        <w:rPr>
          <w:rFonts w:ascii="Calibri" w:cs="Calibri" w:eastAsia="Calibri" w:hAnsi="Calibri"/>
          <w:sz w:val="18"/>
          <w:szCs w:val="18"/>
          <w:color w:val="auto"/>
        </w:rPr>
        <w:t>—Provisions for accrued future customer compensaton are included in Accrued expenses and other current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liabilites in the Consolidated Balance Sheets and represent compensaton to be paid to customers for event cancellatons or other service issues related to previously recorded sales transactons. The expected recoveries of these obligatons are included in Prepaid expenses and other current assets. These provisions are based on historic experience, revenue volumes for future events, and management's estmate of the likelihood of future event cancellatons and are recognized as a component of Revenue. This estmated accrual could be impacted by future actvity difering from our estmates, the efects of which could be material to the consolidated fnancial statements.</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Income Taxes</w:t>
      </w:r>
      <w:r>
        <w:rPr>
          <w:rFonts w:ascii="Calibri" w:cs="Calibri" w:eastAsia="Calibri" w:hAnsi="Calibri"/>
          <w:sz w:val="18"/>
          <w:szCs w:val="18"/>
          <w:color w:val="auto"/>
        </w:rPr>
        <w:t>—Hoya Intermediate is treated as a partnership for U.S. federal and most applicable state and local income tax purposes. As a partnership, Hoya</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Intermediate's taxable income and losses were passed through to and included in the taxable income of its members, including VSI, for periods following the Merger Transacton. Accordingly, amounts related to income taxes were zero for us prior to the Merger Transacton, and therefore, are not representatve of future amounts expected to be incurred by us.</w:t>
      </w:r>
    </w:p>
    <w:p>
      <w:pPr>
        <w:spacing w:after="0" w:line="138"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Following the Merger Transacton, our parent legal entty is VSI. We are subject to income taxes at the U.S. federal, state, and local levels for income tax purposes, including with respect to our allocable share of any taxable income of Hoya Intermediate. Income taxes are accounted for using the asset and liability method of accountng. Under this method, deferred tax assets and liabilites are recognized for the expected future tax consequences on diferences</w:t>
      </w:r>
    </w:p>
    <w:p>
      <w:pPr>
        <w:spacing w:after="0" w:line="9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between the carrying amounts of assets and liabilites and their respectve tax basis, using tax rates in efect for the year in which the diferences are expected to reverse. The efect on deferred assets and liabilites of a change in tax rates is recognized in income in the period when the change is enacted. Deferred tax assets are reduced by a valuaton allowance when it is “more-likely-than not” that some porton or all of the deferred tax assets will not be realized. The realizaton of the deferred tax assets is dependent on the amount of our future taxable income.</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recognize interest and penaltes related to underpayment of income taxes in Income tax expense on the Consolidated Statements of Operatons. To date, the interest or penaltes incurred related to income taxes have not been material.</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Tax Receivable Agreement</w:t>
      </w:r>
      <w:r>
        <w:rPr>
          <w:rFonts w:ascii="Calibri" w:cs="Calibri" w:eastAsia="Calibri" w:hAnsi="Calibri"/>
          <w:sz w:val="18"/>
          <w:szCs w:val="18"/>
          <w:color w:val="auto"/>
        </w:rPr>
        <w:t>—In connecton with the Merger Transacton, we entered into a Tax Receivable Agreement with the existng Hoya Intermediate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shareholders that will provide for payment to Hoya Intermediate shareholders of 85% of the amount of the tax savings, if any, that we realize (or, under certain circumstances, is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Hoya Intermediate making payments under the Tax Receivable Agreement.</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Debt</w:t>
      </w:r>
      <w:r>
        <w:rPr>
          <w:rFonts w:ascii="Calibri" w:cs="Calibri" w:eastAsia="Calibri" w:hAnsi="Calibri"/>
          <w:sz w:val="18"/>
          <w:szCs w:val="18"/>
          <w:color w:val="auto"/>
        </w:rPr>
        <w:t>—Term debt is carried at the outstanding principal balance, less debt issuance costs and any unamortzed discount or premium. Deferred borrowing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costs and discounts are amortzed to interest expense over the terms of the respectve borrowings using the efectve interest method. Upon the repayment of our term debt, we refected prepayment penaltes and the write-of of any unamortzed borrowing costs and discounts as loss on extnguishment of debt on the Consolidated Statements of Operatons.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Fair Value of Financial Instruments</w:t>
      </w:r>
      <w:r>
        <w:rPr>
          <w:rFonts w:ascii="Calibri" w:cs="Calibri" w:eastAsia="Calibri" w:hAnsi="Calibri"/>
          <w:sz w:val="18"/>
          <w:szCs w:val="18"/>
          <w:color w:val="auto"/>
        </w:rPr>
        <w:t>—Fair value is the price that would be received to sell an asset or paid to transfer a liability in an orderly transacton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between market partcipants at the measurement date. The fair value of our fnancial instruments is disclosed based on the fair value hierarchy using the following three categories: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Level 1</w:t>
      </w:r>
      <w:r>
        <w:rPr>
          <w:rFonts w:ascii="Calibri" w:cs="Calibri" w:eastAsia="Calibri" w:hAnsi="Calibri"/>
          <w:sz w:val="18"/>
          <w:szCs w:val="18"/>
          <w:color w:val="auto"/>
        </w:rPr>
        <w:t>—Measurements that refect quoted prices (unadjusted) for identcal assets or liabilites in actve markets.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Level 2</w:t>
      </w:r>
      <w:r>
        <w:rPr>
          <w:rFonts w:ascii="Calibri" w:cs="Calibri" w:eastAsia="Calibri" w:hAnsi="Calibri"/>
          <w:sz w:val="18"/>
          <w:szCs w:val="18"/>
          <w:color w:val="auto"/>
        </w:rPr>
        <w:t>—Measurements that include other inputs that are directly or indirectly observable in the marketplace.</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Level 3</w:t>
      </w:r>
      <w:r>
        <w:rPr>
          <w:rFonts w:ascii="Calibri" w:cs="Calibri" w:eastAsia="Calibri" w:hAnsi="Calibri"/>
          <w:sz w:val="18"/>
          <w:szCs w:val="18"/>
          <w:color w:val="auto"/>
        </w:rPr>
        <w:t>—Measurements derived from valuaton techniques in which one or more signifcant inputs or signifcant value drivers are unobservable. These fair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value measurements require signifcant judgment.</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Our assets and liabilites measured at fair value on a recurring basis are presented in Note 12, </w:t>
      </w:r>
      <w:r>
        <w:rPr>
          <w:rFonts w:ascii="Calibri" w:cs="Calibri" w:eastAsia="Calibri" w:hAnsi="Calibri"/>
          <w:sz w:val="18"/>
          <w:szCs w:val="18"/>
          <w:i w:val="1"/>
          <w:iCs w:val="1"/>
          <w:color w:val="auto"/>
        </w:rPr>
        <w:t>Debt,</w:t>
      </w:r>
      <w:r>
        <w:rPr>
          <w:rFonts w:ascii="Calibri" w:cs="Calibri" w:eastAsia="Calibri" w:hAnsi="Calibri"/>
          <w:sz w:val="18"/>
          <w:szCs w:val="18"/>
          <w:color w:val="auto"/>
        </w:rPr>
        <w:t xml:space="preserve"> and Note 14, </w:t>
      </w:r>
      <w:r>
        <w:rPr>
          <w:rFonts w:ascii="Calibri" w:cs="Calibri" w:eastAsia="Calibri" w:hAnsi="Calibri"/>
          <w:sz w:val="18"/>
          <w:szCs w:val="18"/>
          <w:i w:val="1"/>
          <w:iCs w:val="1"/>
          <w:color w:val="auto"/>
        </w:rPr>
        <w:t>Financial Instruments</w:t>
      </w:r>
      <w:r>
        <w:rPr>
          <w:rFonts w:ascii="Calibri" w:cs="Calibri" w:eastAsia="Calibri" w:hAnsi="Calibri"/>
          <w:sz w:val="18"/>
          <w:szCs w:val="18"/>
          <w:color w:val="auto"/>
        </w:rPr>
        <w:t xml:space="preserve">. Our non-fnancial assets, such as goodwill, intangible assets, and long-lived assets are measured at fair value on a nonrecurring basis, utlizing Level 3 inputs, are presented in Note 9, </w:t>
      </w:r>
      <w:r>
        <w:rPr>
          <w:rFonts w:ascii="Calibri" w:cs="Calibri" w:eastAsia="Calibri" w:hAnsi="Calibri"/>
          <w:sz w:val="18"/>
          <w:szCs w:val="18"/>
          <w:i w:val="1"/>
          <w:iCs w:val="1"/>
          <w:color w:val="auto"/>
        </w:rPr>
        <w:t>Goodwill and Intangible Assets</w:t>
      </w:r>
      <w:r>
        <w:rPr>
          <w:rFonts w:ascii="Calibri" w:cs="Calibri" w:eastAsia="Calibri" w:hAnsi="Calibri"/>
          <w:sz w:val="18"/>
          <w:szCs w:val="18"/>
          <w:color w:val="auto"/>
        </w:rPr>
        <w:t>. Other fnancial instruments, including accounts receivable and accounts payable, are carried at cost, which approximates their fair value because of the short-term nature of these instruments. We did not have any transfers of fnancial instruments between valuaton levels during the years ended December 31, 2022 and 2021.</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Warrants</w:t>
      </w:r>
      <w:r>
        <w:rPr>
          <w:rFonts w:ascii="Calibri" w:cs="Calibri" w:eastAsia="Calibri" w:hAnsi="Calibri"/>
          <w:sz w:val="18"/>
          <w:szCs w:val="18"/>
          <w:color w:val="auto"/>
        </w:rPr>
        <w:t>—In connecton with the Merger Transacton, we issued several types of warrants. We separately evaluate the terms for each of these outstanding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warrants in accordance with ASC 480, </w:t>
      </w:r>
      <w:r>
        <w:rPr>
          <w:rFonts w:ascii="Calibri" w:cs="Calibri" w:eastAsia="Calibri" w:hAnsi="Calibri"/>
          <w:sz w:val="18"/>
          <w:szCs w:val="18"/>
          <w:i w:val="1"/>
          <w:iCs w:val="1"/>
          <w:color w:val="auto"/>
        </w:rPr>
        <w:t>Distnguishing Liabilites from Equity,</w:t>
      </w:r>
      <w:r>
        <w:rPr>
          <w:rFonts w:ascii="Calibri" w:cs="Calibri" w:eastAsia="Calibri" w:hAnsi="Calibri"/>
          <w:sz w:val="18"/>
          <w:szCs w:val="18"/>
          <w:color w:val="auto"/>
        </w:rPr>
        <w:t xml:space="preserve"> and ASC 815-40, </w:t>
      </w:r>
      <w:r>
        <w:rPr>
          <w:rFonts w:ascii="Calibri" w:cs="Calibri" w:eastAsia="Calibri" w:hAnsi="Calibri"/>
          <w:sz w:val="18"/>
          <w:szCs w:val="18"/>
          <w:i w:val="1"/>
          <w:iCs w:val="1"/>
          <w:color w:val="auto"/>
        </w:rPr>
        <w:t>Derivatves and Hedging: Contracts in an Entty’s Own Equity</w:t>
      </w:r>
      <w:r>
        <w:rPr>
          <w:rFonts w:ascii="Calibri" w:cs="Calibri" w:eastAsia="Calibri" w:hAnsi="Calibri"/>
          <w:sz w:val="18"/>
          <w:szCs w:val="18"/>
          <w:color w:val="auto"/>
        </w:rPr>
        <w:t xml:space="preserve"> to determine the appropriate classifcaton and accountng treatment. Our Public Warrants, Private Warrants, and Exercise Warrants meet the criteria to be classifed as equity instruments. Hoya Intermediate Warrants are exercisable for Intermediate Units, which allow for a potental cash redempton at the discreton of the unit holder, and hence, these warrants are classifed as a liability in Other liabilites on our Consolidated Balance Sheets. The warrant liability is subject to a fair value remeasurement each period with an ofsetng adjustment refected in Other expenses on our Consolidated Statements of Operatons.</w:t>
      </w:r>
    </w:p>
    <w:p>
      <w:pPr>
        <w:spacing w:after="0" w:line="1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Redeemable Noncontrolling Interests</w:t>
      </w:r>
      <w:r>
        <w:rPr>
          <w:rFonts w:ascii="Calibri" w:cs="Calibri" w:eastAsia="Calibri" w:hAnsi="Calibri"/>
          <w:sz w:val="18"/>
          <w:szCs w:val="18"/>
          <w:color w:val="auto"/>
        </w:rPr>
        <w:t>—VSI holds a 40.5% interest in Hoya Intermediate, with the remainder held by Hoya Topco. Hoya Topco’s interest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Hoya Intermediate represents a redeemable noncontrolling interest. At its discreton, Hoya Topco has the right to exchange its common units in Hoya Intermediate for either shares of Class A common stock of VSI on a one-to-one basis or cash proceeds of equal value at the tme of redempton. Any redempton of Intermediate Units in cash must be funded through a private or public ofering of Class A Common Stock and is subject to the approval of the VSI Board of Directors ("Board"). As of December 31, 2022, equity holders of Hoya Topco hold the majority of the votng rights on the Board.</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the redeemable noncontrolling interests are redeemable upon the occurrence of an event that is not solely within our control, we classify our redeemable noncontrolling interests as temporary equity. The redeemable noncontrolling interests were initally measured at Hoya Topco’s share in the net assets of Hoya Intermediate upon consummaton of the Merger Transacton. Subsequent remeasurements of our redeemable noncontrolling interests are recorded as a deemed dividend each reportng period, which reduces retained earnings, if any, or additonal paid-in capital of VSI Remeasurements of our redeemable noncontrolling interests are based on the fair value of our Class A common stock.</w:t>
      </w:r>
    </w:p>
    <w:p>
      <w:pPr>
        <w:spacing w:after="0" w:line="15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color w:val="auto"/>
        </w:rPr>
        <w:t>Ofering costs</w:t>
      </w:r>
      <w:r>
        <w:rPr>
          <w:rFonts w:ascii="Calibri" w:cs="Calibri" w:eastAsia="Calibri" w:hAnsi="Calibri"/>
          <w:sz w:val="17"/>
          <w:szCs w:val="17"/>
          <w:color w:val="auto"/>
        </w:rPr>
        <w:t>—We incurred incremental costs associated with the Merger Transacton and PIPE Financing related for legal, accountng, and other third-party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fees. In accordance with Staf Accountng Bulletn (“SAB”) Topic 5.A, </w:t>
      </w:r>
      <w:r>
        <w:rPr>
          <w:rFonts w:ascii="Calibri" w:cs="Calibri" w:eastAsia="Calibri" w:hAnsi="Calibri"/>
          <w:sz w:val="17"/>
          <w:szCs w:val="17"/>
          <w:i w:val="1"/>
          <w:iCs w:val="1"/>
          <w:color w:val="auto"/>
        </w:rPr>
        <w:t>Expenses of Ofering</w:t>
      </w:r>
      <w:r>
        <w:rPr>
          <w:rFonts w:ascii="Calibri" w:cs="Calibri" w:eastAsia="Calibri" w:hAnsi="Calibri"/>
          <w:sz w:val="17"/>
          <w:szCs w:val="17"/>
          <w:color w:val="auto"/>
        </w:rPr>
        <w:t>, we deferred certain incremental costs directly associated with the Merger Transacton and PIPE Financing. These deferred costs were capitalized by us and subsequently charged against the gross proceeds of the Merger Transacton and PIPE Financing as a reducton to additonal paid-in capital on the Consolidated Balance Sheets. Our total transacton costs during the year ended December 31, 2021 were $32.7 million, of which $20.2 million was charged against the gross proceeds of the Merger Transacton and PIPE Financing.</w:t>
      </w:r>
    </w:p>
    <w:p>
      <w:pPr>
        <w:spacing w:after="0" w:line="14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Equity-Based Compensaton</w:t>
      </w:r>
      <w:r>
        <w:rPr>
          <w:rFonts w:ascii="Calibri" w:cs="Calibri" w:eastAsia="Calibri" w:hAnsi="Calibri"/>
          <w:sz w:val="18"/>
          <w:szCs w:val="18"/>
          <w:color w:val="auto"/>
        </w:rPr>
        <w:t>—We account for Restricted Stock Units ("RSUs"), stock optons, and profts interest at fair value as of the grant date. We award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RSUs to our employees, directors and consultants. We award stock optons to certain employees. We account for forfeitures of outstanding, but unvested grants, in the period they occur. The awards are subject to the recipient’s contnued service through the applicable vestng date. The grant-date fair value of stock optons is estmated using an opton pricing model. The model requires us to make assumptons and judgments about the variables used in the calculaton, the volatlity of our common stock, risk-free interest rate, and expected dividends. Expense related to grants of equity-based awards is recognized as equity-based compensaton in the Consolidated Statements of Operatons.</w:t>
      </w: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Prior to the Merger Transacton, certain members of management received proft interests in Hoya Topco and Phantom units in a cash bonus pool funded by Hoya Topco. Under Accountng Standards Codifcaton ("ASC") 718, </w:t>
      </w:r>
      <w:r>
        <w:rPr>
          <w:rFonts w:ascii="Calibri" w:cs="Calibri" w:eastAsia="Calibri" w:hAnsi="Calibri"/>
          <w:sz w:val="18"/>
          <w:szCs w:val="18"/>
          <w:i w:val="1"/>
          <w:iCs w:val="1"/>
          <w:color w:val="auto"/>
        </w:rPr>
        <w:t>Compensaton–Stock Compensaton</w:t>
      </w:r>
      <w:r>
        <w:rPr>
          <w:rFonts w:ascii="Calibri" w:cs="Calibri" w:eastAsia="Calibri" w:hAnsi="Calibri"/>
          <w:sz w:val="18"/>
          <w:szCs w:val="18"/>
          <w:color w:val="auto"/>
        </w:rPr>
        <w:t xml:space="preserve">, and ASC 480, </w:t>
      </w:r>
      <w:r>
        <w:rPr>
          <w:rFonts w:ascii="Calibri" w:cs="Calibri" w:eastAsia="Calibri" w:hAnsi="Calibri"/>
          <w:sz w:val="18"/>
          <w:szCs w:val="18"/>
          <w:i w:val="1"/>
          <w:iCs w:val="1"/>
          <w:color w:val="auto"/>
        </w:rPr>
        <w:t>Distnguishing Liabilites from Equity</w:t>
      </w:r>
      <w:r>
        <w:rPr>
          <w:rFonts w:ascii="Calibri" w:cs="Calibri" w:eastAsia="Calibri" w:hAnsi="Calibri"/>
          <w:sz w:val="18"/>
          <w:szCs w:val="18"/>
          <w:color w:val="auto"/>
        </w:rPr>
        <w:t>, the grants of profts interest meet the criteria to be recognized as equity-classifed awards, whereas the grants of Phantom units meet the criteria to be recognized as liability-classifed awards.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proft interests and Phantom units, we used a market-based approach to determine the total equity value of Hoya Topco and allocate the resultng value between share classes using the Black-Scholes opton pricing model to determine the grant date fair value of employee grants. The exercise prices used are based on various scenarios considering the waterfall payout structure of the units that exists at the Hoya Topco level.</w:t>
      </w:r>
    </w:p>
    <w:p>
      <w:pPr>
        <w:spacing w:after="0" w:line="151" w:lineRule="exact"/>
        <w:rPr>
          <w:sz w:val="20"/>
          <w:szCs w:val="20"/>
          <w:color w:val="auto"/>
        </w:rPr>
      </w:pPr>
    </w:p>
    <w:p>
      <w:pPr>
        <w:jc w:val="both"/>
        <w:ind w:right="20"/>
        <w:spacing w:after="0" w:line="258" w:lineRule="auto"/>
        <w:rPr>
          <w:sz w:val="20"/>
          <w:szCs w:val="20"/>
          <w:color w:val="auto"/>
        </w:rPr>
      </w:pPr>
      <w:r>
        <w:rPr>
          <w:rFonts w:ascii="Calibri" w:cs="Calibri" w:eastAsia="Calibri" w:hAnsi="Calibri"/>
          <w:sz w:val="17"/>
          <w:szCs w:val="17"/>
          <w:color w:val="auto"/>
        </w:rPr>
        <w:t>For Phantom Units with service and performance conditons, we recognize a liability for the fair value of the outstanding units only when we conclude it is probable that the performance conditon will be achieved. As of December 31, 2022 and 2021, it is not probable the performance conditon will be achieved.</w:t>
      </w:r>
    </w:p>
    <w:p>
      <w:pPr>
        <w:spacing w:after="0" w:line="1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Segment Reportng—</w:t>
      </w:r>
      <w:r>
        <w:rPr>
          <w:rFonts w:ascii="Calibri" w:cs="Calibri" w:eastAsia="Calibri" w:hAnsi="Calibri"/>
          <w:sz w:val="18"/>
          <w:szCs w:val="18"/>
          <w:color w:val="auto"/>
        </w:rPr>
        <w:t>Operatng segments are defned as components of an entty for which discrete fnancial informaton is available and is regularly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reviewed by the Chief Operatng Decision Maker (“CODM”) in making decisions regarding resource allocaton and performance assessment. Our CODM is our Chief Executve Ofcer. We have determined that we have two operatng and reportable segments: Marketplace and Resale.</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Revenue Recogniton</w:t>
      </w:r>
      <w:r>
        <w:rPr>
          <w:rFonts w:ascii="Calibri" w:cs="Calibri" w:eastAsia="Calibri" w:hAnsi="Calibri"/>
          <w:sz w:val="18"/>
          <w:szCs w:val="18"/>
          <w:color w:val="auto"/>
        </w:rPr>
        <w:t>—We recognize revenue in accordance with ASC Topic 606,</w:t>
      </w:r>
      <w:r>
        <w:rPr>
          <w:rFonts w:ascii="Calibri" w:cs="Calibri" w:eastAsia="Calibri" w:hAnsi="Calibri"/>
          <w:sz w:val="18"/>
          <w:szCs w:val="18"/>
          <w:b w:val="1"/>
          <w:bCs w:val="1"/>
          <w:color w:val="auto"/>
        </w:rPr>
        <w:t xml:space="preserve">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(“ASC 606”). We report revenue 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 gross or net basis based on management’s assessment of whether we are actng as a principal or agent in the transacton. Revenue is reported net of sales taxes. The determinaton of whether we are actng as a principal or an agent in a transacton is based on the evaluaton of control over the tcket, including the right to sell the tcket, before it is transferred to the tcket buyer.</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act as an intermediary between tcket buyers and sellers in our online secondary tcketng marketplace. Revenue primarily consists of service fees from tcketng operatons and is reduced by incentves provided to tcket buyers.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one primary performance obligaton, facilitatng the Marketplace transacton between the tcket buyers and sellers, which is satsfed at the tme the order is confrmed. In this transacton, we act as an agent as we do not control the tcket prior to transferring it to the tcket buyer.</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Revenue is recognized net of the amount due to the tcket seller when the seller confrms an order with the tcket buyer, at which point the seller is obligated to deliver the tckets to the buyer in accordance with the original marketplace listng. Payment from the tcket buyer is due at the tme of sale.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sales terms provide that we will compensate the tcket buyer for the total amount of the purchase if an event is cancelled, the tcket is invalid, or if the tcket is delivered afer the promised tme. We have determined this is considered a stand-ready obligaton to provide a return that is not a separate performance obligaton, but is an element of variable consideraton, which results in a reducton to revenue. The revenue reversal is refected within Accrued expenses and other current liabilites in the Consolidated Balance Sheets when the buyer has yet to be compensated. We estmate the customer compensaton liability, and corresponding charge against revenue, using the expected value method, which best predicts customer compensaton for future cancellatons. To the extent we estmate that a porton of the refund is recoverable from tcket sellers or distributon partners, we record the recovery as revenue to align with the net presentaton of the original transacton. In extreme circumstances, such as the COVID-related shutdowns during 2020, the tming of event cancellatons versus new sales transactons can result in customer compensaton costs exceeding current period sales resultng in negatve marketplace revenue for that period.</w:t>
      </w:r>
    </w:p>
    <w:p>
      <w:pPr>
        <w:spacing w:after="0" w:line="15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certain instances, tcket buyers are compensated with credit to be used on future purchases. When a credit is redeemed, revenue is recognized for the newly placed order. Breakage income from customer credits that are not expected to be used, and not subject to escheatment, is estmated and recognized as revenue in proporton to the patern of redempton for the customer credits that are used.</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also earn referral commissions on purchases of third-party insurance services by tcket buyers at the tme of sale of the associated tcket on the Marketplace platorm. Referral commissions are recognized as revenue when the tcket buyer makes a purchase from the third-party insurance provider during customer checkout. Payment from the third-party provider is due to us net 30 from when invoiced. This revenue is included within all categories of Marketplace disaggregated revenue described in Note 4, </w:t>
      </w:r>
      <w:r>
        <w:rPr>
          <w:rFonts w:ascii="Calibri" w:cs="Calibri" w:eastAsia="Calibri" w:hAnsi="Calibri"/>
          <w:sz w:val="18"/>
          <w:szCs w:val="18"/>
          <w:i w:val="1"/>
          <w:iCs w:val="1"/>
          <w:color w:val="auto"/>
        </w:rPr>
        <w:t>Revenue Recogniton</w:t>
      </w:r>
      <w:r>
        <w:rPr>
          <w:rFonts w:ascii="Calibri" w:cs="Calibri" w:eastAsia="Calibri" w:hAnsi="Calibri"/>
          <w:sz w:val="18"/>
          <w:szCs w:val="18"/>
          <w:color w:val="auto"/>
        </w:rPr>
        <w:t>.</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earn revenue from our daily fantasy sports ofering, which is the diference between cash entry fees collected and cash amounts paid out to users for winning picks, less customer promotons and incentves in a period.</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sell tckets we own on secondary tcket marketplaces. The Resale business has one performance obligaton, which is to transfer control of a live event tcket to a tcket buyer once an order has been confrmed.</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act as a principal in these transactons as we own the tcket and therefore we control the tcket prior to transferring the tcket to the customer. Revenue is recorded on a gross basis based on the value of the tcket and is recognized when an order is confrmed in the secondary tcket marketplace. Payment from the marketplace is typically due upon delivery of the tcket or afer the event has passed.</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Secondary tcket marketplace terms and conditons require sellers to repay amounts received for events that are cancelled or tckets that are invalid or delivered afer the promised tme. We have determined that this obligaton is a stand-ready obligaton to provide a return that is not a separate performance obligaton, but is an element of variable consideraton, which results in a reducton to revenue. We recognize a liability for known and estmated cancellaton charges within Accrued expenses and other current liabilites in the Consolidated Balance Sheets. We estmate the future customer compensaton liability, and corresponding charge against revenue, using the expected value method. To the extent we estmate that a porton of the charge is recoverable from the event host, we record the estmated recovery asset to Prepaid expenses and other current assets.</w:t>
      </w: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When our Resale business sells a tcket in our own marketplace, the service fee is recorded in Marketplace revenues and the sales price of the tcket is recorded in Resale revenues.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Deferred Revenue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Deferred revenue consists of fees received related to unsatsfed performance obligatons at the end of the period. The majority of the unsatsfed performance obligatons are related to our loyalty program, Vivid Seats Rewards. Vivid Seats Rewards allows tcket buyers to earn stamps for each tcket purchased, which convert to credits upon reaching certain thresholds. Buyers can redeem those credits on future transactons. The credits earned in the program represent a material right to the tcket buyer and consttute an additonal performance obligaton for us. As such, we defer revenue based on expected future usage and recognize the deferred revenue as credits are redeemed.</w:t>
      </w:r>
    </w:p>
    <w:p>
      <w:pPr>
        <w:spacing w:after="0" w:line="13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Revenue from sales of contngent events, such as postseason sportng events, is initally recorded as Deferred revenue in the Consolidated Balance Sheets and is recognized when the contngency is resolved.</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Sales Tax</w:t>
      </w:r>
      <w:r>
        <w:rPr>
          <w:rFonts w:ascii="Calibri" w:cs="Calibri" w:eastAsia="Calibri" w:hAnsi="Calibri"/>
          <w:sz w:val="18"/>
          <w:szCs w:val="18"/>
          <w:color w:val="auto"/>
        </w:rPr>
        <w:t>—Sales taxes are imposed by state, county, and city governmental authorites. We collect sales tax from the tcket buyer where required and remit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appropriate governmental agency. Collected sales taxes are recorded as a liability untl remited. There is no impact on the Consolidated Statements of Operatons as revenue is recorded net of sales taxes.</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Advertsing Costs</w:t>
      </w:r>
      <w:r>
        <w:rPr>
          <w:rFonts w:ascii="Calibri" w:cs="Calibri" w:eastAsia="Calibri" w:hAnsi="Calibri"/>
          <w:sz w:val="18"/>
          <w:szCs w:val="18"/>
          <w:color w:val="auto"/>
        </w:rPr>
        <w:t>—We utlize various forms of advertsing, including paid search, brand partnership, e-mail marketng, and other forms of media. Advertsing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costs are expensed as incurred and were $247.3 million, $180.7 million, and $37.5 million for the years ended December 31, 2022, 2021, and 2020 respectvely. Advertsing costs are presented as part of Marketng and selling expense in the Consolidated Statements of Operatons.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Shipping and Handling</w:t>
      </w:r>
      <w:r>
        <w:rPr>
          <w:rFonts w:ascii="Calibri" w:cs="Calibri" w:eastAsia="Calibri" w:hAnsi="Calibri"/>
          <w:sz w:val="18"/>
          <w:szCs w:val="18"/>
          <w:color w:val="auto"/>
        </w:rPr>
        <w:t>—Shipping and handling charges to customers are included in Revenues in the Consolidated Statements of Operatons. Shipping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handling costs incurred by us are treated as fulfllment actvites, and as such are included in Cost of revenues in the Consolidated Statements of Operatons. These costs are accrued upon recogniton of revenue.</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Recent Accountng Pronouncements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an “emerging growth company” under the Jumpstart Our Business Startups Act of 2012 (the “JOBS Act”), we are provided the opton to adopt new or revised accountng guidance either (1) within the same periods as those otherwise applicable to public business enttes, or (2) within the same tme periods as non-public business enttes, including early adopton when permissible. The following provides a brief descripton of recent accountng pronouncements that could have a material efect on our fnancial statements: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Issued accountng standards adopted</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Leases</w:t>
      </w:r>
      <w:r>
        <w:rPr>
          <w:rFonts w:ascii="Calibri" w:cs="Calibri" w:eastAsia="Calibri" w:hAnsi="Calibri"/>
          <w:sz w:val="18"/>
          <w:szCs w:val="18"/>
          <w:color w:val="auto"/>
        </w:rPr>
        <w:t>—In February 2016, the Financial Accountng Standards Board ("FASB") issued Accountng Standards Update ("ASU") 2016-02, Leases (Topic 842),</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which requires lessees to recognize a right-of-use asset and a lease liability for virtually all of their leases (other than leases that meet the defniton of a short-term lease) in the balance sheet. Lease liabilites are equal to the present value of lease payments, while right-of-use assets are based on the associated lease liabilites, subject to certain adjustments, such as for inital direct costs. We elected the extended</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7" w:name="page78"/>
    <w:bookmarkEnd w:id="7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transiton period available to emerging growth companies and adopted Accountng Standards Codifcaton ("ASC") 842 efectve January 1, 2022 on a modifed retrospectve basis by applying the new standard to all leases existng at the date of inital applicaton. We elected to present the fnancial statements for all periods prior to January 1, 2022 under the previous lease standard ("ASC 840"), as well as elected other optons, which allow us to use our previous evaluatons regarding if an arrangement contains a lease, if a lease is an operatng or fnancing lease, and what costs are capitalized as inital direct costs prior to adopton. We also elected to combine lease and non-lease components.</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Upon the adopton of the new lease standard, on January 1, 2022, we recognized right-of-use assets of $6.6 million and lease liabilites of $8.1 million (including a current liability of $3.0 million) in the Consolidated Balance Sheets and reclassifed certain balances related to existng leases. The right-of-use assets balance as of January 1, 2022 is adjusted for $1.5 million of lease terminaton liabilites and deferred rent liabilites recognized under the previous lease standard. There was no impact to Accumulated defcit on the Consolidated Balance Sheets at adopton. Refer to Note 8, </w:t>
      </w:r>
      <w:r>
        <w:rPr>
          <w:rFonts w:ascii="Calibri" w:cs="Calibri" w:eastAsia="Calibri" w:hAnsi="Calibri"/>
          <w:sz w:val="18"/>
          <w:szCs w:val="18"/>
          <w:i w:val="1"/>
          <w:iCs w:val="1"/>
          <w:color w:val="auto"/>
        </w:rPr>
        <w:t>Leases</w:t>
      </w:r>
      <w:r>
        <w:rPr>
          <w:rFonts w:ascii="Calibri" w:cs="Calibri" w:eastAsia="Calibri" w:hAnsi="Calibri"/>
          <w:sz w:val="18"/>
          <w:szCs w:val="18"/>
          <w:color w:val="auto"/>
        </w:rPr>
        <w:t>, for more informaton on leases.</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Financial Instruments-Credit Losses</w:t>
      </w:r>
      <w:r>
        <w:rPr>
          <w:rFonts w:ascii="Calibri" w:cs="Calibri" w:eastAsia="Calibri" w:hAnsi="Calibri"/>
          <w:sz w:val="18"/>
          <w:szCs w:val="18"/>
          <w:color w:val="auto"/>
        </w:rPr>
        <w:t>—In June 2016, the FASB issued ASU 2016-13,</w:t>
      </w:r>
      <w:r>
        <w:rPr>
          <w:rFonts w:ascii="Calibri" w:cs="Calibri" w:eastAsia="Calibri" w:hAnsi="Calibri"/>
          <w:sz w:val="18"/>
          <w:szCs w:val="18"/>
          <w:b w:val="1"/>
          <w:bCs w:val="1"/>
          <w:color w:val="auto"/>
        </w:rPr>
        <w:t xml:space="preserve"> </w:t>
      </w:r>
      <w:r>
        <w:rPr>
          <w:rFonts w:ascii="Calibri" w:cs="Calibri" w:eastAsia="Calibri" w:hAnsi="Calibri"/>
          <w:sz w:val="18"/>
          <w:szCs w:val="18"/>
          <w:i w:val="1"/>
          <w:iCs w:val="1"/>
          <w:color w:val="auto"/>
        </w:rPr>
        <w:t>Financial Instruments-Credit Losses (Topic 326): Measurement of Credit</w:t>
      </w:r>
      <w:r>
        <w:rPr>
          <w:rFonts w:ascii="Calibri" w:cs="Calibri" w:eastAsia="Calibri" w:hAnsi="Calibri"/>
          <w:sz w:val="18"/>
          <w:szCs w:val="18"/>
          <w:b w:val="1"/>
          <w:bCs w:val="1"/>
          <w:color w:val="auto"/>
        </w:rPr>
        <w:t xml:space="preserve"> </w:t>
      </w:r>
      <w:r>
        <w:rPr>
          <w:rFonts w:ascii="Calibri" w:cs="Calibri" w:eastAsia="Calibri" w:hAnsi="Calibri"/>
          <w:sz w:val="18"/>
          <w:szCs w:val="18"/>
          <w:i w:val="1"/>
          <w:iCs w:val="1"/>
          <w:color w:val="auto"/>
        </w:rPr>
        <w:t>Losses on Financial Instruments</w:t>
      </w:r>
      <w:r>
        <w:rPr>
          <w:rFonts w:ascii="Calibri" w:cs="Calibri" w:eastAsia="Calibri" w:hAnsi="Calibri"/>
          <w:sz w:val="18"/>
          <w:szCs w:val="18"/>
          <w:color w:val="auto"/>
        </w:rPr>
        <w:t>, which changes how enttes will measure credit losses for fnancial assets and certain other instruments that are not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measured at fair value through net income. The new expected credit loss impairment model requires immediate recogniton of estmated credit losses expected to occur. Additonal disclosures are required regarding assumptons, models, and methods for estmatng the credit losses. ASU 2019-10, </w:t>
      </w:r>
      <w:r>
        <w:rPr>
          <w:rFonts w:ascii="Calibri" w:cs="Calibri" w:eastAsia="Calibri" w:hAnsi="Calibri"/>
          <w:sz w:val="18"/>
          <w:szCs w:val="18"/>
          <w:i w:val="1"/>
          <w:iCs w:val="1"/>
          <w:color w:val="auto"/>
        </w:rPr>
        <w:t>Financial</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Instruments-Credit Losses (Topic 326), Derivatves and Hedging (Topic 815), and Leases (Topic 842): Efectve Dates</w:t>
      </w:r>
      <w:r>
        <w:rPr>
          <w:rFonts w:ascii="Calibri" w:cs="Calibri" w:eastAsia="Calibri" w:hAnsi="Calibri"/>
          <w:sz w:val="18"/>
          <w:szCs w:val="18"/>
          <w:color w:val="auto"/>
        </w:rPr>
        <w:t>, deferred the efectve date for non-public</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companies. The standard is efectve for non-public companies for fscal years beginning afer December 15, 2022. We adopted these requirements as of January 1, 2023 with no material impact on our consolidated fnancial statements.</w:t>
      </w:r>
    </w:p>
    <w:p>
      <w:pPr>
        <w:spacing w:after="0" w:line="154"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b w:val="1"/>
          <w:bCs w:val="1"/>
          <w:color w:val="auto"/>
        </w:rPr>
        <w:t>Reference Rate Reform</w:t>
      </w:r>
      <w:r>
        <w:rPr>
          <w:rFonts w:ascii="Calibri" w:cs="Calibri" w:eastAsia="Calibri" w:hAnsi="Calibri"/>
          <w:sz w:val="17"/>
          <w:szCs w:val="17"/>
          <w:color w:val="auto"/>
        </w:rPr>
        <w:t>—In March 2020, the FASB issued ASU 2020-04,</w:t>
      </w:r>
      <w:r>
        <w:rPr>
          <w:rFonts w:ascii="Calibri" w:cs="Calibri" w:eastAsia="Calibri" w:hAnsi="Calibri"/>
          <w:sz w:val="17"/>
          <w:szCs w:val="17"/>
          <w:b w:val="1"/>
          <w:bCs w:val="1"/>
          <w:color w:val="auto"/>
        </w:rPr>
        <w:t xml:space="preserve"> </w:t>
      </w:r>
      <w:r>
        <w:rPr>
          <w:rFonts w:ascii="Calibri" w:cs="Calibri" w:eastAsia="Calibri" w:hAnsi="Calibri"/>
          <w:sz w:val="17"/>
          <w:szCs w:val="17"/>
          <w:i w:val="1"/>
          <w:iCs w:val="1"/>
          <w:color w:val="auto"/>
        </w:rPr>
        <w:t>Reference Rate Reform (Topic 848), Facilitaton of the Efects of Reference Rate Reform</w:t>
      </w:r>
      <w:r>
        <w:rPr>
          <w:rFonts w:ascii="Calibri" w:cs="Calibri" w:eastAsia="Calibri" w:hAnsi="Calibri"/>
          <w:sz w:val="17"/>
          <w:szCs w:val="17"/>
          <w:b w:val="1"/>
          <w:bCs w:val="1"/>
          <w:color w:val="auto"/>
        </w:rPr>
        <w:t xml:space="preserve"> </w:t>
      </w:r>
      <w:r>
        <w:rPr>
          <w:rFonts w:ascii="Calibri" w:cs="Calibri" w:eastAsia="Calibri" w:hAnsi="Calibri"/>
          <w:sz w:val="17"/>
          <w:szCs w:val="17"/>
          <w:i w:val="1"/>
          <w:iCs w:val="1"/>
          <w:color w:val="auto"/>
        </w:rPr>
        <w:t>on Financial Reportng</w:t>
      </w:r>
      <w:r>
        <w:rPr>
          <w:rFonts w:ascii="Calibri" w:cs="Calibri" w:eastAsia="Calibri" w:hAnsi="Calibri"/>
          <w:sz w:val="17"/>
          <w:szCs w:val="17"/>
          <w:color w:val="auto"/>
        </w:rPr>
        <w:t>, as modifed in January 2021. The ASU is intended to help stakeholders during the global market-wide reference rate transiton period.</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The new guidance provides optonal expedients and exceptons for applying generally accepted accountng principles to contract modifcatons and hedging relatonships, subject to meetng certain criteria, that reference LIBOR or another reference rate expected to be discontnued. The guidance also establishes</w:t>
      </w:r>
    </w:p>
    <w:p>
      <w:pPr>
        <w:spacing w:after="0" w:line="3" w:lineRule="exact"/>
        <w:rPr>
          <w:sz w:val="20"/>
          <w:szCs w:val="20"/>
          <w:color w:val="auto"/>
        </w:rPr>
      </w:pPr>
    </w:p>
    <w:p>
      <w:pPr>
        <w:ind w:firstLine="8"/>
        <w:spacing w:after="0" w:line="235" w:lineRule="auto"/>
        <w:tabs>
          <w:tab w:leader="none" w:pos="236"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a general contract modifcaton principle that enttes can apply in other areas that may be afected by reference rate reform and (2) certain electve hedge accountng expedients. We adopted these requirements as of January 1, 2023 with no material impact on our consolidated fnancial statements.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Business Acquisition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December 13, 2021, we acquired 100% of the equity of Betcha. In August 2022, we rebranded Betcha as Vivid Picks. Vivid Picks is a real money daily fantasy sports app with social and gamifcaton features that enhance fans' connecton with their favorite live sports. The acquisiton was accounted for as an acquisiton of a business in accordance with the acquisiton method of accountng. Acquisiton costs directly related to the transacton for the year ended December 31, 2022 were not material and are included in General and administratve expenses in the Consolidated Statements of Operatons.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acquisiton date fair value of the consideraton consisted of $0.8 million in cash and 2.1 million shares of our Class A common stock. The total consideraton includes cash earnouts of $3.4 million as of the acquisiton date representng the estmated fair value that we may be obligated to pay if Vivid Picks meets certain earnings objectves. In additon, the consideraton includes future milestone payments of $9.5 million as of the acquisiton date representng the estmated fair value that we may be obligated to pay upon the achievement of certain integraton objectves. For the year ended December 31, 2022, the estmated fair value of cash earnouts decreased by $2.1 million, which is presented in Change in fair value of contngent consideraton on the Consolidated Statements of</w:t>
      </w:r>
    </w:p>
    <w:p>
      <w:pPr>
        <w:spacing w:after="0" w:line="10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8" w:name="page79"/>
    <w:bookmarkEnd w:id="7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Operatons. As of December 31, 2022, $2.6 million was recorded in Additonal paid-in capital in the Consolidated Balance Sheets related to our frst milestone payment. For the year ended December 31, 2022, we made no payments related to cash earnouts and paid milestone payments which consisted of 0.3 million in shares of our Class A common stock and $1.1 million in cash. Subsequent to the year ended December 31, 2022, we paid a milestone payment of $2.5 million in cash. As of December 31, 2022, we had $5.9 million recorded in accrued expenses and other current liabilites related to future milestone payments and $1.1 million in other liabilites related to earnouts.</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the acquisiton, we agreed to pay cash bonuses to certain Vivid Picks employees over three years following the anniversary of the employee start date. The payouts are subject to contnued service, and therefore treated as compensaton and expensed.</w:t>
      </w:r>
    </w:p>
    <w:p>
      <w:pPr>
        <w:spacing w:after="0" w:line="150" w:lineRule="exact"/>
        <w:rPr>
          <w:sz w:val="20"/>
          <w:szCs w:val="20"/>
          <w:color w:val="auto"/>
        </w:rPr>
      </w:pPr>
    </w:p>
    <w:p>
      <w:pPr>
        <w:spacing w:after="0"/>
        <w:rPr>
          <w:sz w:val="20"/>
          <w:szCs w:val="20"/>
          <w:color w:val="auto"/>
        </w:rPr>
      </w:pPr>
      <w:r>
        <w:rPr>
          <w:rFonts w:ascii="Calibri" w:cs="Calibri" w:eastAsia="Calibri" w:hAnsi="Calibri"/>
          <w:sz w:val="17"/>
          <w:szCs w:val="17"/>
          <w:color w:val="auto"/>
        </w:rPr>
        <w:t>Proforma fnancial informaton has not been presented as the Vivid Picks acquisiton was not considered material to our Consolidated Financial Statements.</w:t>
      </w:r>
    </w:p>
    <w:p>
      <w:pPr>
        <w:spacing w:after="0" w:line="15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consideraton was allocated to the assets acquired and liabilites assumed based on their fair value as of the acquisiton date. The excess of the purchase price over the net assets acquired was recorded as goodwill. The goodwill recorded is not deductble for tax purposes as the Vivid Picks acquisiton was primarily a stock acquisiton and is atributable to the assembled workforce as well as the antcipated synergies from the integraton of Vivid Picks's technology with our technology.</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During the year ended December 31, 2022, we recognized adjustments related to the estmated fair values of the assets acquired and liabilites assumed at the acquisiton date. The adjustments primarily consisted of $0.9 million in defnite-lived intangible assets and $2.9 million in goodwill. Refer to Note 9, </w:t>
      </w:r>
      <w:r>
        <w:rPr>
          <w:rFonts w:ascii="Calibri" w:cs="Calibri" w:eastAsia="Calibri" w:hAnsi="Calibri"/>
          <w:sz w:val="18"/>
          <w:szCs w:val="18"/>
          <w:i w:val="1"/>
          <w:iCs w:val="1"/>
          <w:color w:val="auto"/>
        </w:rPr>
        <w:t>Goodwill and Intangible Assets</w:t>
      </w:r>
      <w:r>
        <w:rPr>
          <w:rFonts w:ascii="Calibri" w:cs="Calibri" w:eastAsia="Calibri" w:hAnsi="Calibri"/>
          <w:sz w:val="18"/>
          <w:szCs w:val="18"/>
          <w:color w:val="auto"/>
        </w:rPr>
        <w:t>, for the acquisiton adjustment. We have fnalized purchase accountng for this acquisiton in the fourth quarter of 2022.</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estmated fair values of the assets acquired and liabilites assumed as of the acquisiton date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2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Cash</w:t>
            </w:r>
          </w:p>
        </w:tc>
        <w:tc>
          <w:tcPr>
            <w:tcW w:w="860" w:type="dxa"/>
            <w:vAlign w:val="bottom"/>
            <w:shd w:val="clear" w:color="auto" w:fill="CFF0FC"/>
          </w:tcPr>
          <w:p>
            <w:pPr>
              <w:jc w:val="right"/>
              <w:ind w:right="670"/>
              <w:spacing w:after="0"/>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48</w:t>
            </w:r>
          </w:p>
        </w:tc>
        <w:tc>
          <w:tcPr>
            <w:tcW w:w="100" w:type="dxa"/>
            <w:vAlign w:val="bottom"/>
            <w:shd w:val="clear" w:color="auto" w:fill="CFF0FC"/>
          </w:tcPr>
          <w:p>
            <w:pPr>
              <w:spacing w:after="0"/>
              <w:rPr>
                <w:sz w:val="21"/>
                <w:szCs w:val="21"/>
                <w:color w:val="auto"/>
              </w:rPr>
            </w:pPr>
          </w:p>
        </w:tc>
      </w:tr>
      <w:tr>
        <w:trPr>
          <w:trHeight w:val="215"/>
        </w:trPr>
        <w:tc>
          <w:tcPr>
            <w:tcW w:w="9020" w:type="dxa"/>
            <w:vAlign w:val="bottom"/>
          </w:tcPr>
          <w:p>
            <w:pPr>
              <w:ind w:left="20"/>
              <w:spacing w:after="0" w:line="215" w:lineRule="exact"/>
              <w:rPr>
                <w:sz w:val="20"/>
                <w:szCs w:val="20"/>
                <w:color w:val="auto"/>
              </w:rPr>
            </w:pPr>
            <w:r>
              <w:rPr>
                <w:rFonts w:ascii="Calibri" w:cs="Calibri" w:eastAsia="Calibri" w:hAnsi="Calibri"/>
                <w:sz w:val="18"/>
                <w:szCs w:val="18"/>
                <w:color w:val="auto"/>
              </w:rPr>
              <w:t>Restricted cash</w:t>
            </w:r>
          </w:p>
        </w:tc>
        <w:tc>
          <w:tcPr>
            <w:tcW w:w="86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245</w:t>
            </w:r>
          </w:p>
        </w:tc>
        <w:tc>
          <w:tcPr>
            <w:tcW w:w="100" w:type="dxa"/>
            <w:vAlign w:val="bottom"/>
          </w:tcPr>
          <w:p>
            <w:pPr>
              <w:spacing w:after="0"/>
              <w:rPr>
                <w:sz w:val="18"/>
                <w:szCs w:val="18"/>
                <w:color w:val="auto"/>
              </w:rPr>
            </w:pPr>
          </w:p>
        </w:tc>
      </w:tr>
      <w:tr>
        <w:trPr>
          <w:trHeight w:val="28"/>
        </w:trPr>
        <w:tc>
          <w:tcPr>
            <w:tcW w:w="9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90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Accounts receivable</w:t>
            </w:r>
          </w:p>
        </w:tc>
        <w:tc>
          <w:tcPr>
            <w:tcW w:w="8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9020" w:type="dxa"/>
            <w:vAlign w:val="bottom"/>
          </w:tcPr>
          <w:p>
            <w:pPr>
              <w:ind w:left="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86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c>
          <w:tcPr>
            <w:tcW w:w="100" w:type="dxa"/>
            <w:vAlign w:val="bottom"/>
          </w:tcPr>
          <w:p>
            <w:pPr>
              <w:spacing w:after="0"/>
              <w:rPr>
                <w:sz w:val="18"/>
                <w:szCs w:val="18"/>
                <w:color w:val="auto"/>
              </w:rPr>
            </w:pPr>
          </w:p>
        </w:tc>
      </w:tr>
      <w:tr>
        <w:trPr>
          <w:trHeight w:val="28"/>
        </w:trPr>
        <w:tc>
          <w:tcPr>
            <w:tcW w:w="9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90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Intangible assets</w:t>
            </w:r>
          </w:p>
        </w:tc>
        <w:tc>
          <w:tcPr>
            <w:tcW w:w="8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4,430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902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86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31,931</w:t>
            </w:r>
          </w:p>
        </w:tc>
        <w:tc>
          <w:tcPr>
            <w:tcW w:w="100" w:type="dxa"/>
            <w:vAlign w:val="bottom"/>
          </w:tcPr>
          <w:p>
            <w:pPr>
              <w:spacing w:after="0"/>
              <w:rPr>
                <w:sz w:val="18"/>
                <w:szCs w:val="18"/>
                <w:color w:val="auto"/>
              </w:rPr>
            </w:pPr>
          </w:p>
        </w:tc>
      </w:tr>
      <w:tr>
        <w:trPr>
          <w:trHeight w:val="28"/>
        </w:trPr>
        <w:tc>
          <w:tcPr>
            <w:tcW w:w="9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90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Accounts payable</w:t>
            </w:r>
          </w:p>
        </w:tc>
        <w:tc>
          <w:tcPr>
            <w:tcW w:w="86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(1,180 )</w:t>
            </w:r>
          </w:p>
        </w:tc>
      </w:tr>
      <w:tr>
        <w:trPr>
          <w:trHeight w:val="220"/>
        </w:trPr>
        <w:tc>
          <w:tcPr>
            <w:tcW w:w="9020" w:type="dxa"/>
            <w:vAlign w:val="bottom"/>
          </w:tcPr>
          <w:p>
            <w:pPr>
              <w:ind w:left="20"/>
              <w:spacing w:after="0"/>
              <w:rPr>
                <w:sz w:val="20"/>
                <w:szCs w:val="20"/>
                <w:color w:val="auto"/>
              </w:rPr>
            </w:pPr>
            <w:r>
              <w:rPr>
                <w:rFonts w:ascii="Calibri" w:cs="Calibri" w:eastAsia="Calibri" w:hAnsi="Calibri"/>
                <w:sz w:val="18"/>
                <w:szCs w:val="18"/>
                <w:color w:val="auto"/>
              </w:rPr>
              <w:t>Accrued expenses and other current liabilites</w:t>
            </w:r>
          </w:p>
        </w:tc>
        <w:tc>
          <w:tcPr>
            <w:tcW w:w="860" w:type="dxa"/>
            <w:vAlign w:val="bottom"/>
          </w:tcPr>
          <w:p>
            <w:pPr>
              <w:spacing w:after="0"/>
              <w:rPr>
                <w:sz w:val="19"/>
                <w:szCs w:val="19"/>
                <w:color w:val="auto"/>
              </w:rPr>
            </w:pPr>
          </w:p>
        </w:tc>
        <w:tc>
          <w:tcPr>
            <w:tcW w:w="13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(677 )</w:t>
            </w:r>
          </w:p>
        </w:tc>
      </w:tr>
      <w:tr>
        <w:trPr>
          <w:trHeight w:val="23"/>
        </w:trPr>
        <w:tc>
          <w:tcPr>
            <w:tcW w:w="9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90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Net assets acquired</w:t>
            </w:r>
          </w:p>
        </w:tc>
        <w:tc>
          <w:tcPr>
            <w:tcW w:w="860" w:type="dxa"/>
            <w:vAlign w:val="bottom"/>
            <w:tcBorders>
              <w:bottom w:val="single" w:sz="8" w:color="auto"/>
            </w:tcBorders>
            <w:shd w:val="clear" w:color="auto" w:fill="CFF0FC"/>
          </w:tcPr>
          <w:p>
            <w:pPr>
              <w:jc w:val="right"/>
              <w:ind w:right="670"/>
              <w:spacing w:after="0" w:line="215" w:lineRule="exact"/>
              <w:rPr>
                <w:sz w:val="20"/>
                <w:szCs w:val="20"/>
                <w:color w:val="auto"/>
              </w:rPr>
            </w:pPr>
            <w:r>
              <w:rPr>
                <w:rFonts w:ascii="Calibri" w:cs="Calibri" w:eastAsia="Calibri" w:hAnsi="Calibri"/>
                <w:sz w:val="18"/>
                <w:szCs w:val="18"/>
                <w:b w:val="1"/>
                <w:bCs w:val="1"/>
                <w:color w:val="auto"/>
                <w:w w:val="87"/>
              </w:rPr>
              <w:t>$</w:t>
            </w:r>
          </w:p>
        </w:tc>
        <w:tc>
          <w:tcPr>
            <w:tcW w:w="12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34,935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81"/>
        </w:trPr>
        <w:tc>
          <w:tcPr>
            <w:tcW w:w="9020" w:type="dxa"/>
            <w:vAlign w:val="bottom"/>
          </w:tcPr>
          <w:p>
            <w:pPr>
              <w:spacing w:after="0"/>
              <w:rPr>
                <w:sz w:val="20"/>
                <w:szCs w:val="20"/>
                <w:color w:val="auto"/>
              </w:rPr>
            </w:pPr>
            <w:r>
              <w:rPr>
                <w:rFonts w:ascii="Calibri" w:cs="Calibri" w:eastAsia="Calibri" w:hAnsi="Calibri"/>
                <w:sz w:val="18"/>
                <w:szCs w:val="18"/>
                <w:color w:val="auto"/>
              </w:rPr>
              <w:t>The following table summarizes the purchase consideraton (in thousands):</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9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23"/>
        </w:trPr>
        <w:tc>
          <w:tcPr>
            <w:tcW w:w="90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Fair value of common stock</w:t>
            </w:r>
          </w:p>
        </w:tc>
        <w:tc>
          <w:tcPr>
            <w:tcW w:w="860" w:type="dxa"/>
            <w:vAlign w:val="bottom"/>
            <w:tcBorders>
              <w:bottom w:val="single" w:sz="8" w:color="CFF0FC"/>
            </w:tcBorders>
            <w:shd w:val="clear" w:color="auto" w:fill="CFF0FC"/>
          </w:tcPr>
          <w:p>
            <w:pPr>
              <w:jc w:val="right"/>
              <w:ind w:right="67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21,306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9020" w:type="dxa"/>
            <w:vAlign w:val="bottom"/>
          </w:tcPr>
          <w:p>
            <w:pPr>
              <w:ind w:left="20"/>
              <w:spacing w:after="0" w:line="215" w:lineRule="exact"/>
              <w:rPr>
                <w:sz w:val="20"/>
                <w:szCs w:val="20"/>
                <w:color w:val="auto"/>
              </w:rPr>
            </w:pPr>
            <w:r>
              <w:rPr>
                <w:rFonts w:ascii="Calibri" w:cs="Calibri" w:eastAsia="Calibri" w:hAnsi="Calibri"/>
                <w:sz w:val="18"/>
                <w:szCs w:val="18"/>
                <w:color w:val="auto"/>
              </w:rPr>
              <w:t>Cash consideraton</w:t>
            </w:r>
          </w:p>
        </w:tc>
        <w:tc>
          <w:tcPr>
            <w:tcW w:w="86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759</w:t>
            </w:r>
          </w:p>
        </w:tc>
        <w:tc>
          <w:tcPr>
            <w:tcW w:w="100" w:type="dxa"/>
            <w:vAlign w:val="bottom"/>
          </w:tcPr>
          <w:p>
            <w:pPr>
              <w:spacing w:after="0"/>
              <w:rPr>
                <w:sz w:val="18"/>
                <w:szCs w:val="18"/>
                <w:color w:val="auto"/>
              </w:rPr>
            </w:pPr>
          </w:p>
        </w:tc>
      </w:tr>
      <w:tr>
        <w:trPr>
          <w:trHeight w:val="28"/>
        </w:trPr>
        <w:tc>
          <w:tcPr>
            <w:tcW w:w="9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90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Fair value of milestone payments</w:t>
            </w:r>
          </w:p>
        </w:tc>
        <w:tc>
          <w:tcPr>
            <w:tcW w:w="8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9020" w:type="dxa"/>
            <w:vAlign w:val="bottom"/>
          </w:tcPr>
          <w:p>
            <w:pPr>
              <w:ind w:left="20"/>
              <w:spacing w:after="0"/>
              <w:rPr>
                <w:sz w:val="20"/>
                <w:szCs w:val="20"/>
                <w:color w:val="auto"/>
              </w:rPr>
            </w:pPr>
            <w:r>
              <w:rPr>
                <w:rFonts w:ascii="Calibri" w:cs="Calibri" w:eastAsia="Calibri" w:hAnsi="Calibri"/>
                <w:sz w:val="18"/>
                <w:szCs w:val="18"/>
                <w:color w:val="auto"/>
              </w:rPr>
              <w:t>Fair value of earnouts</w:t>
            </w:r>
          </w:p>
        </w:tc>
        <w:tc>
          <w:tcPr>
            <w:tcW w:w="86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3,400</w:t>
            </w:r>
          </w:p>
        </w:tc>
        <w:tc>
          <w:tcPr>
            <w:tcW w:w="100" w:type="dxa"/>
            <w:vAlign w:val="bottom"/>
          </w:tcPr>
          <w:p>
            <w:pPr>
              <w:spacing w:after="0"/>
              <w:rPr>
                <w:sz w:val="19"/>
                <w:szCs w:val="19"/>
                <w:color w:val="auto"/>
              </w:rPr>
            </w:pPr>
          </w:p>
        </w:tc>
      </w:tr>
      <w:tr>
        <w:trPr>
          <w:trHeight w:val="23"/>
        </w:trPr>
        <w:tc>
          <w:tcPr>
            <w:tcW w:w="9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90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Total purchase consideraton</w:t>
            </w:r>
          </w:p>
        </w:tc>
        <w:tc>
          <w:tcPr>
            <w:tcW w:w="860" w:type="dxa"/>
            <w:vAlign w:val="bottom"/>
            <w:tcBorders>
              <w:bottom w:val="single" w:sz="8" w:color="auto"/>
            </w:tcBorders>
            <w:shd w:val="clear" w:color="auto" w:fill="CFF0FC"/>
          </w:tcPr>
          <w:p>
            <w:pPr>
              <w:jc w:val="right"/>
              <w:ind w:right="670"/>
              <w:spacing w:after="0" w:line="215" w:lineRule="exact"/>
              <w:rPr>
                <w:sz w:val="20"/>
                <w:szCs w:val="20"/>
                <w:color w:val="auto"/>
              </w:rPr>
            </w:pPr>
            <w:r>
              <w:rPr>
                <w:rFonts w:ascii="Calibri" w:cs="Calibri" w:eastAsia="Calibri" w:hAnsi="Calibri"/>
                <w:sz w:val="18"/>
                <w:szCs w:val="18"/>
                <w:b w:val="1"/>
                <w:bCs w:val="1"/>
                <w:color w:val="auto"/>
                <w:w w:val="87"/>
              </w:rPr>
              <w:t>$</w:t>
            </w:r>
          </w:p>
        </w:tc>
        <w:tc>
          <w:tcPr>
            <w:tcW w:w="12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34,935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sets forth the components of identfable intangible assets acquired (in thousands) and their estmated useful lives (in years) as of the date of acquisiton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Calibri" w:cs="Calibri" w:eastAsia="Calibri" w:hAnsi="Calibri"/>
                <w:sz w:val="18"/>
                <w:szCs w:val="18"/>
                <w:b w:val="1"/>
                <w:bCs w:val="1"/>
                <w:color w:val="auto"/>
              </w:rPr>
              <w:t>Cost</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Calibri" w:cs="Calibri" w:eastAsia="Calibri" w:hAnsi="Calibri"/>
                <w:sz w:val="18"/>
                <w:szCs w:val="18"/>
                <w:b w:val="1"/>
                <w:bCs w:val="1"/>
                <w:color w:val="auto"/>
                <w:w w:val="99"/>
              </w:rPr>
              <w:t>Estmated Useful Life</w:t>
            </w:r>
          </w:p>
        </w:tc>
      </w:tr>
      <w:tr>
        <w:trPr>
          <w:trHeight w:val="50"/>
        </w:trPr>
        <w:tc>
          <w:tcPr>
            <w:tcW w:w="392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17"/>
        </w:trPr>
        <w:tc>
          <w:tcPr>
            <w:tcW w:w="39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Customer relatonships</w:t>
            </w:r>
          </w:p>
        </w:tc>
        <w:tc>
          <w:tcPr>
            <w:tcW w:w="34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1,530</w:t>
            </w:r>
          </w:p>
        </w:tc>
        <w:tc>
          <w:tcPr>
            <w:tcW w:w="40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jc w:val="center"/>
              <w:spacing w:after="0" w:line="208" w:lineRule="exact"/>
              <w:rPr>
                <w:sz w:val="20"/>
                <w:szCs w:val="20"/>
                <w:color w:val="auto"/>
              </w:rPr>
            </w:pPr>
            <w:r>
              <w:rPr>
                <w:rFonts w:ascii="Calibri" w:cs="Calibri" w:eastAsia="Calibri" w:hAnsi="Calibri"/>
                <w:sz w:val="18"/>
                <w:szCs w:val="18"/>
                <w:color w:val="auto"/>
                <w:w w:val="99"/>
              </w:rPr>
              <w:t>2 years</w:t>
            </w:r>
          </w:p>
        </w:tc>
      </w:tr>
      <w:tr>
        <w:trPr>
          <w:trHeight w:val="220"/>
        </w:trPr>
        <w:tc>
          <w:tcPr>
            <w:tcW w:w="3920" w:type="dxa"/>
            <w:vAlign w:val="bottom"/>
          </w:tcPr>
          <w:p>
            <w:pPr>
              <w:ind w:left="20"/>
              <w:spacing w:after="0"/>
              <w:rPr>
                <w:sz w:val="20"/>
                <w:szCs w:val="20"/>
                <w:color w:val="auto"/>
              </w:rPr>
            </w:pPr>
            <w:r>
              <w:rPr>
                <w:rFonts w:ascii="Calibri" w:cs="Calibri" w:eastAsia="Calibri" w:hAnsi="Calibri"/>
                <w:sz w:val="18"/>
                <w:szCs w:val="18"/>
                <w:color w:val="auto"/>
              </w:rPr>
              <w:t>Developed technology</w:t>
            </w:r>
          </w:p>
        </w:tc>
        <w:tc>
          <w:tcPr>
            <w:tcW w:w="3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2,900</w:t>
            </w:r>
          </w:p>
        </w:tc>
        <w:tc>
          <w:tcPr>
            <w:tcW w:w="400" w:type="dxa"/>
            <w:vAlign w:val="bottom"/>
          </w:tcPr>
          <w:p>
            <w:pPr>
              <w:spacing w:after="0"/>
              <w:rPr>
                <w:sz w:val="19"/>
                <w:szCs w:val="19"/>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5 years</w:t>
            </w:r>
          </w:p>
        </w:tc>
      </w:tr>
      <w:tr>
        <w:trPr>
          <w:trHeight w:val="23"/>
        </w:trPr>
        <w:tc>
          <w:tcPr>
            <w:tcW w:w="392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6"/>
        </w:trPr>
        <w:tc>
          <w:tcPr>
            <w:tcW w:w="39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Total acquired intangible assets</w:t>
            </w:r>
          </w:p>
        </w:tc>
        <w:tc>
          <w:tcPr>
            <w:tcW w:w="34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ind w:right="1010"/>
              <w:spacing w:after="0" w:line="215" w:lineRule="exact"/>
              <w:rPr>
                <w:sz w:val="20"/>
                <w:szCs w:val="20"/>
                <w:color w:val="auto"/>
              </w:rPr>
            </w:pPr>
            <w:r>
              <w:rPr>
                <w:rFonts w:ascii="Calibri" w:cs="Calibri" w:eastAsia="Calibri" w:hAnsi="Calibri"/>
                <w:sz w:val="18"/>
                <w:szCs w:val="18"/>
                <w:b w:val="1"/>
                <w:bCs w:val="1"/>
                <w:color w:val="auto"/>
                <w:w w:val="87"/>
              </w:rPr>
              <w:t>$</w:t>
            </w:r>
          </w:p>
        </w:tc>
        <w:tc>
          <w:tcPr>
            <w:tcW w:w="5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4,430</w:t>
            </w:r>
          </w:p>
        </w:tc>
        <w:tc>
          <w:tcPr>
            <w:tcW w:w="40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CFF0FC"/>
            </w:tcBorders>
            <w:shd w:val="clear" w:color="auto" w:fill="CFF0FC"/>
          </w:tcPr>
          <w:p>
            <w:pPr>
              <w:spacing w:after="0"/>
              <w:rPr>
                <w:sz w:val="24"/>
                <w:szCs w:val="24"/>
                <w:color w:val="auto"/>
              </w:rPr>
            </w:pPr>
          </w:p>
        </w:tc>
      </w:tr>
      <w:tr>
        <w:trPr>
          <w:trHeight w:val="389"/>
        </w:trPr>
        <w:tc>
          <w:tcPr>
            <w:tcW w:w="3920" w:type="dxa"/>
            <w:vAlign w:val="bottom"/>
          </w:tcPr>
          <w:p>
            <w:pPr>
              <w:spacing w:after="0"/>
              <w:rPr>
                <w:sz w:val="24"/>
                <w:szCs w:val="24"/>
                <w:color w:val="auto"/>
              </w:rPr>
            </w:pPr>
          </w:p>
        </w:tc>
        <w:tc>
          <w:tcPr>
            <w:tcW w:w="3480" w:type="dxa"/>
            <w:vAlign w:val="bottom"/>
          </w:tcPr>
          <w:p>
            <w:pPr>
              <w:jc w:val="right"/>
              <w:ind w:right="1590"/>
              <w:spacing w:after="0"/>
              <w:rPr>
                <w:sz w:val="20"/>
                <w:szCs w:val="20"/>
                <w:color w:val="auto"/>
              </w:rPr>
            </w:pPr>
            <w:r>
              <w:rPr>
                <w:rFonts w:ascii="Calibri" w:cs="Calibri" w:eastAsia="Calibri" w:hAnsi="Calibri"/>
                <w:sz w:val="18"/>
                <w:szCs w:val="18"/>
                <w:color w:val="auto"/>
              </w:rPr>
              <w:t>76</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38"/>
        </w:trPr>
        <w:tc>
          <w:tcPr>
            <w:tcW w:w="3920" w:type="dxa"/>
            <w:vAlign w:val="bottom"/>
            <w:tcBorders>
              <w:bottom w:val="single" w:sz="8" w:color="9A9A9A"/>
            </w:tcBorders>
          </w:tcPr>
          <w:p>
            <w:pPr>
              <w:spacing w:after="0"/>
              <w:rPr>
                <w:sz w:val="12"/>
                <w:szCs w:val="12"/>
                <w:color w:val="auto"/>
              </w:rPr>
            </w:pPr>
          </w:p>
        </w:tc>
        <w:tc>
          <w:tcPr>
            <w:tcW w:w="34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-385445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-367665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9" w:name="page80"/>
    <w:bookmarkEnd w:id="7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40" w:type="dxa"/>
            <w:vAlign w:val="bottom"/>
          </w:tcPr>
          <w:p>
            <w:pPr>
              <w:spacing w:after="0"/>
              <w:rPr>
                <w:sz w:val="20"/>
                <w:szCs w:val="20"/>
                <w:color w:val="auto"/>
              </w:rPr>
            </w:pPr>
            <w:r>
              <w:rPr>
                <w:rFonts w:ascii="Calibri" w:cs="Calibri" w:eastAsia="Calibri" w:hAnsi="Calibri"/>
                <w:sz w:val="18"/>
                <w:szCs w:val="18"/>
                <w:b w:val="1"/>
                <w:bCs w:val="1"/>
                <w:color w:val="auto"/>
              </w:rPr>
              <w:t>4. Revenue Recognition</w:t>
            </w: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1"/>
        </w:trPr>
        <w:tc>
          <w:tcPr>
            <w:tcW w:w="8900" w:type="dxa"/>
            <w:vAlign w:val="bottom"/>
            <w:gridSpan w:val="6"/>
          </w:tcPr>
          <w:p>
            <w:pPr>
              <w:spacing w:after="0"/>
              <w:rPr>
                <w:sz w:val="20"/>
                <w:szCs w:val="20"/>
                <w:color w:val="auto"/>
              </w:rPr>
            </w:pPr>
            <w:r>
              <w:rPr>
                <w:rFonts w:ascii="Calibri" w:cs="Calibri" w:eastAsia="Calibri" w:hAnsi="Calibri"/>
                <w:sz w:val="18"/>
                <w:szCs w:val="18"/>
                <w:color w:val="auto"/>
                <w:w w:val="97"/>
              </w:rPr>
              <w:t>During the years ended December 31, 2022, 2021, and 2020 Marketplace revenues consisted of the following (in thousands):</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7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670"/>
              <w:spacing w:after="0"/>
              <w:rPr>
                <w:sz w:val="20"/>
                <w:szCs w:val="20"/>
                <w:color w:val="auto"/>
              </w:rPr>
            </w:pPr>
            <w:r>
              <w:rPr>
                <w:rFonts w:ascii="Calibri" w:cs="Calibri" w:eastAsia="Calibri" w:hAnsi="Calibri"/>
                <w:sz w:val="18"/>
                <w:szCs w:val="18"/>
                <w:b w:val="1"/>
                <w:bCs w:val="1"/>
                <w:color w:val="auto"/>
              </w:rPr>
              <w:t>2021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ind w:right="690"/>
              <w:spacing w:after="0"/>
              <w:rPr>
                <w:sz w:val="20"/>
                <w:szCs w:val="20"/>
                <w:color w:val="auto"/>
              </w:rPr>
            </w:pPr>
            <w:r>
              <w:rPr>
                <w:rFonts w:ascii="Calibri" w:cs="Calibri" w:eastAsia="Calibri" w:hAnsi="Calibri"/>
                <w:sz w:val="18"/>
                <w:szCs w:val="18"/>
                <w:b w:val="1"/>
                <w:bCs w:val="1"/>
                <w:color w:val="auto"/>
              </w:rPr>
              <w:t>2020</w:t>
            </w:r>
          </w:p>
        </w:tc>
        <w:tc>
          <w:tcPr>
            <w:tcW w:w="100" w:type="dxa"/>
            <w:vAlign w:val="bottom"/>
          </w:tcPr>
          <w:p>
            <w:pPr>
              <w:spacing w:after="0"/>
              <w:rPr>
                <w:sz w:val="24"/>
                <w:szCs w:val="24"/>
                <w:color w:val="auto"/>
              </w:rPr>
            </w:pPr>
          </w:p>
        </w:tc>
      </w:tr>
      <w:tr>
        <w:trPr>
          <w:trHeight w:val="37"/>
        </w:trPr>
        <w:tc>
          <w:tcPr>
            <w:tcW w:w="47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47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Marketplace revenues:</w:t>
            </w:r>
          </w:p>
        </w:tc>
        <w:tc>
          <w:tcPr>
            <w:tcW w:w="1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740" w:type="dxa"/>
            <w:vAlign w:val="bottom"/>
          </w:tcPr>
          <w:p>
            <w:pPr>
              <w:ind w:left="20"/>
              <w:spacing w:after="0" w:line="215" w:lineRule="exact"/>
              <w:rPr>
                <w:sz w:val="20"/>
                <w:szCs w:val="20"/>
                <w:color w:val="auto"/>
              </w:rPr>
            </w:pPr>
            <w:r>
              <w:rPr>
                <w:rFonts w:ascii="Calibri" w:cs="Calibri" w:eastAsia="Calibri" w:hAnsi="Calibri"/>
                <w:sz w:val="18"/>
                <w:szCs w:val="18"/>
                <w:color w:val="auto"/>
              </w:rPr>
              <w:t>Owned Propertes</w:t>
            </w:r>
          </w:p>
        </w:tc>
        <w:tc>
          <w:tcPr>
            <w:tcW w:w="1220" w:type="dxa"/>
            <w:vAlign w:val="bottom"/>
          </w:tcPr>
          <w:p>
            <w:pPr>
              <w:jc w:val="right"/>
              <w:ind w:right="1030"/>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400,413</w:t>
            </w:r>
          </w:p>
        </w:tc>
        <w:tc>
          <w:tcPr>
            <w:tcW w:w="800" w:type="dxa"/>
            <w:vAlign w:val="bottom"/>
            <w:gridSpan w:val="2"/>
          </w:tcPr>
          <w:p>
            <w:pPr>
              <w:jc w:val="right"/>
              <w:ind w:right="250"/>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308,226</w:t>
            </w:r>
          </w:p>
        </w:tc>
        <w:tc>
          <w:tcPr>
            <w:tcW w:w="760" w:type="dxa"/>
            <w:vAlign w:val="bottom"/>
            <w:gridSpan w:val="2"/>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24,188</w:t>
            </w:r>
          </w:p>
        </w:tc>
        <w:tc>
          <w:tcPr>
            <w:tcW w:w="100" w:type="dxa"/>
            <w:vAlign w:val="bottom"/>
          </w:tcPr>
          <w:p>
            <w:pPr>
              <w:spacing w:after="0"/>
              <w:rPr>
                <w:sz w:val="18"/>
                <w:szCs w:val="18"/>
                <w:color w:val="auto"/>
              </w:rPr>
            </w:pPr>
          </w:p>
        </w:tc>
      </w:tr>
      <w:tr>
        <w:trPr>
          <w:trHeight w:val="28"/>
        </w:trPr>
        <w:tc>
          <w:tcPr>
            <w:tcW w:w="4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48"/>
        </w:trPr>
        <w:tc>
          <w:tcPr>
            <w:tcW w:w="47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Private Label</w:t>
            </w:r>
          </w:p>
        </w:tc>
        <w:tc>
          <w:tcPr>
            <w:tcW w:w="1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110,681</w:t>
            </w:r>
          </w:p>
        </w:tc>
        <w:tc>
          <w:tcPr>
            <w:tcW w:w="3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81,442</w:t>
            </w: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(907 )</w:t>
            </w:r>
          </w:p>
        </w:tc>
      </w:tr>
      <w:tr>
        <w:trPr>
          <w:trHeight w:val="213"/>
        </w:trPr>
        <w:tc>
          <w:tcPr>
            <w:tcW w:w="474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Total Marketplace revenues</w:t>
            </w:r>
          </w:p>
        </w:tc>
        <w:tc>
          <w:tcPr>
            <w:tcW w:w="1220" w:type="dxa"/>
            <w:vAlign w:val="bottom"/>
            <w:tcBorders>
              <w:top w:val="single" w:sz="8" w:color="auto"/>
            </w:tcBorders>
          </w:tcPr>
          <w:p>
            <w:pPr>
              <w:jc w:val="right"/>
              <w:ind w:right="1030"/>
              <w:spacing w:after="0" w:line="213" w:lineRule="exact"/>
              <w:rPr>
                <w:sz w:val="20"/>
                <w:szCs w:val="20"/>
                <w:color w:val="auto"/>
              </w:rPr>
            </w:pPr>
            <w:r>
              <w:rPr>
                <w:rFonts w:ascii="Calibri" w:cs="Calibri" w:eastAsia="Calibri" w:hAnsi="Calibri"/>
                <w:sz w:val="18"/>
                <w:szCs w:val="18"/>
                <w:b w:val="1"/>
                <w:bCs w:val="1"/>
                <w:color w:val="auto"/>
                <w:w w:val="87"/>
              </w:rPr>
              <w:t>$</w:t>
            </w:r>
          </w:p>
        </w:tc>
        <w:tc>
          <w:tcPr>
            <w:tcW w:w="6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511,094</w:t>
            </w:r>
          </w:p>
        </w:tc>
        <w:tc>
          <w:tcPr>
            <w:tcW w:w="36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jc w:val="right"/>
              <w:ind w:right="250"/>
              <w:spacing w:after="0" w:line="213" w:lineRule="exact"/>
              <w:rPr>
                <w:sz w:val="20"/>
                <w:szCs w:val="20"/>
                <w:color w:val="auto"/>
              </w:rPr>
            </w:pPr>
            <w:r>
              <w:rPr>
                <w:rFonts w:ascii="Calibri" w:cs="Calibri" w:eastAsia="Calibri" w:hAnsi="Calibri"/>
                <w:sz w:val="18"/>
                <w:szCs w:val="18"/>
                <w:b w:val="1"/>
                <w:bCs w:val="1"/>
                <w:color w:val="auto"/>
                <w:w w:val="87"/>
              </w:rPr>
              <w:t>$</w:t>
            </w:r>
          </w:p>
        </w:tc>
        <w:tc>
          <w:tcPr>
            <w:tcW w:w="14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389,668</w:t>
            </w:r>
          </w:p>
        </w:tc>
        <w:tc>
          <w:tcPr>
            <w:tcW w:w="32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jc w:val="right"/>
              <w:ind w:right="230"/>
              <w:spacing w:after="0" w:line="213" w:lineRule="exact"/>
              <w:rPr>
                <w:sz w:val="20"/>
                <w:szCs w:val="20"/>
                <w:color w:val="auto"/>
              </w:rPr>
            </w:pPr>
            <w:r>
              <w:rPr>
                <w:rFonts w:ascii="Calibri" w:cs="Calibri" w:eastAsia="Calibri" w:hAnsi="Calibri"/>
                <w:sz w:val="18"/>
                <w:szCs w:val="18"/>
                <w:b w:val="1"/>
                <w:bCs w:val="1"/>
                <w:color w:val="auto"/>
              </w:rPr>
              <w:t>$</w:t>
            </w:r>
          </w:p>
        </w:tc>
        <w:tc>
          <w:tcPr>
            <w:tcW w:w="14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23,281</w:t>
            </w:r>
          </w:p>
        </w:tc>
        <w:tc>
          <w:tcPr>
            <w:tcW w:w="100" w:type="dxa"/>
            <w:vAlign w:val="bottom"/>
            <w:tcBorders>
              <w:top w:val="single" w:sz="8" w:color="CFF0FC"/>
            </w:tcBorders>
          </w:tcPr>
          <w:p>
            <w:pPr>
              <w:spacing w:after="0"/>
              <w:rPr>
                <w:sz w:val="18"/>
                <w:szCs w:val="18"/>
                <w:color w:val="auto"/>
              </w:rPr>
            </w:pPr>
          </w:p>
        </w:tc>
      </w:tr>
      <w:tr>
        <w:trPr>
          <w:trHeight w:val="23"/>
        </w:trPr>
        <w:tc>
          <w:tcPr>
            <w:tcW w:w="47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-187960</wp:posOffset>
            </wp:positionV>
            <wp:extent cx="76835"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-187960</wp:posOffset>
            </wp:positionV>
            <wp:extent cx="68580"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color w:val="auto"/>
        </w:rPr>
        <w:t>During the years ended December 31, 2022, 2021, and 2020 Marketplace revenues consisted of the following event categories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2022</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670"/>
              <w:spacing w:after="0"/>
              <w:rPr>
                <w:sz w:val="20"/>
                <w:szCs w:val="20"/>
                <w:color w:val="auto"/>
              </w:rPr>
            </w:pPr>
            <w:r>
              <w:rPr>
                <w:rFonts w:ascii="Calibri" w:cs="Calibri" w:eastAsia="Calibri" w:hAnsi="Calibri"/>
                <w:sz w:val="18"/>
                <w:szCs w:val="18"/>
                <w:b w:val="1"/>
                <w:bCs w:val="1"/>
                <w:color w:val="auto"/>
              </w:rPr>
              <w:t>2021</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Calibri" w:cs="Calibri" w:eastAsia="Calibri" w:hAnsi="Calibri"/>
                <w:sz w:val="18"/>
                <w:szCs w:val="18"/>
                <w:b w:val="1"/>
                <w:bCs w:val="1"/>
                <w:color w:val="auto"/>
              </w:rPr>
              <w:t>2020</w:t>
            </w:r>
          </w:p>
        </w:tc>
        <w:tc>
          <w:tcPr>
            <w:tcW w:w="100" w:type="dxa"/>
            <w:vAlign w:val="bottom"/>
          </w:tcPr>
          <w:p>
            <w:pPr>
              <w:spacing w:after="0"/>
              <w:rPr>
                <w:sz w:val="19"/>
                <w:szCs w:val="19"/>
                <w:color w:val="auto"/>
              </w:rPr>
            </w:pPr>
          </w:p>
        </w:tc>
      </w:tr>
      <w:tr>
        <w:trPr>
          <w:trHeight w:val="37"/>
        </w:trPr>
        <w:tc>
          <w:tcPr>
            <w:tcW w:w="474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47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Marketplace revenues:</w:t>
            </w:r>
          </w:p>
        </w:tc>
        <w:tc>
          <w:tcPr>
            <w:tcW w:w="1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740" w:type="dxa"/>
            <w:vAlign w:val="bottom"/>
          </w:tcPr>
          <w:p>
            <w:pPr>
              <w:ind w:left="20"/>
              <w:spacing w:after="0" w:line="215" w:lineRule="exact"/>
              <w:rPr>
                <w:sz w:val="20"/>
                <w:szCs w:val="20"/>
                <w:color w:val="auto"/>
              </w:rPr>
            </w:pPr>
            <w:r>
              <w:rPr>
                <w:rFonts w:ascii="Calibri" w:cs="Calibri" w:eastAsia="Calibri" w:hAnsi="Calibri"/>
                <w:sz w:val="18"/>
                <w:szCs w:val="18"/>
                <w:color w:val="auto"/>
              </w:rPr>
              <w:t>Concerts</w:t>
            </w:r>
          </w:p>
        </w:tc>
        <w:tc>
          <w:tcPr>
            <w:tcW w:w="1240" w:type="dxa"/>
            <w:vAlign w:val="bottom"/>
          </w:tcPr>
          <w:p>
            <w:pPr>
              <w:jc w:val="right"/>
              <w:ind w:right="1050"/>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251,423</w:t>
            </w:r>
          </w:p>
        </w:tc>
        <w:tc>
          <w:tcPr>
            <w:tcW w:w="780" w:type="dxa"/>
            <w:vAlign w:val="bottom"/>
            <w:gridSpan w:val="2"/>
          </w:tcPr>
          <w:p>
            <w:pPr>
              <w:jc w:val="right"/>
              <w:ind w:right="250"/>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171,149</w:t>
            </w:r>
          </w:p>
        </w:tc>
        <w:tc>
          <w:tcPr>
            <w:tcW w:w="760" w:type="dxa"/>
            <w:vAlign w:val="bottom"/>
            <w:gridSpan w:val="2"/>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15,775</w:t>
            </w:r>
          </w:p>
        </w:tc>
        <w:tc>
          <w:tcPr>
            <w:tcW w:w="100" w:type="dxa"/>
            <w:vAlign w:val="bottom"/>
          </w:tcPr>
          <w:p>
            <w:pPr>
              <w:spacing w:after="0"/>
              <w:rPr>
                <w:sz w:val="18"/>
                <w:szCs w:val="18"/>
                <w:color w:val="auto"/>
              </w:rPr>
            </w:pPr>
          </w:p>
        </w:tc>
      </w:tr>
      <w:tr>
        <w:trPr>
          <w:trHeight w:val="28"/>
        </w:trPr>
        <w:tc>
          <w:tcPr>
            <w:tcW w:w="4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7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Sports</w:t>
            </w:r>
          </w:p>
        </w:tc>
        <w:tc>
          <w:tcPr>
            <w:tcW w:w="1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196,467</w:t>
            </w: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175,471</w:t>
            </w:r>
          </w:p>
        </w:tc>
        <w:tc>
          <w:tcPr>
            <w:tcW w:w="3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740" w:type="dxa"/>
            <w:vAlign w:val="bottom"/>
          </w:tcPr>
          <w:p>
            <w:pPr>
              <w:ind w:left="20"/>
              <w:spacing w:after="0" w:line="215" w:lineRule="exact"/>
              <w:rPr>
                <w:sz w:val="20"/>
                <w:szCs w:val="20"/>
                <w:color w:val="auto"/>
              </w:rPr>
            </w:pPr>
            <w:r>
              <w:rPr>
                <w:rFonts w:ascii="Calibri" w:cs="Calibri" w:eastAsia="Calibri" w:hAnsi="Calibri"/>
                <w:sz w:val="18"/>
                <w:szCs w:val="18"/>
                <w:color w:val="auto"/>
              </w:rPr>
              <w:t>Theater</w:t>
            </w:r>
          </w:p>
        </w:tc>
        <w:tc>
          <w:tcPr>
            <w:tcW w:w="124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61,483</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41,745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3,759</w:t>
            </w:r>
          </w:p>
        </w:tc>
        <w:tc>
          <w:tcPr>
            <w:tcW w:w="100" w:type="dxa"/>
            <w:vAlign w:val="bottom"/>
          </w:tcPr>
          <w:p>
            <w:pPr>
              <w:spacing w:after="0"/>
              <w:rPr>
                <w:sz w:val="18"/>
                <w:szCs w:val="18"/>
                <w:color w:val="auto"/>
              </w:rPr>
            </w:pPr>
          </w:p>
        </w:tc>
      </w:tr>
      <w:tr>
        <w:trPr>
          <w:trHeight w:val="28"/>
        </w:trPr>
        <w:tc>
          <w:tcPr>
            <w:tcW w:w="4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7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w:t>
            </w:r>
          </w:p>
        </w:tc>
        <w:tc>
          <w:tcPr>
            <w:tcW w:w="12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1,721</w:t>
            </w:r>
          </w:p>
        </w:tc>
        <w:tc>
          <w:tcPr>
            <w:tcW w:w="3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1,303</w:t>
            </w: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474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Total Marketplace revenues</w:t>
            </w:r>
          </w:p>
        </w:tc>
        <w:tc>
          <w:tcPr>
            <w:tcW w:w="1240" w:type="dxa"/>
            <w:vAlign w:val="bottom"/>
            <w:tcBorders>
              <w:top w:val="single" w:sz="8" w:color="auto"/>
            </w:tcBorders>
          </w:tcPr>
          <w:p>
            <w:pPr>
              <w:jc w:val="right"/>
              <w:ind w:right="1050"/>
              <w:spacing w:after="0" w:line="213" w:lineRule="exact"/>
              <w:rPr>
                <w:sz w:val="20"/>
                <w:szCs w:val="20"/>
                <w:color w:val="auto"/>
              </w:rPr>
            </w:pPr>
            <w:r>
              <w:rPr>
                <w:rFonts w:ascii="Calibri" w:cs="Calibri" w:eastAsia="Calibri" w:hAnsi="Calibri"/>
                <w:sz w:val="18"/>
                <w:szCs w:val="18"/>
                <w:b w:val="1"/>
                <w:bCs w:val="1"/>
                <w:color w:val="auto"/>
                <w:w w:val="87"/>
              </w:rPr>
              <w:t>$</w:t>
            </w:r>
          </w:p>
        </w:tc>
        <w:tc>
          <w:tcPr>
            <w:tcW w:w="6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511,094</w:t>
            </w:r>
          </w:p>
        </w:tc>
        <w:tc>
          <w:tcPr>
            <w:tcW w:w="34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jc w:val="right"/>
              <w:ind w:right="250"/>
              <w:spacing w:after="0" w:line="213" w:lineRule="exact"/>
              <w:rPr>
                <w:sz w:val="20"/>
                <w:szCs w:val="20"/>
                <w:color w:val="auto"/>
              </w:rPr>
            </w:pPr>
            <w:r>
              <w:rPr>
                <w:rFonts w:ascii="Calibri" w:cs="Calibri" w:eastAsia="Calibri" w:hAnsi="Calibri"/>
                <w:sz w:val="18"/>
                <w:szCs w:val="18"/>
                <w:b w:val="1"/>
                <w:bCs w:val="1"/>
                <w:color w:val="auto"/>
                <w:w w:val="87"/>
              </w:rPr>
              <w:t>$</w:t>
            </w:r>
          </w:p>
        </w:tc>
        <w:tc>
          <w:tcPr>
            <w:tcW w:w="14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389,668</w:t>
            </w:r>
          </w:p>
        </w:tc>
        <w:tc>
          <w:tcPr>
            <w:tcW w:w="32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jc w:val="right"/>
              <w:ind w:right="230"/>
              <w:spacing w:after="0" w:line="213" w:lineRule="exact"/>
              <w:rPr>
                <w:sz w:val="20"/>
                <w:szCs w:val="20"/>
                <w:color w:val="auto"/>
              </w:rPr>
            </w:pPr>
            <w:r>
              <w:rPr>
                <w:rFonts w:ascii="Calibri" w:cs="Calibri" w:eastAsia="Calibri" w:hAnsi="Calibri"/>
                <w:sz w:val="18"/>
                <w:szCs w:val="18"/>
                <w:b w:val="1"/>
                <w:bCs w:val="1"/>
                <w:color w:val="auto"/>
              </w:rPr>
              <w:t>$</w:t>
            </w:r>
          </w:p>
        </w:tc>
        <w:tc>
          <w:tcPr>
            <w:tcW w:w="14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23,281</w:t>
            </w:r>
          </w:p>
        </w:tc>
        <w:tc>
          <w:tcPr>
            <w:tcW w:w="100" w:type="dxa"/>
            <w:vAlign w:val="bottom"/>
            <w:tcBorders>
              <w:top w:val="single" w:sz="8" w:color="CFF0FC"/>
            </w:tcBorders>
          </w:tcPr>
          <w:p>
            <w:pPr>
              <w:spacing w:after="0"/>
              <w:rPr>
                <w:sz w:val="18"/>
                <w:szCs w:val="18"/>
                <w:color w:val="auto"/>
              </w:rPr>
            </w:pPr>
          </w:p>
        </w:tc>
      </w:tr>
      <w:tr>
        <w:trPr>
          <w:trHeight w:val="23"/>
        </w:trPr>
        <w:tc>
          <w:tcPr>
            <w:tcW w:w="47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-187960</wp:posOffset>
            </wp:positionV>
            <wp:extent cx="77470" cy="1885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-187960</wp:posOffset>
            </wp:positionV>
            <wp:extent cx="68580"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Within the Resale segment, we sell tckets we hold in inventory on resale tcket marketplaces. Resale revenues were $89.2 million, $53.4 million, and $11.8 million during the years ended December 31, 2022, 2021, and 2020, respectvely.</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2022, Deferred revenue in the Consolidated Balance Sheets was $32.0 million, which primarily relates to Vivid Seats Rewards, our loyalty program. Stamps earned under the program expire in two to three years, if not converted to credits, and credits expire in two to four years, if not redeemed. We expect to recognize all outstanding deferred revenue in the next seven years.</w:t>
      </w:r>
    </w:p>
    <w:p>
      <w:pPr>
        <w:spacing w:after="0" w:line="15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At December 31, 2021, $25.1 million was recorded as Deferred revenue, of which $16.2 million was recognized as revenue during year ended December 31, 2022. At December 31, 2020, $6.0 million was recorded as deferred revenue, of which $3.3 million was recognized as revenue during the year ended December 31, 2021.</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Segment Reporting</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reportable segments are Marketplace and Resale. Through the Marketplace segment, we act as an intermediary between tcket buyers and sellers within our online secondary tcket marketplace. Through the Resale segment, we acquire tckets from primary sellers, which we then sell through secondary tcket marketplaces. Revenues and contributon margin are used by our CODM to assess performance of the business. We defne contributon margin as revenues less cost of revenues and marketng and selling expenses.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do not report our assets, capital expenditures, general and administratve expenses or related depreciaton and amortzaton expenses by segment, because our CODM does not use this informaton to evaluate the performance of our operatng segments.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our segment informaton for the year ended December 31, 2022 (in thousands):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0" w:name="page81"/>
    <w:bookmarkEnd w:id="8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Marketplace</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619"/>
              <w:spacing w:after="0"/>
              <w:rPr>
                <w:sz w:val="20"/>
                <w:szCs w:val="20"/>
                <w:color w:val="auto"/>
              </w:rPr>
            </w:pPr>
            <w:r>
              <w:rPr>
                <w:rFonts w:ascii="Calibri" w:cs="Calibri" w:eastAsia="Calibri" w:hAnsi="Calibri"/>
                <w:sz w:val="16"/>
                <w:szCs w:val="16"/>
                <w:b w:val="1"/>
                <w:bCs w:val="1"/>
                <w:color w:val="auto"/>
              </w:rPr>
              <w:t>Resale</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660"/>
              <w:spacing w:after="0"/>
              <w:rPr>
                <w:sz w:val="20"/>
                <w:szCs w:val="20"/>
                <w:color w:val="auto"/>
              </w:rPr>
            </w:pPr>
            <w:r>
              <w:rPr>
                <w:rFonts w:ascii="Calibri" w:cs="Calibri" w:eastAsia="Calibri" w:hAnsi="Calibri"/>
                <w:sz w:val="16"/>
                <w:szCs w:val="16"/>
                <w:b w:val="1"/>
                <w:bCs w:val="1"/>
                <w:color w:val="auto"/>
              </w:rPr>
              <w:t>Consolidated</w:t>
            </w:r>
          </w:p>
        </w:tc>
      </w:tr>
      <w:tr>
        <w:trPr>
          <w:trHeight w:val="41"/>
        </w:trPr>
        <w:tc>
          <w:tcPr>
            <w:tcW w:w="47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478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Revenues</w:t>
            </w:r>
          </w:p>
        </w:tc>
        <w:tc>
          <w:tcPr>
            <w:tcW w:w="1440" w:type="dxa"/>
            <w:vAlign w:val="bottom"/>
            <w:tcBorders>
              <w:bottom w:val="single" w:sz="8" w:color="CFF0FC"/>
            </w:tcBorders>
            <w:shd w:val="clear" w:color="auto" w:fill="CFF0FC"/>
          </w:tcPr>
          <w:p>
            <w:pPr>
              <w:jc w:val="right"/>
              <w:ind w:right="1279"/>
              <w:spacing w:after="0" w:line="187" w:lineRule="exact"/>
              <w:rPr>
                <w:sz w:val="20"/>
                <w:szCs w:val="20"/>
                <w:color w:val="auto"/>
              </w:rPr>
            </w:pPr>
            <w:r>
              <w:rPr>
                <w:rFonts w:ascii="Calibri" w:cs="Calibri" w:eastAsia="Calibri" w:hAnsi="Calibri"/>
                <w:sz w:val="16"/>
                <w:szCs w:val="16"/>
                <w:color w:val="auto"/>
                <w:w w:val="73"/>
              </w:rPr>
              <w:t>$</w:t>
            </w:r>
          </w:p>
        </w:tc>
        <w:tc>
          <w:tcPr>
            <w:tcW w:w="5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511,094</w:t>
            </w:r>
          </w:p>
        </w:tc>
        <w:tc>
          <w:tcPr>
            <w:tcW w:w="2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jc w:val="right"/>
              <w:ind w:right="219"/>
              <w:spacing w:after="0" w:line="187" w:lineRule="exact"/>
              <w:rPr>
                <w:sz w:val="20"/>
                <w:szCs w:val="20"/>
                <w:color w:val="auto"/>
              </w:rPr>
            </w:pPr>
            <w:r>
              <w:rPr>
                <w:rFonts w:ascii="Calibri" w:cs="Calibri" w:eastAsia="Calibri" w:hAnsi="Calibri"/>
                <w:sz w:val="16"/>
                <w:szCs w:val="16"/>
                <w:color w:val="auto"/>
                <w:w w:val="97"/>
              </w:rPr>
              <w:t>$</w:t>
            </w:r>
          </w:p>
        </w:tc>
        <w:tc>
          <w:tcPr>
            <w:tcW w:w="14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89,180</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159"/>
              <w:spacing w:after="0" w:line="187" w:lineRule="exact"/>
              <w:rPr>
                <w:sz w:val="20"/>
                <w:szCs w:val="20"/>
                <w:color w:val="auto"/>
              </w:rPr>
            </w:pPr>
            <w:r>
              <w:rPr>
                <w:rFonts w:ascii="Calibri" w:cs="Calibri" w:eastAsia="Calibri" w:hAnsi="Calibri"/>
                <w:sz w:val="16"/>
                <w:szCs w:val="16"/>
                <w:color w:val="auto"/>
                <w:w w:val="73"/>
              </w:rPr>
              <w:t>$</w:t>
            </w:r>
          </w:p>
        </w:tc>
        <w:tc>
          <w:tcPr>
            <w:tcW w:w="16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600,274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4780" w:type="dxa"/>
            <w:vAlign w:val="bottom"/>
          </w:tcPr>
          <w:p>
            <w:pPr>
              <w:ind w:left="20"/>
              <w:spacing w:after="0" w:line="193" w:lineRule="exact"/>
              <w:rPr>
                <w:sz w:val="20"/>
                <w:szCs w:val="20"/>
                <w:color w:val="auto"/>
              </w:rPr>
            </w:pPr>
            <w:r>
              <w:rPr>
                <w:rFonts w:ascii="Calibri" w:cs="Calibri" w:eastAsia="Calibri" w:hAnsi="Calibri"/>
                <w:sz w:val="16"/>
                <w:szCs w:val="16"/>
                <w:color w:val="auto"/>
              </w:rPr>
              <w:t>Cost of revenues (exclusive of depreciaton and amortzaton shown</w:t>
            </w: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4780" w:type="dxa"/>
            <w:vAlign w:val="bottom"/>
          </w:tcPr>
          <w:p>
            <w:pPr>
              <w:ind w:left="20"/>
              <w:spacing w:after="0"/>
              <w:rPr>
                <w:sz w:val="20"/>
                <w:szCs w:val="20"/>
                <w:color w:val="auto"/>
              </w:rPr>
            </w:pPr>
            <w:r>
              <w:rPr>
                <w:rFonts w:ascii="Calibri" w:cs="Calibri" w:eastAsia="Calibri" w:hAnsi="Calibri"/>
                <w:sz w:val="16"/>
                <w:szCs w:val="16"/>
                <w:color w:val="auto"/>
              </w:rPr>
              <w:t>separately below)</w:t>
            </w:r>
          </w:p>
        </w:tc>
        <w:tc>
          <w:tcPr>
            <w:tcW w:w="1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alibri" w:cs="Calibri" w:eastAsia="Calibri" w:hAnsi="Calibri"/>
                <w:sz w:val="16"/>
                <w:szCs w:val="16"/>
                <w:color w:val="auto"/>
              </w:rPr>
              <w:t>73,126</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67,382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Calibri" w:cs="Calibri" w:eastAsia="Calibri" w:hAnsi="Calibri"/>
                <w:sz w:val="16"/>
                <w:szCs w:val="16"/>
                <w:color w:val="auto"/>
              </w:rPr>
              <w:t>140,508</w:t>
            </w:r>
          </w:p>
        </w:tc>
        <w:tc>
          <w:tcPr>
            <w:tcW w:w="100" w:type="dxa"/>
            <w:vAlign w:val="bottom"/>
          </w:tcPr>
          <w:p>
            <w:pPr>
              <w:spacing w:after="0"/>
              <w:rPr>
                <w:sz w:val="17"/>
                <w:szCs w:val="17"/>
                <w:color w:val="auto"/>
              </w:rPr>
            </w:pPr>
          </w:p>
        </w:tc>
      </w:tr>
      <w:tr>
        <w:trPr>
          <w:trHeight w:val="41"/>
        </w:trPr>
        <w:tc>
          <w:tcPr>
            <w:tcW w:w="47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5"/>
        </w:trPr>
        <w:tc>
          <w:tcPr>
            <w:tcW w:w="4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Marketng and selling</w:t>
            </w:r>
          </w:p>
        </w:tc>
        <w:tc>
          <w:tcPr>
            <w:tcW w:w="14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248,375</w:t>
            </w: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248,375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7"/>
        </w:trPr>
        <w:tc>
          <w:tcPr>
            <w:tcW w:w="478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6"/>
                <w:szCs w:val="16"/>
                <w:b w:val="1"/>
                <w:bCs w:val="1"/>
                <w:color w:val="auto"/>
              </w:rPr>
              <w:t>Contributon margin</w:t>
            </w:r>
          </w:p>
        </w:tc>
        <w:tc>
          <w:tcPr>
            <w:tcW w:w="1440" w:type="dxa"/>
            <w:vAlign w:val="bottom"/>
            <w:tcBorders>
              <w:top w:val="single" w:sz="8" w:color="auto"/>
            </w:tcBorders>
          </w:tcPr>
          <w:p>
            <w:pPr>
              <w:jc w:val="right"/>
              <w:ind w:right="1279"/>
              <w:spacing w:after="0" w:line="187" w:lineRule="exact"/>
              <w:rPr>
                <w:sz w:val="20"/>
                <w:szCs w:val="20"/>
                <w:color w:val="auto"/>
              </w:rPr>
            </w:pPr>
            <w:r>
              <w:rPr>
                <w:rFonts w:ascii="Calibri" w:cs="Calibri" w:eastAsia="Calibri" w:hAnsi="Calibri"/>
                <w:sz w:val="16"/>
                <w:szCs w:val="16"/>
                <w:b w:val="1"/>
                <w:bCs w:val="1"/>
                <w:color w:val="auto"/>
                <w:w w:val="73"/>
              </w:rPr>
              <w:t>$</w:t>
            </w:r>
          </w:p>
        </w:tc>
        <w:tc>
          <w:tcPr>
            <w:tcW w:w="5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189,593</w:t>
            </w:r>
          </w:p>
        </w:tc>
        <w:tc>
          <w:tcPr>
            <w:tcW w:w="26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jc w:val="right"/>
              <w:ind w:right="219"/>
              <w:spacing w:after="0" w:line="187" w:lineRule="exact"/>
              <w:rPr>
                <w:sz w:val="20"/>
                <w:szCs w:val="20"/>
                <w:color w:val="auto"/>
              </w:rPr>
            </w:pPr>
            <w:r>
              <w:rPr>
                <w:rFonts w:ascii="Calibri" w:cs="Calibri" w:eastAsia="Calibri" w:hAnsi="Calibri"/>
                <w:sz w:val="16"/>
                <w:szCs w:val="16"/>
                <w:b w:val="1"/>
                <w:bCs w:val="1"/>
                <w:color w:val="auto"/>
                <w:w w:val="97"/>
              </w:rPr>
              <w:t>$</w:t>
            </w:r>
          </w:p>
        </w:tc>
        <w:tc>
          <w:tcPr>
            <w:tcW w:w="14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21,798</w:t>
            </w:r>
          </w:p>
        </w:tc>
        <w:tc>
          <w:tcPr>
            <w:tcW w:w="24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211,391</w:t>
            </w:r>
          </w:p>
        </w:tc>
        <w:tc>
          <w:tcPr>
            <w:tcW w:w="100" w:type="dxa"/>
            <w:vAlign w:val="bottom"/>
            <w:tcBorders>
              <w:top w:val="single" w:sz="8" w:color="CFF0FC"/>
            </w:tcBorders>
          </w:tcPr>
          <w:p>
            <w:pPr>
              <w:spacing w:after="0"/>
              <w:rPr>
                <w:sz w:val="16"/>
                <w:szCs w:val="16"/>
                <w:color w:val="auto"/>
              </w:rPr>
            </w:pPr>
          </w:p>
        </w:tc>
      </w:tr>
      <w:tr>
        <w:trPr>
          <w:trHeight w:val="36"/>
        </w:trPr>
        <w:tc>
          <w:tcPr>
            <w:tcW w:w="47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4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General and administratve</w:t>
            </w:r>
          </w:p>
        </w:tc>
        <w:tc>
          <w:tcPr>
            <w:tcW w:w="14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127,619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4780" w:type="dxa"/>
            <w:vAlign w:val="bottom"/>
          </w:tcPr>
          <w:p>
            <w:pPr>
              <w:ind w:left="20"/>
              <w:spacing w:after="0" w:line="193" w:lineRule="exact"/>
              <w:rPr>
                <w:sz w:val="20"/>
                <w:szCs w:val="20"/>
                <w:color w:val="auto"/>
              </w:rPr>
            </w:pPr>
            <w:r>
              <w:rPr>
                <w:rFonts w:ascii="Calibri" w:cs="Calibri" w:eastAsia="Calibri" w:hAnsi="Calibri"/>
                <w:sz w:val="16"/>
                <w:szCs w:val="16"/>
                <w:color w:val="auto"/>
              </w:rPr>
              <w:t>Depreciaton and amortzaton</w:t>
            </w: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line="193" w:lineRule="exact"/>
              <w:rPr>
                <w:sz w:val="20"/>
                <w:szCs w:val="20"/>
                <w:color w:val="auto"/>
              </w:rPr>
            </w:pPr>
            <w:r>
              <w:rPr>
                <w:rFonts w:ascii="Calibri" w:cs="Calibri" w:eastAsia="Calibri" w:hAnsi="Calibri"/>
                <w:sz w:val="16"/>
                <w:szCs w:val="16"/>
                <w:color w:val="auto"/>
              </w:rPr>
              <w:t>7,732</w:t>
            </w:r>
          </w:p>
        </w:tc>
        <w:tc>
          <w:tcPr>
            <w:tcW w:w="100" w:type="dxa"/>
            <w:vAlign w:val="bottom"/>
          </w:tcPr>
          <w:p>
            <w:pPr>
              <w:spacing w:after="0"/>
              <w:rPr>
                <w:sz w:val="16"/>
                <w:szCs w:val="16"/>
                <w:color w:val="auto"/>
              </w:rPr>
            </w:pPr>
          </w:p>
        </w:tc>
      </w:tr>
      <w:tr>
        <w:trPr>
          <w:trHeight w:val="36"/>
        </w:trPr>
        <w:tc>
          <w:tcPr>
            <w:tcW w:w="47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r>
      <w:tr>
        <w:trPr>
          <w:trHeight w:val="234"/>
        </w:trPr>
        <w:tc>
          <w:tcPr>
            <w:tcW w:w="4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Change in fair value of contngent consideraton</w:t>
            </w:r>
          </w:p>
        </w:tc>
        <w:tc>
          <w:tcPr>
            <w:tcW w:w="14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gridSpan w:val="2"/>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(2,065 )</w:t>
            </w:r>
          </w:p>
        </w:tc>
      </w:tr>
      <w:tr>
        <w:trPr>
          <w:trHeight w:val="187"/>
        </w:trPr>
        <w:tc>
          <w:tcPr>
            <w:tcW w:w="478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6"/>
                <w:szCs w:val="16"/>
                <w:b w:val="1"/>
                <w:bCs w:val="1"/>
                <w:color w:val="auto"/>
              </w:rPr>
              <w:t>Income from operatons</w:t>
            </w:r>
          </w:p>
        </w:tc>
        <w:tc>
          <w:tcPr>
            <w:tcW w:w="1440" w:type="dxa"/>
            <w:vAlign w:val="bottom"/>
            <w:tcBorders>
              <w:top w:val="single" w:sz="8" w:color="CFF0FC"/>
            </w:tcBorders>
          </w:tcPr>
          <w:p>
            <w:pPr>
              <w:spacing w:after="0"/>
              <w:rPr>
                <w:sz w:val="16"/>
                <w:szCs w:val="16"/>
                <w:color w:val="auto"/>
              </w:rPr>
            </w:pPr>
          </w:p>
        </w:tc>
        <w:tc>
          <w:tcPr>
            <w:tcW w:w="58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144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78,105</w:t>
            </w:r>
          </w:p>
        </w:tc>
        <w:tc>
          <w:tcPr>
            <w:tcW w:w="100" w:type="dxa"/>
            <w:vAlign w:val="bottom"/>
            <w:tcBorders>
              <w:top w:val="single" w:sz="8" w:color="CFF0FC"/>
            </w:tcBorders>
          </w:tcPr>
          <w:p>
            <w:pPr>
              <w:spacing w:after="0"/>
              <w:rPr>
                <w:sz w:val="16"/>
                <w:szCs w:val="16"/>
                <w:color w:val="auto"/>
              </w:rPr>
            </w:pPr>
          </w:p>
        </w:tc>
      </w:tr>
      <w:tr>
        <w:trPr>
          <w:trHeight w:val="36"/>
        </w:trPr>
        <w:tc>
          <w:tcPr>
            <w:tcW w:w="47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4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Interest expense – net</w:t>
            </w:r>
          </w:p>
        </w:tc>
        <w:tc>
          <w:tcPr>
            <w:tcW w:w="14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12,858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4780" w:type="dxa"/>
            <w:vAlign w:val="bottom"/>
          </w:tcPr>
          <w:p>
            <w:pPr>
              <w:ind w:left="20"/>
              <w:spacing w:after="0" w:line="193" w:lineRule="exact"/>
              <w:rPr>
                <w:sz w:val="20"/>
                <w:szCs w:val="20"/>
                <w:color w:val="auto"/>
              </w:rPr>
            </w:pPr>
            <w:r>
              <w:rPr>
                <w:rFonts w:ascii="Calibri" w:cs="Calibri" w:eastAsia="Calibri" w:hAnsi="Calibri"/>
                <w:sz w:val="16"/>
                <w:szCs w:val="16"/>
                <w:color w:val="auto"/>
              </w:rPr>
              <w:t>Loss on extnguishment of debt</w:t>
            </w: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line="193" w:lineRule="exact"/>
              <w:rPr>
                <w:sz w:val="20"/>
                <w:szCs w:val="20"/>
                <w:color w:val="auto"/>
              </w:rPr>
            </w:pPr>
            <w:r>
              <w:rPr>
                <w:rFonts w:ascii="Calibri" w:cs="Calibri" w:eastAsia="Calibri" w:hAnsi="Calibri"/>
                <w:sz w:val="16"/>
                <w:szCs w:val="16"/>
                <w:color w:val="auto"/>
              </w:rPr>
              <w:t>4,285</w:t>
            </w:r>
          </w:p>
        </w:tc>
        <w:tc>
          <w:tcPr>
            <w:tcW w:w="100" w:type="dxa"/>
            <w:vAlign w:val="bottom"/>
          </w:tcPr>
          <w:p>
            <w:pPr>
              <w:spacing w:after="0"/>
              <w:rPr>
                <w:sz w:val="16"/>
                <w:szCs w:val="16"/>
                <w:color w:val="auto"/>
              </w:rPr>
            </w:pPr>
          </w:p>
        </w:tc>
      </w:tr>
      <w:tr>
        <w:trPr>
          <w:trHeight w:val="36"/>
        </w:trPr>
        <w:tc>
          <w:tcPr>
            <w:tcW w:w="47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r>
      <w:tr>
        <w:trPr>
          <w:trHeight w:val="234"/>
        </w:trPr>
        <w:tc>
          <w:tcPr>
            <w:tcW w:w="4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Other income</w:t>
            </w:r>
          </w:p>
        </w:tc>
        <w:tc>
          <w:tcPr>
            <w:tcW w:w="14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gridSpan w:val="2"/>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(8,227 )</w:t>
            </w:r>
          </w:p>
        </w:tc>
      </w:tr>
      <w:tr>
        <w:trPr>
          <w:trHeight w:val="196"/>
        </w:trPr>
        <w:tc>
          <w:tcPr>
            <w:tcW w:w="4780" w:type="dxa"/>
            <w:vAlign w:val="bottom"/>
            <w:tcBorders>
              <w:top w:val="single" w:sz="8" w:color="CFF0FC"/>
            </w:tcBorders>
          </w:tcPr>
          <w:p>
            <w:pPr>
              <w:ind w:left="20"/>
              <w:spacing w:after="0"/>
              <w:rPr>
                <w:sz w:val="20"/>
                <w:szCs w:val="20"/>
                <w:color w:val="auto"/>
              </w:rPr>
            </w:pPr>
            <w:r>
              <w:rPr>
                <w:rFonts w:ascii="Calibri" w:cs="Calibri" w:eastAsia="Calibri" w:hAnsi="Calibri"/>
                <w:sz w:val="16"/>
                <w:szCs w:val="16"/>
                <w:b w:val="1"/>
                <w:bCs w:val="1"/>
                <w:color w:val="auto"/>
              </w:rPr>
              <w:t>Income before income taxes</w:t>
            </w:r>
          </w:p>
        </w:tc>
        <w:tc>
          <w:tcPr>
            <w:tcW w:w="1440" w:type="dxa"/>
            <w:vAlign w:val="bottom"/>
            <w:tcBorders>
              <w:top w:val="single" w:sz="8" w:color="CFF0FC"/>
            </w:tcBorders>
          </w:tcPr>
          <w:p>
            <w:pPr>
              <w:spacing w:after="0"/>
              <w:rPr>
                <w:sz w:val="17"/>
                <w:szCs w:val="17"/>
                <w:color w:val="auto"/>
              </w:rPr>
            </w:pPr>
          </w:p>
        </w:tc>
        <w:tc>
          <w:tcPr>
            <w:tcW w:w="58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jc w:val="right"/>
              <w:ind w:right="159"/>
              <w:spacing w:after="0" w:line="193" w:lineRule="exact"/>
              <w:rPr>
                <w:sz w:val="20"/>
                <w:szCs w:val="20"/>
                <w:color w:val="auto"/>
              </w:rPr>
            </w:pPr>
            <w:r>
              <w:rPr>
                <w:rFonts w:ascii="Calibri" w:cs="Calibri" w:eastAsia="Calibri" w:hAnsi="Calibri"/>
                <w:sz w:val="16"/>
                <w:szCs w:val="16"/>
                <w:b w:val="1"/>
                <w:bCs w:val="1"/>
                <w:color w:val="auto"/>
                <w:w w:val="73"/>
              </w:rPr>
              <w:t>$</w:t>
            </w:r>
          </w:p>
        </w:tc>
        <w:tc>
          <w:tcPr>
            <w:tcW w:w="1680" w:type="dxa"/>
            <w:vAlign w:val="bottom"/>
            <w:tcBorders>
              <w:top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69,189</w:t>
            </w:r>
          </w:p>
        </w:tc>
        <w:tc>
          <w:tcPr>
            <w:tcW w:w="100" w:type="dxa"/>
            <w:vAlign w:val="bottom"/>
            <w:tcBorders>
              <w:top w:val="single" w:sz="8" w:color="CFF0FC"/>
            </w:tcBorders>
          </w:tcPr>
          <w:p>
            <w:pPr>
              <w:spacing w:after="0"/>
              <w:rPr>
                <w:sz w:val="17"/>
                <w:szCs w:val="17"/>
                <w:color w:val="auto"/>
              </w:rPr>
            </w:pPr>
          </w:p>
        </w:tc>
      </w:tr>
      <w:tr>
        <w:trPr>
          <w:trHeight w:val="28"/>
        </w:trPr>
        <w:tc>
          <w:tcPr>
            <w:tcW w:w="4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-1362075</wp:posOffset>
            </wp:positionV>
            <wp:extent cx="7747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-1362075</wp:posOffset>
            </wp:positionV>
            <wp:extent cx="6858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our segment informaton for the year ended December 31, 2021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Marketplace</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619"/>
              <w:spacing w:after="0"/>
              <w:rPr>
                <w:sz w:val="20"/>
                <w:szCs w:val="20"/>
                <w:color w:val="auto"/>
              </w:rPr>
            </w:pPr>
            <w:r>
              <w:rPr>
                <w:rFonts w:ascii="Calibri" w:cs="Calibri" w:eastAsia="Calibri" w:hAnsi="Calibri"/>
                <w:sz w:val="16"/>
                <w:szCs w:val="16"/>
                <w:b w:val="1"/>
                <w:bCs w:val="1"/>
                <w:color w:val="auto"/>
              </w:rPr>
              <w:t>Resale</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579"/>
              <w:spacing w:after="0"/>
              <w:rPr>
                <w:sz w:val="20"/>
                <w:szCs w:val="20"/>
                <w:color w:val="auto"/>
              </w:rPr>
            </w:pPr>
            <w:r>
              <w:rPr>
                <w:rFonts w:ascii="Calibri" w:cs="Calibri" w:eastAsia="Calibri" w:hAnsi="Calibri"/>
                <w:sz w:val="16"/>
                <w:szCs w:val="16"/>
                <w:b w:val="1"/>
                <w:bCs w:val="1"/>
                <w:color w:val="auto"/>
              </w:rPr>
              <w:t>Consolidated</w:t>
            </w:r>
          </w:p>
        </w:tc>
      </w:tr>
      <w:tr>
        <w:trPr>
          <w:trHeight w:val="41"/>
        </w:trPr>
        <w:tc>
          <w:tcPr>
            <w:tcW w:w="47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478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Revenues</w:t>
            </w:r>
          </w:p>
        </w:tc>
        <w:tc>
          <w:tcPr>
            <w:tcW w:w="1440" w:type="dxa"/>
            <w:vAlign w:val="bottom"/>
            <w:tcBorders>
              <w:bottom w:val="single" w:sz="8" w:color="CFF0FC"/>
            </w:tcBorders>
            <w:shd w:val="clear" w:color="auto" w:fill="CFF0FC"/>
          </w:tcPr>
          <w:p>
            <w:pPr>
              <w:jc w:val="right"/>
              <w:ind w:right="1279"/>
              <w:spacing w:after="0" w:line="187" w:lineRule="exact"/>
              <w:rPr>
                <w:sz w:val="20"/>
                <w:szCs w:val="20"/>
                <w:color w:val="auto"/>
              </w:rPr>
            </w:pPr>
            <w:r>
              <w:rPr>
                <w:rFonts w:ascii="Calibri" w:cs="Calibri" w:eastAsia="Calibri" w:hAnsi="Calibri"/>
                <w:sz w:val="16"/>
                <w:szCs w:val="16"/>
                <w:color w:val="auto"/>
                <w:w w:val="73"/>
              </w:rPr>
              <w:t>$</w:t>
            </w:r>
          </w:p>
        </w:tc>
        <w:tc>
          <w:tcPr>
            <w:tcW w:w="5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389,668</w:t>
            </w:r>
          </w:p>
        </w:tc>
        <w:tc>
          <w:tcPr>
            <w:tcW w:w="2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jc w:val="right"/>
              <w:ind w:right="219"/>
              <w:spacing w:after="0" w:line="187" w:lineRule="exact"/>
              <w:rPr>
                <w:sz w:val="20"/>
                <w:szCs w:val="20"/>
                <w:color w:val="auto"/>
              </w:rPr>
            </w:pPr>
            <w:r>
              <w:rPr>
                <w:rFonts w:ascii="Calibri" w:cs="Calibri" w:eastAsia="Calibri" w:hAnsi="Calibri"/>
                <w:sz w:val="16"/>
                <w:szCs w:val="16"/>
                <w:color w:val="auto"/>
                <w:w w:val="97"/>
              </w:rPr>
              <w:t>$</w:t>
            </w:r>
          </w:p>
        </w:tc>
        <w:tc>
          <w:tcPr>
            <w:tcW w:w="14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53,370</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159"/>
              <w:spacing w:after="0" w:line="187" w:lineRule="exact"/>
              <w:rPr>
                <w:sz w:val="20"/>
                <w:szCs w:val="20"/>
                <w:color w:val="auto"/>
              </w:rPr>
            </w:pPr>
            <w:r>
              <w:rPr>
                <w:rFonts w:ascii="Calibri" w:cs="Calibri" w:eastAsia="Calibri" w:hAnsi="Calibri"/>
                <w:sz w:val="16"/>
                <w:szCs w:val="16"/>
                <w:color w:val="auto"/>
                <w:w w:val="73"/>
              </w:rPr>
              <w:t>$</w:t>
            </w:r>
          </w:p>
        </w:tc>
        <w:tc>
          <w:tcPr>
            <w:tcW w:w="16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443,038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4780" w:type="dxa"/>
            <w:vAlign w:val="bottom"/>
          </w:tcPr>
          <w:p>
            <w:pPr>
              <w:ind w:left="20"/>
              <w:spacing w:after="0" w:line="193" w:lineRule="exact"/>
              <w:rPr>
                <w:sz w:val="20"/>
                <w:szCs w:val="20"/>
                <w:color w:val="auto"/>
              </w:rPr>
            </w:pPr>
            <w:r>
              <w:rPr>
                <w:rFonts w:ascii="Calibri" w:cs="Calibri" w:eastAsia="Calibri" w:hAnsi="Calibri"/>
                <w:sz w:val="16"/>
                <w:szCs w:val="16"/>
                <w:color w:val="auto"/>
              </w:rPr>
              <w:t>Cost of revenues (exclusive of depreciaton and amortzaton shown</w:t>
            </w: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4780" w:type="dxa"/>
            <w:vAlign w:val="bottom"/>
          </w:tcPr>
          <w:p>
            <w:pPr>
              <w:ind w:left="20"/>
              <w:spacing w:after="0"/>
              <w:rPr>
                <w:sz w:val="20"/>
                <w:szCs w:val="20"/>
                <w:color w:val="auto"/>
              </w:rPr>
            </w:pPr>
            <w:r>
              <w:rPr>
                <w:rFonts w:ascii="Calibri" w:cs="Calibri" w:eastAsia="Calibri" w:hAnsi="Calibri"/>
                <w:sz w:val="16"/>
                <w:szCs w:val="16"/>
                <w:color w:val="auto"/>
              </w:rPr>
              <w:t>separately below)</w:t>
            </w:r>
          </w:p>
        </w:tc>
        <w:tc>
          <w:tcPr>
            <w:tcW w:w="1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alibri" w:cs="Calibri" w:eastAsia="Calibri" w:hAnsi="Calibri"/>
                <w:sz w:val="16"/>
                <w:szCs w:val="16"/>
                <w:color w:val="auto"/>
              </w:rPr>
              <w:t>51,702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38,915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Calibri" w:cs="Calibri" w:eastAsia="Calibri" w:hAnsi="Calibri"/>
                <w:sz w:val="16"/>
                <w:szCs w:val="16"/>
                <w:color w:val="auto"/>
              </w:rPr>
              <w:t>90,617</w:t>
            </w:r>
          </w:p>
        </w:tc>
        <w:tc>
          <w:tcPr>
            <w:tcW w:w="100" w:type="dxa"/>
            <w:vAlign w:val="bottom"/>
          </w:tcPr>
          <w:p>
            <w:pPr>
              <w:spacing w:after="0"/>
              <w:rPr>
                <w:sz w:val="17"/>
                <w:szCs w:val="17"/>
                <w:color w:val="auto"/>
              </w:rPr>
            </w:pPr>
          </w:p>
        </w:tc>
      </w:tr>
      <w:tr>
        <w:trPr>
          <w:trHeight w:val="41"/>
        </w:trPr>
        <w:tc>
          <w:tcPr>
            <w:tcW w:w="47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4"/>
        </w:trPr>
        <w:tc>
          <w:tcPr>
            <w:tcW w:w="4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Marketng and selling</w:t>
            </w:r>
          </w:p>
        </w:tc>
        <w:tc>
          <w:tcPr>
            <w:tcW w:w="14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181,358</w:t>
            </w: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181,358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7"/>
        </w:trPr>
        <w:tc>
          <w:tcPr>
            <w:tcW w:w="478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6"/>
                <w:szCs w:val="16"/>
                <w:b w:val="1"/>
                <w:bCs w:val="1"/>
                <w:color w:val="auto"/>
              </w:rPr>
              <w:t>Contributon margin</w:t>
            </w:r>
          </w:p>
        </w:tc>
        <w:tc>
          <w:tcPr>
            <w:tcW w:w="1440" w:type="dxa"/>
            <w:vAlign w:val="bottom"/>
            <w:tcBorders>
              <w:top w:val="single" w:sz="8" w:color="auto"/>
            </w:tcBorders>
          </w:tcPr>
          <w:p>
            <w:pPr>
              <w:jc w:val="right"/>
              <w:ind w:right="1279"/>
              <w:spacing w:after="0" w:line="187" w:lineRule="exact"/>
              <w:rPr>
                <w:sz w:val="20"/>
                <w:szCs w:val="20"/>
                <w:color w:val="auto"/>
              </w:rPr>
            </w:pPr>
            <w:r>
              <w:rPr>
                <w:rFonts w:ascii="Calibri" w:cs="Calibri" w:eastAsia="Calibri" w:hAnsi="Calibri"/>
                <w:sz w:val="16"/>
                <w:szCs w:val="16"/>
                <w:b w:val="1"/>
                <w:bCs w:val="1"/>
                <w:color w:val="auto"/>
                <w:w w:val="73"/>
              </w:rPr>
              <w:t>$</w:t>
            </w:r>
          </w:p>
        </w:tc>
        <w:tc>
          <w:tcPr>
            <w:tcW w:w="5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156,608</w:t>
            </w:r>
          </w:p>
        </w:tc>
        <w:tc>
          <w:tcPr>
            <w:tcW w:w="26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jc w:val="right"/>
              <w:ind w:right="219"/>
              <w:spacing w:after="0" w:line="187" w:lineRule="exact"/>
              <w:rPr>
                <w:sz w:val="20"/>
                <w:szCs w:val="20"/>
                <w:color w:val="auto"/>
              </w:rPr>
            </w:pPr>
            <w:r>
              <w:rPr>
                <w:rFonts w:ascii="Calibri" w:cs="Calibri" w:eastAsia="Calibri" w:hAnsi="Calibri"/>
                <w:sz w:val="16"/>
                <w:szCs w:val="16"/>
                <w:b w:val="1"/>
                <w:bCs w:val="1"/>
                <w:color w:val="auto"/>
                <w:w w:val="97"/>
              </w:rPr>
              <w:t>$</w:t>
            </w:r>
          </w:p>
        </w:tc>
        <w:tc>
          <w:tcPr>
            <w:tcW w:w="14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14,455</w:t>
            </w:r>
          </w:p>
        </w:tc>
        <w:tc>
          <w:tcPr>
            <w:tcW w:w="24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171,063</w:t>
            </w:r>
          </w:p>
        </w:tc>
        <w:tc>
          <w:tcPr>
            <w:tcW w:w="100" w:type="dxa"/>
            <w:vAlign w:val="bottom"/>
            <w:tcBorders>
              <w:top w:val="single" w:sz="8" w:color="CFF0FC"/>
            </w:tcBorders>
          </w:tcPr>
          <w:p>
            <w:pPr>
              <w:spacing w:after="0"/>
              <w:rPr>
                <w:sz w:val="16"/>
                <w:szCs w:val="16"/>
                <w:color w:val="auto"/>
              </w:rPr>
            </w:pPr>
          </w:p>
        </w:tc>
      </w:tr>
      <w:tr>
        <w:trPr>
          <w:trHeight w:val="36"/>
        </w:trPr>
        <w:tc>
          <w:tcPr>
            <w:tcW w:w="47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4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General and administratve</w:t>
            </w:r>
          </w:p>
        </w:tc>
        <w:tc>
          <w:tcPr>
            <w:tcW w:w="14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92,170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4780" w:type="dxa"/>
            <w:vAlign w:val="bottom"/>
          </w:tcPr>
          <w:p>
            <w:pPr>
              <w:ind w:left="20"/>
              <w:spacing w:after="0" w:line="193" w:lineRule="exact"/>
              <w:rPr>
                <w:sz w:val="20"/>
                <w:szCs w:val="20"/>
                <w:color w:val="auto"/>
              </w:rPr>
            </w:pPr>
            <w:r>
              <w:rPr>
                <w:rFonts w:ascii="Calibri" w:cs="Calibri" w:eastAsia="Calibri" w:hAnsi="Calibri"/>
                <w:sz w:val="16"/>
                <w:szCs w:val="16"/>
                <w:color w:val="auto"/>
              </w:rPr>
              <w:t>Depreciaton and amortzaton</w:t>
            </w: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line="193" w:lineRule="exact"/>
              <w:rPr>
                <w:sz w:val="20"/>
                <w:szCs w:val="20"/>
                <w:color w:val="auto"/>
              </w:rPr>
            </w:pPr>
            <w:r>
              <w:rPr>
                <w:rFonts w:ascii="Calibri" w:cs="Calibri" w:eastAsia="Calibri" w:hAnsi="Calibri"/>
                <w:sz w:val="16"/>
                <w:szCs w:val="16"/>
                <w:color w:val="auto"/>
              </w:rPr>
              <w:t>2,322</w:t>
            </w:r>
          </w:p>
        </w:tc>
        <w:tc>
          <w:tcPr>
            <w:tcW w:w="100" w:type="dxa"/>
            <w:vAlign w:val="bottom"/>
          </w:tcPr>
          <w:p>
            <w:pPr>
              <w:spacing w:after="0"/>
              <w:rPr>
                <w:sz w:val="16"/>
                <w:szCs w:val="16"/>
                <w:color w:val="auto"/>
              </w:rPr>
            </w:pPr>
          </w:p>
        </w:tc>
      </w:tr>
      <w:tr>
        <w:trPr>
          <w:trHeight w:val="36"/>
        </w:trPr>
        <w:tc>
          <w:tcPr>
            <w:tcW w:w="47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478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b w:val="1"/>
                <w:bCs w:val="1"/>
                <w:color w:val="auto"/>
              </w:rPr>
              <w:t>Income from operatons</w:t>
            </w:r>
          </w:p>
        </w:tc>
        <w:tc>
          <w:tcPr>
            <w:tcW w:w="14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b w:val="1"/>
                <w:bCs w:val="1"/>
                <w:color w:val="auto"/>
              </w:rPr>
              <w:t>76,571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4780" w:type="dxa"/>
            <w:vAlign w:val="bottom"/>
          </w:tcPr>
          <w:p>
            <w:pPr>
              <w:ind w:left="20"/>
              <w:spacing w:after="0" w:line="193" w:lineRule="exact"/>
              <w:rPr>
                <w:sz w:val="20"/>
                <w:szCs w:val="20"/>
                <w:color w:val="auto"/>
              </w:rPr>
            </w:pPr>
            <w:r>
              <w:rPr>
                <w:rFonts w:ascii="Calibri" w:cs="Calibri" w:eastAsia="Calibri" w:hAnsi="Calibri"/>
                <w:sz w:val="16"/>
                <w:szCs w:val="16"/>
                <w:color w:val="auto"/>
              </w:rPr>
              <w:t>Interest expense – net</w:t>
            </w: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line="193" w:lineRule="exact"/>
              <w:rPr>
                <w:sz w:val="20"/>
                <w:szCs w:val="20"/>
                <w:color w:val="auto"/>
              </w:rPr>
            </w:pPr>
            <w:r>
              <w:rPr>
                <w:rFonts w:ascii="Calibri" w:cs="Calibri" w:eastAsia="Calibri" w:hAnsi="Calibri"/>
                <w:sz w:val="16"/>
                <w:szCs w:val="16"/>
                <w:color w:val="auto"/>
              </w:rPr>
              <w:t>58,179</w:t>
            </w:r>
          </w:p>
        </w:tc>
        <w:tc>
          <w:tcPr>
            <w:tcW w:w="100" w:type="dxa"/>
            <w:vAlign w:val="bottom"/>
          </w:tcPr>
          <w:p>
            <w:pPr>
              <w:spacing w:after="0"/>
              <w:rPr>
                <w:sz w:val="16"/>
                <w:szCs w:val="16"/>
                <w:color w:val="auto"/>
              </w:rPr>
            </w:pPr>
          </w:p>
        </w:tc>
      </w:tr>
      <w:tr>
        <w:trPr>
          <w:trHeight w:val="36"/>
        </w:trPr>
        <w:tc>
          <w:tcPr>
            <w:tcW w:w="47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4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Loss on extnguishment of debt</w:t>
            </w:r>
          </w:p>
        </w:tc>
        <w:tc>
          <w:tcPr>
            <w:tcW w:w="14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35,828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4"/>
        </w:trPr>
        <w:tc>
          <w:tcPr>
            <w:tcW w:w="4780" w:type="dxa"/>
            <w:vAlign w:val="bottom"/>
          </w:tcPr>
          <w:p>
            <w:pPr>
              <w:ind w:left="20"/>
              <w:spacing w:after="0" w:line="193" w:lineRule="exact"/>
              <w:rPr>
                <w:sz w:val="20"/>
                <w:szCs w:val="20"/>
                <w:color w:val="auto"/>
              </w:rPr>
            </w:pPr>
            <w:r>
              <w:rPr>
                <w:rFonts w:ascii="Calibri" w:cs="Calibri" w:eastAsia="Calibri" w:hAnsi="Calibri"/>
                <w:sz w:val="16"/>
                <w:szCs w:val="16"/>
                <w:color w:val="auto"/>
              </w:rPr>
              <w:t>Other expenses</w:t>
            </w: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line="193" w:lineRule="exact"/>
              <w:rPr>
                <w:sz w:val="20"/>
                <w:szCs w:val="20"/>
                <w:color w:val="auto"/>
              </w:rPr>
            </w:pPr>
            <w:r>
              <w:rPr>
                <w:rFonts w:ascii="Calibri" w:cs="Calibri" w:eastAsia="Calibri" w:hAnsi="Calibri"/>
                <w:sz w:val="16"/>
                <w:szCs w:val="16"/>
                <w:color w:val="auto"/>
              </w:rPr>
              <w:t>1,389</w:t>
            </w:r>
          </w:p>
        </w:tc>
        <w:tc>
          <w:tcPr>
            <w:tcW w:w="100" w:type="dxa"/>
            <w:vAlign w:val="bottom"/>
          </w:tcPr>
          <w:p>
            <w:pPr>
              <w:spacing w:after="0"/>
              <w:rPr>
                <w:sz w:val="16"/>
                <w:szCs w:val="16"/>
                <w:color w:val="auto"/>
              </w:rPr>
            </w:pPr>
          </w:p>
        </w:tc>
      </w:tr>
      <w:tr>
        <w:trPr>
          <w:trHeight w:val="36"/>
        </w:trPr>
        <w:tc>
          <w:tcPr>
            <w:tcW w:w="47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1780" w:type="dxa"/>
            <w:vAlign w:val="bottom"/>
            <w:gridSpan w:val="2"/>
          </w:tcPr>
          <w:p>
            <w:pPr>
              <w:spacing w:after="0"/>
              <w:rPr>
                <w:sz w:val="3"/>
                <w:szCs w:val="3"/>
                <w:color w:val="auto"/>
              </w:rPr>
            </w:pPr>
          </w:p>
        </w:tc>
      </w:tr>
      <w:tr>
        <w:trPr>
          <w:trHeight w:val="248"/>
        </w:trPr>
        <w:tc>
          <w:tcPr>
            <w:tcW w:w="47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b w:val="1"/>
                <w:bCs w:val="1"/>
                <w:color w:val="auto"/>
              </w:rPr>
              <w:t>Loss before income taxes</w:t>
            </w:r>
          </w:p>
        </w:tc>
        <w:tc>
          <w:tcPr>
            <w:tcW w:w="14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CFF0FC"/>
            </w:tcBorders>
            <w:shd w:val="clear" w:color="auto" w:fill="CFF0FC"/>
          </w:tcPr>
          <w:p>
            <w:pPr>
              <w:jc w:val="right"/>
              <w:ind w:right="159"/>
              <w:spacing w:after="0" w:line="193" w:lineRule="exact"/>
              <w:rPr>
                <w:sz w:val="20"/>
                <w:szCs w:val="20"/>
                <w:color w:val="auto"/>
              </w:rPr>
            </w:pPr>
            <w:r>
              <w:rPr>
                <w:rFonts w:ascii="Calibri" w:cs="Calibri" w:eastAsia="Calibri" w:hAnsi="Calibri"/>
                <w:sz w:val="16"/>
                <w:szCs w:val="16"/>
                <w:b w:val="1"/>
                <w:bCs w:val="1"/>
                <w:color w:val="auto"/>
                <w:w w:val="73"/>
              </w:rPr>
              <w:t>$</w:t>
            </w:r>
          </w:p>
        </w:tc>
        <w:tc>
          <w:tcPr>
            <w:tcW w:w="168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(18,825</w:t>
            </w:r>
          </w:p>
        </w:tc>
        <w:tc>
          <w:tcPr>
            <w:tcW w:w="1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w w:val="79"/>
              </w:rPr>
              <w:t>)</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-1216660</wp:posOffset>
            </wp:positionV>
            <wp:extent cx="7747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-1216660</wp:posOffset>
            </wp:positionV>
            <wp:extent cx="6858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our segment informaton for the year ended December 31, 2020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Marketplace</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619"/>
              <w:spacing w:after="0"/>
              <w:rPr>
                <w:sz w:val="20"/>
                <w:szCs w:val="20"/>
                <w:color w:val="auto"/>
              </w:rPr>
            </w:pPr>
            <w:r>
              <w:rPr>
                <w:rFonts w:ascii="Calibri" w:cs="Calibri" w:eastAsia="Calibri" w:hAnsi="Calibri"/>
                <w:sz w:val="16"/>
                <w:szCs w:val="16"/>
                <w:b w:val="1"/>
                <w:bCs w:val="1"/>
                <w:color w:val="auto"/>
              </w:rPr>
              <w:t>Resale</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579"/>
              <w:spacing w:after="0"/>
              <w:rPr>
                <w:sz w:val="20"/>
                <w:szCs w:val="20"/>
                <w:color w:val="auto"/>
              </w:rPr>
            </w:pPr>
            <w:r>
              <w:rPr>
                <w:rFonts w:ascii="Calibri" w:cs="Calibri" w:eastAsia="Calibri" w:hAnsi="Calibri"/>
                <w:sz w:val="16"/>
                <w:szCs w:val="16"/>
                <w:b w:val="1"/>
                <w:bCs w:val="1"/>
                <w:color w:val="auto"/>
              </w:rPr>
              <w:t>Consolidated</w:t>
            </w:r>
          </w:p>
        </w:tc>
      </w:tr>
      <w:tr>
        <w:trPr>
          <w:trHeight w:val="41"/>
        </w:trPr>
        <w:tc>
          <w:tcPr>
            <w:tcW w:w="47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478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Revenues</w:t>
            </w:r>
          </w:p>
        </w:tc>
        <w:tc>
          <w:tcPr>
            <w:tcW w:w="1460" w:type="dxa"/>
            <w:vAlign w:val="bottom"/>
            <w:tcBorders>
              <w:bottom w:val="single" w:sz="8" w:color="CFF0FC"/>
            </w:tcBorders>
            <w:shd w:val="clear" w:color="auto" w:fill="CFF0FC"/>
          </w:tcPr>
          <w:p>
            <w:pPr>
              <w:jc w:val="right"/>
              <w:ind w:right="1299"/>
              <w:spacing w:after="0" w:line="187" w:lineRule="exact"/>
              <w:rPr>
                <w:sz w:val="20"/>
                <w:szCs w:val="20"/>
                <w:color w:val="auto"/>
              </w:rPr>
            </w:pPr>
            <w:r>
              <w:rPr>
                <w:rFonts w:ascii="Calibri" w:cs="Calibri" w:eastAsia="Calibri" w:hAnsi="Calibri"/>
                <w:sz w:val="16"/>
                <w:szCs w:val="16"/>
                <w:color w:val="auto"/>
                <w:w w:val="73"/>
              </w:rPr>
              <w:t>$</w:t>
            </w:r>
          </w:p>
        </w:tc>
        <w:tc>
          <w:tcPr>
            <w:tcW w:w="56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23,281</w:t>
            </w:r>
          </w:p>
        </w:tc>
        <w:tc>
          <w:tcPr>
            <w:tcW w:w="2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jc w:val="right"/>
              <w:ind w:right="219"/>
              <w:spacing w:after="0" w:line="187" w:lineRule="exact"/>
              <w:rPr>
                <w:sz w:val="20"/>
                <w:szCs w:val="20"/>
                <w:color w:val="auto"/>
              </w:rPr>
            </w:pPr>
            <w:r>
              <w:rPr>
                <w:rFonts w:ascii="Calibri" w:cs="Calibri" w:eastAsia="Calibri" w:hAnsi="Calibri"/>
                <w:sz w:val="16"/>
                <w:szCs w:val="16"/>
                <w:color w:val="auto"/>
                <w:w w:val="97"/>
              </w:rPr>
              <w:t>$</w:t>
            </w:r>
          </w:p>
        </w:tc>
        <w:tc>
          <w:tcPr>
            <w:tcW w:w="14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11,796</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159"/>
              <w:spacing w:after="0" w:line="187" w:lineRule="exact"/>
              <w:rPr>
                <w:sz w:val="20"/>
                <w:szCs w:val="20"/>
                <w:color w:val="auto"/>
              </w:rPr>
            </w:pPr>
            <w:r>
              <w:rPr>
                <w:rFonts w:ascii="Calibri" w:cs="Calibri" w:eastAsia="Calibri" w:hAnsi="Calibri"/>
                <w:sz w:val="16"/>
                <w:szCs w:val="16"/>
                <w:color w:val="auto"/>
                <w:w w:val="73"/>
              </w:rPr>
              <w:t>$</w:t>
            </w:r>
          </w:p>
        </w:tc>
        <w:tc>
          <w:tcPr>
            <w:tcW w:w="16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35,077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4780" w:type="dxa"/>
            <w:vAlign w:val="bottom"/>
          </w:tcPr>
          <w:p>
            <w:pPr>
              <w:ind w:left="20"/>
              <w:spacing w:after="0" w:line="193" w:lineRule="exact"/>
              <w:rPr>
                <w:sz w:val="20"/>
                <w:szCs w:val="20"/>
                <w:color w:val="auto"/>
              </w:rPr>
            </w:pPr>
            <w:r>
              <w:rPr>
                <w:rFonts w:ascii="Calibri" w:cs="Calibri" w:eastAsia="Calibri" w:hAnsi="Calibri"/>
                <w:sz w:val="16"/>
                <w:szCs w:val="16"/>
                <w:color w:val="auto"/>
              </w:rPr>
              <w:t>Cost of revenues (exclusive of depreciaton and amortzaton shown</w:t>
            </w:r>
          </w:p>
        </w:tc>
        <w:tc>
          <w:tcPr>
            <w:tcW w:w="1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4780" w:type="dxa"/>
            <w:vAlign w:val="bottom"/>
          </w:tcPr>
          <w:p>
            <w:pPr>
              <w:ind w:left="20"/>
              <w:spacing w:after="0"/>
              <w:rPr>
                <w:sz w:val="20"/>
                <w:szCs w:val="20"/>
                <w:color w:val="auto"/>
              </w:rPr>
            </w:pPr>
            <w:r>
              <w:rPr>
                <w:rFonts w:ascii="Calibri" w:cs="Calibri" w:eastAsia="Calibri" w:hAnsi="Calibri"/>
                <w:sz w:val="16"/>
                <w:szCs w:val="16"/>
                <w:color w:val="auto"/>
              </w:rPr>
              <w:t>separately below)</w:t>
            </w:r>
          </w:p>
        </w:tc>
        <w:tc>
          <w:tcPr>
            <w:tcW w:w="14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13,741</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color w:val="auto"/>
              </w:rPr>
              <w:t>10,949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Calibri" w:cs="Calibri" w:eastAsia="Calibri" w:hAnsi="Calibri"/>
                <w:sz w:val="16"/>
                <w:szCs w:val="16"/>
                <w:color w:val="auto"/>
              </w:rPr>
              <w:t>24,690</w:t>
            </w:r>
          </w:p>
        </w:tc>
        <w:tc>
          <w:tcPr>
            <w:tcW w:w="100" w:type="dxa"/>
            <w:vAlign w:val="bottom"/>
          </w:tcPr>
          <w:p>
            <w:pPr>
              <w:spacing w:after="0"/>
              <w:rPr>
                <w:sz w:val="17"/>
                <w:szCs w:val="17"/>
                <w:color w:val="auto"/>
              </w:rPr>
            </w:pPr>
          </w:p>
        </w:tc>
      </w:tr>
      <w:tr>
        <w:trPr>
          <w:trHeight w:val="41"/>
        </w:trPr>
        <w:tc>
          <w:tcPr>
            <w:tcW w:w="47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4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Marketng and selling</w:t>
            </w:r>
          </w:p>
        </w:tc>
        <w:tc>
          <w:tcPr>
            <w:tcW w:w="14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38,121</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38,121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7"/>
        </w:trPr>
        <w:tc>
          <w:tcPr>
            <w:tcW w:w="478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Contributon margin</w:t>
            </w:r>
          </w:p>
        </w:tc>
        <w:tc>
          <w:tcPr>
            <w:tcW w:w="1460" w:type="dxa"/>
            <w:vAlign w:val="bottom"/>
          </w:tcPr>
          <w:p>
            <w:pPr>
              <w:jc w:val="right"/>
              <w:ind w:right="1299"/>
              <w:spacing w:after="0" w:line="187" w:lineRule="exact"/>
              <w:rPr>
                <w:sz w:val="20"/>
                <w:szCs w:val="20"/>
                <w:color w:val="auto"/>
              </w:rPr>
            </w:pPr>
            <w:r>
              <w:rPr>
                <w:rFonts w:ascii="Calibri" w:cs="Calibri" w:eastAsia="Calibri" w:hAnsi="Calibri"/>
                <w:sz w:val="16"/>
                <w:szCs w:val="16"/>
                <w:b w:val="1"/>
                <w:bCs w:val="1"/>
                <w:color w:val="auto"/>
                <w:w w:val="73"/>
              </w:rPr>
              <w:t>$</w:t>
            </w:r>
          </w:p>
        </w:tc>
        <w:tc>
          <w:tcPr>
            <w:tcW w:w="820" w:type="dxa"/>
            <w:vAlign w:val="bottom"/>
            <w:gridSpan w:val="2"/>
          </w:tcPr>
          <w:p>
            <w:pPr>
              <w:jc w:val="right"/>
              <w:ind w:right="200"/>
              <w:spacing w:after="0" w:line="187" w:lineRule="exact"/>
              <w:rPr>
                <w:sz w:val="20"/>
                <w:szCs w:val="20"/>
                <w:color w:val="auto"/>
              </w:rPr>
            </w:pPr>
            <w:r>
              <w:rPr>
                <w:rFonts w:ascii="Calibri" w:cs="Calibri" w:eastAsia="Calibri" w:hAnsi="Calibri"/>
                <w:sz w:val="16"/>
                <w:szCs w:val="16"/>
                <w:b w:val="1"/>
                <w:bCs w:val="1"/>
                <w:color w:val="auto"/>
              </w:rPr>
              <w:t>(28,581 )</w:t>
            </w:r>
          </w:p>
        </w:tc>
        <w:tc>
          <w:tcPr>
            <w:tcW w:w="400" w:type="dxa"/>
            <w:vAlign w:val="bottom"/>
          </w:tcPr>
          <w:p>
            <w:pPr>
              <w:jc w:val="right"/>
              <w:ind w:right="219"/>
              <w:spacing w:after="0" w:line="187" w:lineRule="exact"/>
              <w:rPr>
                <w:sz w:val="20"/>
                <w:szCs w:val="20"/>
                <w:color w:val="auto"/>
              </w:rPr>
            </w:pPr>
            <w:r>
              <w:rPr>
                <w:rFonts w:ascii="Calibri" w:cs="Calibri" w:eastAsia="Calibri" w:hAnsi="Calibri"/>
                <w:sz w:val="16"/>
                <w:szCs w:val="16"/>
                <w:b w:val="1"/>
                <w:bCs w:val="1"/>
                <w:color w:val="auto"/>
                <w:w w:val="97"/>
              </w:rPr>
              <w:t>$</w:t>
            </w:r>
          </w:p>
        </w:tc>
        <w:tc>
          <w:tcPr>
            <w:tcW w:w="144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847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spacing w:after="0" w:line="187" w:lineRule="exact"/>
              <w:rPr>
                <w:sz w:val="20"/>
                <w:szCs w:val="20"/>
                <w:color w:val="auto"/>
              </w:rPr>
            </w:pPr>
            <w:r>
              <w:rPr>
                <w:rFonts w:ascii="Calibri" w:cs="Calibri" w:eastAsia="Calibri" w:hAnsi="Calibri"/>
                <w:sz w:val="16"/>
                <w:szCs w:val="16"/>
                <w:b w:val="1"/>
                <w:bCs w:val="1"/>
                <w:color w:val="auto"/>
              </w:rPr>
              <w:t>(27,734 )</w:t>
            </w:r>
          </w:p>
        </w:tc>
      </w:tr>
      <w:tr>
        <w:trPr>
          <w:trHeight w:val="36"/>
        </w:trPr>
        <w:tc>
          <w:tcPr>
            <w:tcW w:w="47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4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General and administratve</w:t>
            </w:r>
          </w:p>
        </w:tc>
        <w:tc>
          <w:tcPr>
            <w:tcW w:w="14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66,199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4"/>
        </w:trPr>
        <w:tc>
          <w:tcPr>
            <w:tcW w:w="4780" w:type="dxa"/>
            <w:vAlign w:val="bottom"/>
          </w:tcPr>
          <w:p>
            <w:pPr>
              <w:ind w:left="20"/>
              <w:spacing w:after="0" w:line="193" w:lineRule="exact"/>
              <w:rPr>
                <w:sz w:val="20"/>
                <w:szCs w:val="20"/>
                <w:color w:val="auto"/>
              </w:rPr>
            </w:pPr>
            <w:r>
              <w:rPr>
                <w:rFonts w:ascii="Calibri" w:cs="Calibri" w:eastAsia="Calibri" w:hAnsi="Calibri"/>
                <w:sz w:val="16"/>
                <w:szCs w:val="16"/>
                <w:color w:val="auto"/>
              </w:rPr>
              <w:t>Depreciaton and amortzaton</w:t>
            </w:r>
          </w:p>
        </w:tc>
        <w:tc>
          <w:tcPr>
            <w:tcW w:w="1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line="193" w:lineRule="exact"/>
              <w:rPr>
                <w:sz w:val="20"/>
                <w:szCs w:val="20"/>
                <w:color w:val="auto"/>
              </w:rPr>
            </w:pPr>
            <w:r>
              <w:rPr>
                <w:rFonts w:ascii="Calibri" w:cs="Calibri" w:eastAsia="Calibri" w:hAnsi="Calibri"/>
                <w:sz w:val="16"/>
                <w:szCs w:val="16"/>
                <w:color w:val="auto"/>
              </w:rPr>
              <w:t>48,247</w:t>
            </w:r>
          </w:p>
        </w:tc>
        <w:tc>
          <w:tcPr>
            <w:tcW w:w="100" w:type="dxa"/>
            <w:vAlign w:val="bottom"/>
          </w:tcPr>
          <w:p>
            <w:pPr>
              <w:spacing w:after="0"/>
              <w:rPr>
                <w:sz w:val="16"/>
                <w:szCs w:val="16"/>
                <w:color w:val="auto"/>
              </w:rPr>
            </w:pPr>
          </w:p>
        </w:tc>
      </w:tr>
      <w:tr>
        <w:trPr>
          <w:trHeight w:val="36"/>
        </w:trPr>
        <w:tc>
          <w:tcPr>
            <w:tcW w:w="47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4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Impairment charges</w:t>
            </w:r>
          </w:p>
        </w:tc>
        <w:tc>
          <w:tcPr>
            <w:tcW w:w="14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573,838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7"/>
        </w:trPr>
        <w:tc>
          <w:tcPr>
            <w:tcW w:w="478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Loss from operatons</w:t>
            </w:r>
          </w:p>
        </w:tc>
        <w:tc>
          <w:tcPr>
            <w:tcW w:w="1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spacing w:after="0" w:line="187" w:lineRule="exact"/>
              <w:rPr>
                <w:sz w:val="20"/>
                <w:szCs w:val="20"/>
                <w:color w:val="auto"/>
              </w:rPr>
            </w:pPr>
            <w:r>
              <w:rPr>
                <w:rFonts w:ascii="Calibri" w:cs="Calibri" w:eastAsia="Calibri" w:hAnsi="Calibri"/>
                <w:sz w:val="16"/>
                <w:szCs w:val="16"/>
                <w:b w:val="1"/>
                <w:bCs w:val="1"/>
                <w:color w:val="auto"/>
              </w:rPr>
              <w:t>(716,018 )</w:t>
            </w:r>
          </w:p>
        </w:tc>
      </w:tr>
      <w:tr>
        <w:trPr>
          <w:trHeight w:val="36"/>
        </w:trPr>
        <w:tc>
          <w:tcPr>
            <w:tcW w:w="47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4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Interest expense - net</w:t>
            </w:r>
          </w:p>
        </w:tc>
        <w:tc>
          <w:tcPr>
            <w:tcW w:w="14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57,482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4"/>
        </w:trPr>
        <w:tc>
          <w:tcPr>
            <w:tcW w:w="4780" w:type="dxa"/>
            <w:vAlign w:val="bottom"/>
          </w:tcPr>
          <w:p>
            <w:pPr>
              <w:ind w:left="20"/>
              <w:spacing w:after="0" w:line="193" w:lineRule="exact"/>
              <w:rPr>
                <w:sz w:val="20"/>
                <w:szCs w:val="20"/>
                <w:color w:val="auto"/>
              </w:rPr>
            </w:pPr>
            <w:r>
              <w:rPr>
                <w:rFonts w:ascii="Calibri" w:cs="Calibri" w:eastAsia="Calibri" w:hAnsi="Calibri"/>
                <w:sz w:val="16"/>
                <w:szCs w:val="16"/>
                <w:color w:val="auto"/>
              </w:rPr>
              <w:t>Loss on extnguishment of debt</w:t>
            </w:r>
          </w:p>
        </w:tc>
        <w:tc>
          <w:tcPr>
            <w:tcW w:w="1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line="193" w:lineRule="exact"/>
              <w:rPr>
                <w:sz w:val="20"/>
                <w:szCs w:val="20"/>
                <w:color w:val="auto"/>
              </w:rPr>
            </w:pPr>
            <w:r>
              <w:rPr>
                <w:rFonts w:ascii="Calibri" w:cs="Calibri" w:eastAsia="Calibri" w:hAnsi="Calibri"/>
                <w:sz w:val="16"/>
                <w:szCs w:val="16"/>
                <w:color w:val="auto"/>
              </w:rPr>
              <w:t>685</w:t>
            </w:r>
          </w:p>
        </w:tc>
        <w:tc>
          <w:tcPr>
            <w:tcW w:w="100" w:type="dxa"/>
            <w:vAlign w:val="bottom"/>
          </w:tcPr>
          <w:p>
            <w:pPr>
              <w:spacing w:after="0"/>
              <w:rPr>
                <w:sz w:val="16"/>
                <w:szCs w:val="16"/>
                <w:color w:val="auto"/>
              </w:rPr>
            </w:pPr>
          </w:p>
        </w:tc>
      </w:tr>
      <w:tr>
        <w:trPr>
          <w:trHeight w:val="36"/>
        </w:trPr>
        <w:tc>
          <w:tcPr>
            <w:tcW w:w="47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1780" w:type="dxa"/>
            <w:vAlign w:val="bottom"/>
            <w:gridSpan w:val="2"/>
          </w:tcPr>
          <w:p>
            <w:pPr>
              <w:spacing w:after="0"/>
              <w:rPr>
                <w:sz w:val="3"/>
                <w:szCs w:val="3"/>
                <w:color w:val="auto"/>
              </w:rPr>
            </w:pPr>
          </w:p>
        </w:tc>
      </w:tr>
      <w:tr>
        <w:trPr>
          <w:trHeight w:val="248"/>
        </w:trPr>
        <w:tc>
          <w:tcPr>
            <w:tcW w:w="47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b w:val="1"/>
                <w:bCs w:val="1"/>
                <w:color w:val="auto"/>
              </w:rPr>
              <w:t>Net loss</w:t>
            </w:r>
          </w:p>
        </w:tc>
        <w:tc>
          <w:tcPr>
            <w:tcW w:w="14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CFF0FC"/>
            </w:tcBorders>
            <w:shd w:val="clear" w:color="auto" w:fill="CFF0FC"/>
          </w:tcPr>
          <w:p>
            <w:pPr>
              <w:jc w:val="right"/>
              <w:ind w:right="159"/>
              <w:spacing w:after="0" w:line="193" w:lineRule="exact"/>
              <w:rPr>
                <w:sz w:val="20"/>
                <w:szCs w:val="20"/>
                <w:color w:val="auto"/>
              </w:rPr>
            </w:pPr>
            <w:r>
              <w:rPr>
                <w:rFonts w:ascii="Calibri" w:cs="Calibri" w:eastAsia="Calibri" w:hAnsi="Calibri"/>
                <w:sz w:val="16"/>
                <w:szCs w:val="16"/>
                <w:b w:val="1"/>
                <w:bCs w:val="1"/>
                <w:color w:val="auto"/>
                <w:w w:val="73"/>
              </w:rPr>
              <w:t>$</w:t>
            </w:r>
          </w:p>
        </w:tc>
        <w:tc>
          <w:tcPr>
            <w:tcW w:w="168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(774,185</w:t>
            </w:r>
          </w:p>
        </w:tc>
        <w:tc>
          <w:tcPr>
            <w:tcW w:w="1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w w:val="79"/>
              </w:rPr>
              <w:t>)</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-1216660</wp:posOffset>
            </wp:positionV>
            <wp:extent cx="7747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-1216660</wp:posOffset>
            </wp:positionV>
            <wp:extent cx="6858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color w:val="auto"/>
        </w:rPr>
        <w:t>Substantally all of our sales occur and assets reside in the United States.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6. Impairments</w:t>
      </w:r>
    </w:p>
    <w:p>
      <w:pPr>
        <w:spacing w:after="0" w:line="136"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 xml:space="preserve">As disclosed in Note 2, </w:t>
      </w:r>
      <w:r>
        <w:rPr>
          <w:rFonts w:ascii="Calibri" w:cs="Calibri" w:eastAsia="Calibri" w:hAnsi="Calibri"/>
          <w:sz w:val="17"/>
          <w:szCs w:val="17"/>
          <w:i w:val="1"/>
          <w:iCs w:val="1"/>
          <w:color w:val="auto"/>
        </w:rPr>
        <w:t>Summary of Signifcant Accountng Policies,</w:t>
      </w:r>
      <w:r>
        <w:rPr>
          <w:rFonts w:ascii="Calibri" w:cs="Calibri" w:eastAsia="Calibri" w:hAnsi="Calibri"/>
          <w:sz w:val="17"/>
          <w:szCs w:val="17"/>
          <w:color w:val="auto"/>
        </w:rPr>
        <w:t xml:space="preserve"> we assess goodwill and other indefnite-lived intangible assets for impairment annually, or more frequently if events or changes in circumstances indicate that an asset may be impaired. Defnite-lived intangible assets and other long-lived assets are assessed for impairment whenever events or changes in circumstances indicate the carrying amount of an asset or asset group may not be recoverable.</w:t>
      </w:r>
    </w:p>
    <w:p>
      <w:pPr>
        <w:spacing w:after="0" w:line="9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1" w:name="page82"/>
    <w:bookmarkEnd w:id="8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second quarter of 2020, we identfed the COVID-19 pandemic as a triggering event for our long-lived assets, goodwill, indefnite-lived trademark, and defnite-lived intangible assets. Due to global social distancing eforts put in place to mitgate the spread of the virus, and compliance with restrictons enacted by various governmental enttes, most live events during 2020 were either postponed or cancelled. Consequently, we experienced a signifcant reducton of revenue during the year ended December 31,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540" w:type="dxa"/>
            <w:vAlign w:val="bottom"/>
          </w:tcPr>
          <w:p>
            <w:pPr>
              <w:spacing w:after="0"/>
              <w:rPr>
                <w:sz w:val="20"/>
                <w:szCs w:val="20"/>
                <w:color w:val="auto"/>
              </w:rPr>
            </w:pPr>
            <w:r>
              <w:rPr>
                <w:rFonts w:ascii="Calibri" w:cs="Calibri" w:eastAsia="Calibri" w:hAnsi="Calibri"/>
                <w:sz w:val="18"/>
                <w:szCs w:val="18"/>
                <w:color w:val="auto"/>
              </w:rPr>
              <w:t>The following summarizes the impairment charges recorded by us during the year ended December 31, 2020 (in thousands):</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32"/>
        </w:trPr>
        <w:tc>
          <w:tcPr>
            <w:tcW w:w="9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23"/>
        </w:trPr>
        <w:tc>
          <w:tcPr>
            <w:tcW w:w="9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560" w:type="dxa"/>
            <w:vAlign w:val="bottom"/>
            <w:tcBorders>
              <w:bottom w:val="single" w:sz="8" w:color="CFF0FC"/>
            </w:tcBorders>
            <w:shd w:val="clear" w:color="auto" w:fill="CFF0FC"/>
          </w:tcPr>
          <w:p>
            <w:pPr>
              <w:jc w:val="right"/>
              <w:ind w:right="37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377,101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9540" w:type="dxa"/>
            <w:vAlign w:val="bottom"/>
          </w:tcPr>
          <w:p>
            <w:pPr>
              <w:ind w:left="20"/>
              <w:spacing w:after="0" w:line="215" w:lineRule="exact"/>
              <w:rPr>
                <w:sz w:val="20"/>
                <w:szCs w:val="20"/>
                <w:color w:val="auto"/>
              </w:rPr>
            </w:pPr>
            <w:r>
              <w:rPr>
                <w:rFonts w:ascii="Calibri" w:cs="Calibri" w:eastAsia="Calibri" w:hAnsi="Calibri"/>
                <w:sz w:val="18"/>
                <w:szCs w:val="18"/>
                <w:color w:val="auto"/>
              </w:rPr>
              <w:t>Indefnite-lived trademark</w:t>
            </w:r>
          </w:p>
        </w:tc>
        <w:tc>
          <w:tcPr>
            <w:tcW w:w="56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78,734</w:t>
            </w:r>
          </w:p>
        </w:tc>
        <w:tc>
          <w:tcPr>
            <w:tcW w:w="100" w:type="dxa"/>
            <w:vAlign w:val="bottom"/>
          </w:tcPr>
          <w:p>
            <w:pPr>
              <w:spacing w:after="0"/>
              <w:rPr>
                <w:sz w:val="18"/>
                <w:szCs w:val="18"/>
                <w:color w:val="auto"/>
              </w:rPr>
            </w:pPr>
          </w:p>
        </w:tc>
      </w:tr>
      <w:tr>
        <w:trPr>
          <w:trHeight w:val="28"/>
        </w:trPr>
        <w:tc>
          <w:tcPr>
            <w:tcW w:w="9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95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Defnite-lived intangible assets</w:t>
            </w:r>
          </w:p>
        </w:tc>
        <w:tc>
          <w:tcPr>
            <w:tcW w:w="5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107,365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9540" w:type="dxa"/>
            <w:vAlign w:val="bottom"/>
          </w:tcPr>
          <w:p>
            <w:pPr>
              <w:ind w:left="20"/>
              <w:spacing w:after="0" w:line="215" w:lineRule="exact"/>
              <w:rPr>
                <w:sz w:val="20"/>
                <w:szCs w:val="20"/>
                <w:color w:val="auto"/>
              </w:rPr>
            </w:pPr>
            <w:r>
              <w:rPr>
                <w:rFonts w:ascii="Calibri" w:cs="Calibri" w:eastAsia="Calibri" w:hAnsi="Calibri"/>
                <w:sz w:val="18"/>
                <w:szCs w:val="18"/>
                <w:color w:val="auto"/>
              </w:rPr>
              <w:t>Property and equipment</w:t>
            </w:r>
          </w:p>
        </w:tc>
        <w:tc>
          <w:tcPr>
            <w:tcW w:w="56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3,670</w:t>
            </w:r>
          </w:p>
        </w:tc>
        <w:tc>
          <w:tcPr>
            <w:tcW w:w="100" w:type="dxa"/>
            <w:vAlign w:val="bottom"/>
          </w:tcPr>
          <w:p>
            <w:pPr>
              <w:spacing w:after="0"/>
              <w:rPr>
                <w:sz w:val="18"/>
                <w:szCs w:val="18"/>
                <w:color w:val="auto"/>
              </w:rPr>
            </w:pPr>
          </w:p>
        </w:tc>
      </w:tr>
      <w:tr>
        <w:trPr>
          <w:trHeight w:val="28"/>
        </w:trPr>
        <w:tc>
          <w:tcPr>
            <w:tcW w:w="9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95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Personal seat licenses</w:t>
            </w:r>
          </w:p>
        </w:tc>
        <w:tc>
          <w:tcPr>
            <w:tcW w:w="5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6,968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54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Total impairment charges</w:t>
            </w:r>
          </w:p>
        </w:tc>
        <w:tc>
          <w:tcPr>
            <w:tcW w:w="560" w:type="dxa"/>
            <w:vAlign w:val="bottom"/>
            <w:tcBorders>
              <w:top w:val="single" w:sz="8" w:color="auto"/>
              <w:bottom w:val="single" w:sz="8" w:color="auto"/>
            </w:tcBorders>
          </w:tcPr>
          <w:p>
            <w:pPr>
              <w:jc w:val="right"/>
              <w:ind w:right="370"/>
              <w:spacing w:after="0" w:line="215" w:lineRule="exact"/>
              <w:rPr>
                <w:sz w:val="20"/>
                <w:szCs w:val="20"/>
                <w:color w:val="auto"/>
              </w:rPr>
            </w:pPr>
            <w:r>
              <w:rPr>
                <w:rFonts w:ascii="Calibri" w:cs="Calibri" w:eastAsia="Calibri" w:hAnsi="Calibri"/>
                <w:sz w:val="18"/>
                <w:szCs w:val="18"/>
                <w:b w:val="1"/>
                <w:bCs w:val="1"/>
                <w:color w:val="auto"/>
                <w:w w:val="87"/>
              </w:rPr>
              <w:t>$</w:t>
            </w: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573,838</w:t>
            </w:r>
          </w:p>
        </w:tc>
        <w:tc>
          <w:tcPr>
            <w:tcW w:w="100" w:type="dxa"/>
            <w:vAlign w:val="bottom"/>
            <w:tcBorders>
              <w:top w:val="single" w:sz="8" w:color="CFF0FC"/>
            </w:tcBorders>
          </w:tcPr>
          <w:p>
            <w:pPr>
              <w:spacing w:after="0"/>
              <w:rPr>
                <w:sz w:val="20"/>
                <w:szCs w:val="20"/>
                <w:color w:val="auto"/>
              </w:rPr>
            </w:pPr>
          </w:p>
        </w:tc>
      </w:tr>
      <w:tr>
        <w:trPr>
          <w:trHeight w:val="20"/>
        </w:trPr>
        <w:tc>
          <w:tcPr>
            <w:tcW w:w="9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Long-lived asset impairments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assessed its long-lived assets for potental impairment during the second quarter of 2020. ASC 360, </w:t>
      </w:r>
      <w:r>
        <w:rPr>
          <w:rFonts w:ascii="Calibri" w:cs="Calibri" w:eastAsia="Calibri" w:hAnsi="Calibri"/>
          <w:sz w:val="18"/>
          <w:szCs w:val="18"/>
          <w:i w:val="1"/>
          <w:iCs w:val="1"/>
          <w:color w:val="auto"/>
        </w:rPr>
        <w:t>Property, Plant, and Equipment</w:t>
      </w:r>
      <w:r>
        <w:rPr>
          <w:rFonts w:ascii="Calibri" w:cs="Calibri" w:eastAsia="Calibri" w:hAnsi="Calibri"/>
          <w:sz w:val="18"/>
          <w:szCs w:val="18"/>
          <w:color w:val="auto"/>
        </w:rPr>
        <w:t>, requires an impairment loss to be recognized for a long-lived asset if the carrying amount of the asset is not recoverable and exceeds its fair value. In accordance with ASC 360, we classify our long-lived assets as a single asset group, which consists primarily of property and equipment, personal seat licenses, and defnite-lived intangible assets.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fair value of the asset group, we compared the expected future undiscounted cash fows associated with the asset group to the long-lived asset group’s carrying value and concluded that the carrying value was not recoverable. We then measured the fair value of the asset group using a discounted cash fow model. The signifcant estmates used in the undiscounted and discounted cash fow models include projected operatng cash fows; forecasted capital expenditures and working capital needs; rates of long-term growth; and the discount rate (in the discounted cash fow model). The signifcant unobservable inputs included forecasted revenues which refected signifcant declines in earlier years as a result of the COVID-19 pandemic and included estmates regarding when revenue would return to pre-pandemic levels. The signifcant unobservable inputs also included forecasted costs, capital expenditures, and working capital needs which were informed by actual historical experience and estmates of the tming of when live events would return to pre-pandemic levels.</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presents quanttatve informaton about the signifcant unobservable inputs applied to these Level 3 fair value measurements during our assessment for impairment in the second quarter of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tcPr>
          <w:p>
            <w:pPr>
              <w:jc w:val="center"/>
              <w:spacing w:after="0"/>
              <w:rPr>
                <w:sz w:val="20"/>
                <w:szCs w:val="20"/>
                <w:color w:val="auto"/>
              </w:rPr>
            </w:pPr>
            <w:r>
              <w:rPr>
                <w:rFonts w:ascii="Calibri" w:cs="Calibri" w:eastAsia="Calibri" w:hAnsi="Calibri"/>
                <w:sz w:val="18"/>
                <w:szCs w:val="18"/>
                <w:b w:val="1"/>
                <w:bCs w:val="1"/>
                <w:color w:val="auto"/>
                <w:w w:val="97"/>
              </w:rPr>
              <w:t>Range (Weighted</w:t>
            </w:r>
          </w:p>
        </w:tc>
      </w:tr>
      <w:tr>
        <w:trPr>
          <w:trHeight w:val="216"/>
        </w:trPr>
        <w:tc>
          <w:tcPr>
            <w:tcW w:w="8260" w:type="dxa"/>
            <w:vAlign w:val="bottom"/>
          </w:tcPr>
          <w:p>
            <w:pPr>
              <w:ind w:left="20"/>
              <w:spacing w:after="0" w:line="216" w:lineRule="exact"/>
              <w:rPr>
                <w:sz w:val="20"/>
                <w:szCs w:val="20"/>
                <w:color w:val="auto"/>
              </w:rPr>
            </w:pPr>
            <w:r>
              <w:rPr>
                <w:rFonts w:ascii="Calibri" w:cs="Calibri" w:eastAsia="Calibri" w:hAnsi="Calibri"/>
                <w:sz w:val="18"/>
                <w:szCs w:val="18"/>
                <w:b w:val="1"/>
                <w:bCs w:val="1"/>
                <w:color w:val="auto"/>
              </w:rPr>
              <w:t>Signifcant Unobservable Inputs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jc w:val="center"/>
              <w:spacing w:after="0" w:line="216" w:lineRule="exact"/>
              <w:rPr>
                <w:sz w:val="20"/>
                <w:szCs w:val="20"/>
                <w:color w:val="auto"/>
              </w:rPr>
            </w:pPr>
            <w:r>
              <w:rPr>
                <w:rFonts w:ascii="Calibri" w:cs="Calibri" w:eastAsia="Calibri" w:hAnsi="Calibri"/>
                <w:sz w:val="18"/>
                <w:szCs w:val="18"/>
                <w:b w:val="1"/>
                <w:bCs w:val="1"/>
                <w:color w:val="auto"/>
                <w:w w:val="98"/>
              </w:rPr>
              <w:t>Average)</w:t>
            </w:r>
          </w:p>
        </w:tc>
      </w:tr>
      <w:tr>
        <w:trPr>
          <w:trHeight w:val="37"/>
        </w:trPr>
        <w:tc>
          <w:tcPr>
            <w:tcW w:w="8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17"/>
        </w:trPr>
        <w:tc>
          <w:tcPr>
            <w:tcW w:w="82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Discount rate</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80" w:type="dxa"/>
            <w:vAlign w:val="bottom"/>
            <w:tcBorders>
              <w:bottom w:val="single" w:sz="8" w:color="CFF0FC"/>
            </w:tcBorders>
            <w:gridSpan w:val="4"/>
            <w:shd w:val="clear" w:color="auto" w:fill="CFF0FC"/>
          </w:tcPr>
          <w:p>
            <w:pPr>
              <w:ind w:left="600"/>
              <w:spacing w:after="0" w:line="208" w:lineRule="exact"/>
              <w:rPr>
                <w:sz w:val="20"/>
                <w:szCs w:val="20"/>
                <w:color w:val="auto"/>
              </w:rPr>
            </w:pPr>
            <w:r>
              <w:rPr>
                <w:rFonts w:ascii="Calibri" w:cs="Calibri" w:eastAsia="Calibri" w:hAnsi="Calibri"/>
                <w:sz w:val="18"/>
                <w:szCs w:val="18"/>
                <w:color w:val="auto"/>
              </w:rPr>
              <w:t>12.5% - 13.5% (13.0%)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26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growth rate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4"/>
          </w:tcPr>
          <w:p>
            <w:pPr>
              <w:jc w:val="center"/>
              <w:ind w:left="10"/>
              <w:spacing w:after="0" w:line="215" w:lineRule="exact"/>
              <w:rPr>
                <w:sz w:val="20"/>
                <w:szCs w:val="20"/>
                <w:color w:val="auto"/>
              </w:rPr>
            </w:pPr>
            <w:r>
              <w:rPr>
                <w:rFonts w:ascii="Calibri" w:cs="Calibri" w:eastAsia="Calibri" w:hAnsi="Calibri"/>
                <w:sz w:val="18"/>
                <w:szCs w:val="18"/>
                <w:color w:val="auto"/>
                <w:w w:val="98"/>
              </w:rPr>
              <w:t>2.5% - 3.5% (3.0%)</w:t>
            </w:r>
          </w:p>
        </w:tc>
        <w:tc>
          <w:tcPr>
            <w:tcW w:w="100" w:type="dxa"/>
            <w:vAlign w:val="bottom"/>
          </w:tcPr>
          <w:p>
            <w:pPr>
              <w:spacing w:after="0"/>
              <w:rPr>
                <w:sz w:val="18"/>
                <w:szCs w:val="18"/>
                <w:color w:val="auto"/>
              </w:rPr>
            </w:pPr>
          </w:p>
        </w:tc>
      </w:tr>
      <w:tr>
        <w:trPr>
          <w:trHeight w:val="369"/>
        </w:trPr>
        <w:tc>
          <w:tcPr>
            <w:tcW w:w="8260" w:type="dxa"/>
            <w:vAlign w:val="bottom"/>
          </w:tcPr>
          <w:p>
            <w:pPr>
              <w:spacing w:after="0"/>
              <w:rPr>
                <w:sz w:val="20"/>
                <w:szCs w:val="20"/>
                <w:color w:val="auto"/>
              </w:rPr>
            </w:pPr>
            <w:r>
              <w:rPr>
                <w:rFonts w:ascii="Calibri" w:cs="Calibri" w:eastAsia="Calibri" w:hAnsi="Calibri"/>
                <w:sz w:val="18"/>
                <w:szCs w:val="18"/>
                <w:color w:val="auto"/>
                <w:w w:val="98"/>
              </w:rPr>
              <w:t>The following table presents the sensitvites to changes in the signifcant unobservable inputs above (in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8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ind w:left="180"/>
              <w:spacing w:after="0"/>
              <w:rPr>
                <w:sz w:val="20"/>
                <w:szCs w:val="20"/>
                <w:color w:val="auto"/>
              </w:rPr>
            </w:pPr>
            <w:r>
              <w:rPr>
                <w:rFonts w:ascii="Calibri" w:cs="Calibri" w:eastAsia="Calibri" w:hAnsi="Calibri"/>
                <w:sz w:val="18"/>
                <w:szCs w:val="18"/>
                <w:b w:val="1"/>
                <w:bCs w:val="1"/>
                <w:color w:val="auto"/>
              </w:rPr>
              <w:t>Goodwill</w:t>
            </w:r>
          </w:p>
        </w:tc>
        <w:tc>
          <w:tcPr>
            <w:tcW w:w="1180" w:type="dxa"/>
            <w:vAlign w:val="bottom"/>
            <w:gridSpan w:val="2"/>
          </w:tcPr>
          <w:p>
            <w:pPr>
              <w:jc w:val="right"/>
              <w:ind w:right="250"/>
              <w:spacing w:after="0"/>
              <w:rPr>
                <w:sz w:val="20"/>
                <w:szCs w:val="20"/>
                <w:color w:val="auto"/>
              </w:rPr>
            </w:pPr>
            <w:r>
              <w:rPr>
                <w:rFonts w:ascii="Calibri" w:cs="Calibri" w:eastAsia="Calibri" w:hAnsi="Calibri"/>
                <w:sz w:val="18"/>
                <w:szCs w:val="18"/>
                <w:b w:val="1"/>
                <w:bCs w:val="1"/>
                <w:color w:val="auto"/>
              </w:rPr>
              <w:t>Trademark</w:t>
            </w:r>
          </w:p>
        </w:tc>
      </w:tr>
      <w:tr>
        <w:trPr>
          <w:trHeight w:val="37"/>
        </w:trPr>
        <w:tc>
          <w:tcPr>
            <w:tcW w:w="82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14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82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50 basis point increase in discount rate</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CFF0FC"/>
            </w:tcBorders>
            <w:shd w:val="clear" w:color="auto" w:fill="CFF0FC"/>
          </w:tcPr>
          <w:p>
            <w:pPr>
              <w:ind w:left="600"/>
              <w:spacing w:after="0" w:line="208" w:lineRule="exact"/>
              <w:rPr>
                <w:sz w:val="20"/>
                <w:szCs w:val="20"/>
                <w:color w:val="auto"/>
              </w:rPr>
            </w:pPr>
            <w:r>
              <w:rPr>
                <w:rFonts w:ascii="Calibri" w:cs="Calibri" w:eastAsia="Calibri" w:hAnsi="Calibri"/>
                <w:sz w:val="18"/>
                <w:szCs w:val="18"/>
                <w:color w:val="auto"/>
                <w:w w:val="93"/>
              </w:rPr>
              <w:t>(37,680</w:t>
            </w:r>
          </w:p>
        </w:tc>
        <w:tc>
          <w:tcPr>
            <w:tcW w:w="280" w:type="dxa"/>
            <w:vAlign w:val="bottom"/>
            <w:tcBorders>
              <w:bottom w:val="single" w:sz="8" w:color="CFF0FC"/>
            </w:tcBorders>
            <w:shd w:val="clear" w:color="auto" w:fill="CFF0FC"/>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(3,935</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72"/>
              </w:rPr>
              <w:t>)</w:t>
            </w:r>
          </w:p>
        </w:tc>
      </w:tr>
      <w:tr>
        <w:trPr>
          <w:trHeight w:val="215"/>
        </w:trPr>
        <w:tc>
          <w:tcPr>
            <w:tcW w:w="8260" w:type="dxa"/>
            <w:vAlign w:val="bottom"/>
          </w:tcPr>
          <w:p>
            <w:pPr>
              <w:ind w:left="20"/>
              <w:spacing w:after="0" w:line="215" w:lineRule="exact"/>
              <w:rPr>
                <w:sz w:val="20"/>
                <w:szCs w:val="20"/>
                <w:color w:val="auto"/>
              </w:rPr>
            </w:pPr>
            <w:r>
              <w:rPr>
                <w:rFonts w:ascii="Calibri" w:cs="Calibri" w:eastAsia="Calibri" w:hAnsi="Calibri"/>
                <w:sz w:val="18"/>
                <w:szCs w:val="18"/>
                <w:color w:val="auto"/>
              </w:rPr>
              <w:t>50 basis point decrease in long-term growth rate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600"/>
              <w:spacing w:after="0" w:line="215" w:lineRule="exact"/>
              <w:rPr>
                <w:sz w:val="20"/>
                <w:szCs w:val="20"/>
                <w:color w:val="auto"/>
              </w:rPr>
            </w:pPr>
            <w:r>
              <w:rPr>
                <w:rFonts w:ascii="Calibri" w:cs="Calibri" w:eastAsia="Calibri" w:hAnsi="Calibri"/>
                <w:sz w:val="18"/>
                <w:szCs w:val="18"/>
                <w:color w:val="auto"/>
              </w:rPr>
              <w:t>(21,344 )</w:t>
            </w:r>
          </w:p>
        </w:tc>
        <w:tc>
          <w:tcPr>
            <w:tcW w:w="180" w:type="dxa"/>
            <w:vAlign w:val="bottom"/>
          </w:tcPr>
          <w:p>
            <w:pPr>
              <w:spacing w:after="0"/>
              <w:rPr>
                <w:sz w:val="18"/>
                <w:szCs w:val="18"/>
                <w:color w:val="auto"/>
              </w:rPr>
            </w:pPr>
          </w:p>
        </w:tc>
        <w:tc>
          <w:tcPr>
            <w:tcW w:w="11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(2,298 )</w:t>
            </w:r>
          </w:p>
        </w:tc>
      </w:tr>
    </w:tbl>
    <w:p>
      <w:pPr>
        <w:spacing w:after="0" w:line="1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result, we recorded an impairment of $118.0 million, of which $107.4 million was related to defnite-lived intangible assets. The impairment is presented in Impairment charges in the Consolidated Statements of Operatons.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No impairment triggering events to our long-lived assets were identfed during the years ended December 31, 2022 and 2021.</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Indefnite-lived trademark and goodwill impairments</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2" w:name="page83"/>
    <w:bookmarkEnd w:id="8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During the second quarter of 2020, we determined that the estmated carrying value of our indefnite-lived trademark was in excess of its fair value. The fair value of the indefnite-lived trademark asset, classifed as a Level 3 measurement, was measured using the relief-from-royalty method. This methodology involves estmatng reasonable royalty rates for the trademarks, applying the royalty rate to a net sales stream, and utlizing the discounted cash fow method. We utlized a 2.0% royalty rate, consistent with the rate used in the inital valuaton of the trademark. We recorded an impairment charge of $78.7 million related to the indefnite-lived trademark. The impairment charge is presented in Impairment charges in the Consolidated Statements of Operatons.</w:t>
      </w:r>
    </w:p>
    <w:p>
      <w:pPr>
        <w:spacing w:after="0" w:line="13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the goodwill impairment assessment performed during the second quarter of 2020, we determined that the carrying value of its Marketplace reportng unit exceeded its estmated fair value, resultng in a goodwill impairment charge of $377.1 million, which is presented in Impairment charges in the Consolidated Statements of Operatons. The fair value estmate of our reportng units was based on a blended analysis of the present value of future discounted cash fows and market value approach, using Level 3 inputs. The signifcant estmates used in the discounted cash fow models are projected operatng cash fows; forecasted capital expenditures and working capital needs; weighted average cost of capital; and rates of long-term growth. These estmates considered the recent deterioraton in fnancial performance of the reportng units, as well as the antcipated rate of recovery, and implied risk premiums based on the market prices of our equity and debt as of the assessment date. The signifcant estmates used in the market multple valuaton approach include identfying business factors; such as size, growth, proftability, risk and return on investment; and assessing comparable revenue and earnings multples. Following the impairment charge, the carrying value of the Marketplace reportng unit’s goodwill was $683.3 million. In accordance with its annual re-assessment, we assessed its goodwill and indefnite-lived trademark for impairment as of October 31, 2020, determining no further impairment had occurred. No triggering events were identfed during the years ended December 31, 2022 and 2021.</w:t>
      </w:r>
    </w:p>
    <w:p>
      <w:pPr>
        <w:spacing w:after="0" w:line="15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Our goodwill and indefnite-lived trademark consttute nonfnancial assets measured at fair value on a nonrecurring basis. These nonfnancial assets are classifed as Level 3 assets in the fair value hierarchy established under ASC Topic 820, </w:t>
      </w:r>
      <w:r>
        <w:rPr>
          <w:rFonts w:ascii="Calibri" w:cs="Calibri" w:eastAsia="Calibri" w:hAnsi="Calibri"/>
          <w:sz w:val="18"/>
          <w:szCs w:val="18"/>
          <w:i w:val="1"/>
          <w:iCs w:val="1"/>
          <w:color w:val="auto"/>
        </w:rPr>
        <w:t>Fair Value Measurement</w:t>
      </w:r>
      <w:r>
        <w:rPr>
          <w:rFonts w:ascii="Calibri" w:cs="Calibri" w:eastAsia="Calibri" w:hAnsi="Calibri"/>
          <w:sz w:val="18"/>
          <w:szCs w:val="18"/>
          <w:color w:val="auto"/>
        </w:rPr>
        <w:t xml:space="preserve"> (“ASC 820”).</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7. Property and Equipment</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major classes of property and equipment, net of accumulated depreciaton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40" w:type="dxa"/>
            <w:vAlign w:val="bottom"/>
          </w:tcPr>
          <w:p>
            <w:pPr>
              <w:spacing w:after="0"/>
              <w:rPr>
                <w:sz w:val="19"/>
                <w:szCs w:val="19"/>
                <w:color w:val="auto"/>
              </w:rPr>
            </w:pPr>
          </w:p>
        </w:tc>
        <w:tc>
          <w:tcPr>
            <w:tcW w:w="148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2022</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83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r>
      <w:tr>
        <w:trPr>
          <w:trHeight w:val="37"/>
        </w:trPr>
        <w:tc>
          <w:tcPr>
            <w:tcW w:w="64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4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Computer equipment</w:t>
            </w:r>
          </w:p>
        </w:tc>
        <w:tc>
          <w:tcPr>
            <w:tcW w:w="1480" w:type="dxa"/>
            <w:vAlign w:val="bottom"/>
            <w:tcBorders>
              <w:bottom w:val="single" w:sz="8" w:color="CFF0FC"/>
            </w:tcBorders>
            <w:shd w:val="clear" w:color="auto" w:fill="CFF0FC"/>
          </w:tcPr>
          <w:p>
            <w:pPr>
              <w:jc w:val="right"/>
              <w:ind w:right="1290"/>
              <w:spacing w:after="0" w:line="208" w:lineRule="exact"/>
              <w:rPr>
                <w:sz w:val="20"/>
                <w:szCs w:val="20"/>
                <w:color w:val="auto"/>
              </w:rPr>
            </w:pPr>
            <w:r>
              <w:rPr>
                <w:rFonts w:ascii="Calibri" w:cs="Calibri" w:eastAsia="Calibri" w:hAnsi="Calibri"/>
                <w:sz w:val="18"/>
                <w:szCs w:val="18"/>
                <w:color w:val="auto"/>
                <w:w w:val="87"/>
              </w:rPr>
              <w:t>$</w:t>
            </w:r>
          </w:p>
        </w:tc>
        <w:tc>
          <w:tcPr>
            <w:tcW w:w="7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1,935</w:t>
            </w:r>
          </w:p>
        </w:tc>
        <w:tc>
          <w:tcPr>
            <w:tcW w:w="3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ind w:right="310"/>
              <w:spacing w:after="0" w:line="208" w:lineRule="exact"/>
              <w:rPr>
                <w:sz w:val="20"/>
                <w:szCs w:val="20"/>
                <w:color w:val="auto"/>
              </w:rPr>
            </w:pPr>
            <w:r>
              <w:rPr>
                <w:rFonts w:ascii="Calibri" w:cs="Calibri" w:eastAsia="Calibri" w:hAnsi="Calibri"/>
                <w:sz w:val="18"/>
                <w:szCs w:val="18"/>
                <w:color w:val="auto"/>
                <w:w w:val="87"/>
              </w:rPr>
              <w:t>$</w:t>
            </w:r>
          </w:p>
        </w:tc>
        <w:tc>
          <w:tcPr>
            <w:tcW w:w="16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440" w:type="dxa"/>
            <w:vAlign w:val="bottom"/>
          </w:tcPr>
          <w:p>
            <w:pPr>
              <w:ind w:left="20"/>
              <w:spacing w:after="0" w:line="215" w:lineRule="exact"/>
              <w:rPr>
                <w:sz w:val="20"/>
                <w:szCs w:val="20"/>
                <w:color w:val="auto"/>
              </w:rPr>
            </w:pPr>
            <w:r>
              <w:rPr>
                <w:rFonts w:ascii="Calibri" w:cs="Calibri" w:eastAsia="Calibri" w:hAnsi="Calibri"/>
                <w:sz w:val="18"/>
                <w:szCs w:val="18"/>
                <w:color w:val="auto"/>
              </w:rPr>
              <w:t>Furniture</w:t>
            </w:r>
          </w:p>
        </w:tc>
        <w:tc>
          <w:tcPr>
            <w:tcW w:w="148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1,625</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r>
      <w:tr>
        <w:trPr>
          <w:trHeight w:val="28"/>
        </w:trPr>
        <w:tc>
          <w:tcPr>
            <w:tcW w:w="6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4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Leasehold Improvements</w:t>
            </w:r>
          </w:p>
        </w:tc>
        <w:tc>
          <w:tcPr>
            <w:tcW w:w="14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7,467</w:t>
            </w:r>
          </w:p>
        </w:tc>
        <w:tc>
          <w:tcPr>
            <w:tcW w:w="3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440" w:type="dxa"/>
            <w:vAlign w:val="bottom"/>
          </w:tcPr>
          <w:p>
            <w:pPr>
              <w:ind w:left="20"/>
              <w:spacing w:after="0"/>
              <w:rPr>
                <w:sz w:val="20"/>
                <w:szCs w:val="20"/>
                <w:color w:val="auto"/>
              </w:rPr>
            </w:pPr>
            <w:r>
              <w:rPr>
                <w:rFonts w:ascii="Calibri" w:cs="Calibri" w:eastAsia="Calibri" w:hAnsi="Calibri"/>
                <w:sz w:val="18"/>
                <w:szCs w:val="18"/>
                <w:color w:val="auto"/>
              </w:rPr>
              <w:t>Constructon in progress</w:t>
            </w:r>
          </w:p>
        </w:tc>
        <w:tc>
          <w:tcPr>
            <w:tcW w:w="148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564</w:t>
            </w:r>
          </w:p>
        </w:tc>
        <w:tc>
          <w:tcPr>
            <w:tcW w:w="100" w:type="dxa"/>
            <w:vAlign w:val="bottom"/>
          </w:tcPr>
          <w:p>
            <w:pPr>
              <w:spacing w:after="0"/>
              <w:rPr>
                <w:sz w:val="19"/>
                <w:szCs w:val="19"/>
                <w:color w:val="auto"/>
              </w:rPr>
            </w:pPr>
          </w:p>
        </w:tc>
      </w:tr>
      <w:tr>
        <w:trPr>
          <w:trHeight w:val="23"/>
        </w:trPr>
        <w:tc>
          <w:tcPr>
            <w:tcW w:w="64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Total property and equipment</w:t>
            </w:r>
          </w:p>
        </w:tc>
        <w:tc>
          <w:tcPr>
            <w:tcW w:w="14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11,027</w:t>
            </w:r>
          </w:p>
        </w:tc>
        <w:tc>
          <w:tcPr>
            <w:tcW w:w="3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1,132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0"/>
        </w:trPr>
        <w:tc>
          <w:tcPr>
            <w:tcW w:w="6440" w:type="dxa"/>
            <w:vAlign w:val="bottom"/>
          </w:tcPr>
          <w:p>
            <w:pPr>
              <w:ind w:left="20"/>
              <w:spacing w:after="0"/>
              <w:rPr>
                <w:sz w:val="20"/>
                <w:szCs w:val="20"/>
                <w:color w:val="auto"/>
              </w:rPr>
            </w:pPr>
            <w:r>
              <w:rPr>
                <w:rFonts w:ascii="Calibri" w:cs="Calibri" w:eastAsia="Calibri" w:hAnsi="Calibri"/>
                <w:sz w:val="18"/>
                <w:szCs w:val="18"/>
                <w:color w:val="auto"/>
              </w:rPr>
              <w:t>Less: accumulated depreciaton</w:t>
            </w:r>
          </w:p>
        </w:tc>
        <w:tc>
          <w:tcPr>
            <w:tcW w:w="148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596</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100" w:type="dxa"/>
            <w:vAlign w:val="bottom"/>
          </w:tcPr>
          <w:p>
            <w:pPr>
              <w:spacing w:after="0"/>
              <w:rPr>
                <w:sz w:val="19"/>
                <w:szCs w:val="19"/>
                <w:color w:val="auto"/>
              </w:rPr>
            </w:pPr>
          </w:p>
        </w:tc>
      </w:tr>
      <w:tr>
        <w:trPr>
          <w:trHeight w:val="23"/>
        </w:trPr>
        <w:tc>
          <w:tcPr>
            <w:tcW w:w="6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64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Total property and equipment – net</w:t>
            </w:r>
          </w:p>
        </w:tc>
        <w:tc>
          <w:tcPr>
            <w:tcW w:w="1480" w:type="dxa"/>
            <w:vAlign w:val="bottom"/>
            <w:tcBorders>
              <w:top w:val="single" w:sz="8" w:color="auto"/>
              <w:bottom w:val="single" w:sz="8" w:color="auto"/>
            </w:tcBorders>
            <w:shd w:val="clear" w:color="auto" w:fill="CFF0FC"/>
          </w:tcPr>
          <w:p>
            <w:pPr>
              <w:jc w:val="right"/>
              <w:ind w:right="1290"/>
              <w:spacing w:after="0" w:line="215" w:lineRule="exact"/>
              <w:rPr>
                <w:sz w:val="20"/>
                <w:szCs w:val="20"/>
                <w:color w:val="auto"/>
              </w:rPr>
            </w:pPr>
            <w:r>
              <w:rPr>
                <w:rFonts w:ascii="Calibri" w:cs="Calibri" w:eastAsia="Calibri" w:hAnsi="Calibri"/>
                <w:sz w:val="18"/>
                <w:szCs w:val="18"/>
                <w:b w:val="1"/>
                <w:bCs w:val="1"/>
                <w:color w:val="auto"/>
                <w:w w:val="87"/>
              </w:rPr>
              <w:t>$</w:t>
            </w:r>
          </w:p>
        </w:tc>
        <w:tc>
          <w:tcPr>
            <w:tcW w:w="7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10,431</w:t>
            </w:r>
          </w:p>
        </w:tc>
        <w:tc>
          <w:tcPr>
            <w:tcW w:w="3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10"/>
              <w:spacing w:after="0" w:line="215" w:lineRule="exact"/>
              <w:rPr>
                <w:sz w:val="20"/>
                <w:szCs w:val="20"/>
                <w:color w:val="auto"/>
              </w:rPr>
            </w:pPr>
            <w:r>
              <w:rPr>
                <w:rFonts w:ascii="Calibri" w:cs="Calibri" w:eastAsia="Calibri" w:hAnsi="Calibri"/>
                <w:sz w:val="18"/>
                <w:szCs w:val="18"/>
                <w:b w:val="1"/>
                <w:bCs w:val="1"/>
                <w:color w:val="auto"/>
                <w:w w:val="87"/>
              </w:rPr>
              <w:t>$</w:t>
            </w:r>
          </w:p>
        </w:tc>
        <w:tc>
          <w:tcPr>
            <w:tcW w:w="16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1,082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Depreciaton expense related to property and equipment was $0.6 million, $0.1 million, and $0.6 million for the years ended December 31, 2022, 2021, and 2020, respectvely, and is presented in Depreciaton and amortzaton expense in the Consolidated Statements of Operatons. There were no impairment charges for the years ended December 31, 2022 and 2021. For the year ended December 31, 2020, long-lived asset impairment charges related to property and equipment of $3.7 million were recognized, resultng in a full impairment of all property and equipment. The impairment charges are presented in Impairment charges in the Consolidated Statements of Operatons. During the year ended December 31, 2022, we incurred a loss of $0.1 million on asset disposals related to property and equipment, which are included in General and administratve expenses in the Consolidated Statements of Operatons.</w:t>
      </w:r>
    </w:p>
    <w:p>
      <w:pPr>
        <w:spacing w:after="0" w:line="13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Leases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3" w:name="page84"/>
    <w:bookmarkEnd w:id="8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January 1, 2022, we adopted ASC 842 using a modifed retrospectve transiton approach that allows for a cumulatve-efect adjustment in the period of adopton without revising prior period presentaton. Therefore, for reportng periods beginning afer December 31, 2021, the fnancial statements are prepared in accordance with the current lease standard (ASC 842) and we elected to present the fnancial statements for all periods prior to January 1, 2022 under the previous lease standard (ASC 840). We elected the practcal expedient package, which permits us to not reassess whether any expired or existng contracts are or contain leases, the lease classifcaton for any expired or existng leases, and any inital direct costs for any existng leases as of the efectve date.</w:t>
      </w: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determine if an arrangement is a lease at incepton of a contract. Right-of-use (“ROU”) assets represent our right to use an underlying asset for the lease term and lease liabilites represent our obligaton to make lease payments arising from the lease. ROU assets and lease liabilites are recognized at the lease commencement date based on the present value of lease payments over the lease term. As most of our leases do not provide an implicit interest rate, we use the incremental borrowing rate based on the informaton available at commencement date in determining the present value of lease payments. As of December 31, 2022, the weighted average discount rate applied to the lease liabilites is approximately 7%. Leases with an inital term of 12 months or less are not recorded on the Consolidated Balance Sheets and rent expense for these short-term leases is recognized in General and administratve expenses in the Consolidated Statements of Operatons on a straight-line basis over the lease term. Short-term lease costs were not material to our Consolidated Statements of Operatons for the year ended December 31, 2022.</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entered into all of our lease contracts as a lessee. We are not actng as a lessor under any of our leasing arrangements. The vast majority of our lease contracts are real estate leases for ofce space. All of our leases are classifed as operatng. At December 31, 2022, we had $7.9 million of ROU assets in Right-of-use assets — net, and the corresponding operatng lease liabilites of $0.6 million recorded in Accrued expenses and other current liabilites and $14.9 million recorded in Long-term lease liabilites in the Consolidated Balance Sheets.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Most leases have one or more optons to renew, with renewal terms that can initally extend the lease term for various periods up to fve years. The exercise of renewal optons is at our discreton and are included if they are reasonably certain to be exercised. As of December 31, 2022, the weighted average remaining minimum lease term is approximately 9.7 years. Lease expense for operatng leases is recognized on a straight-line basis over the lease term and is recorded under General and administratve expenses in the Consolidated Statements of Operatons. We elected not to separate lease and non-lease components. Our leases do not contain any material residual value guarantees or restrictve covenants.</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2021, we entered into a lease agreement for our new corporate headquarters in Chicago, Illinois. The lease commenced in the frst quarter of 2022 when we obtained control of the premises, and runs through December 31, 2033 with a 5-year renewal opton. The aggregate lease payments for the inital term are approximately $16.2 million with no rent due untl March 2024.</w:t>
      </w:r>
    </w:p>
    <w:p>
      <w:pPr>
        <w:spacing w:after="0" w:line="151"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The lease agreement provides for a tenant improvement allowance from the landlord in an amount equal to $6.5 million towards the design and constructon on the leased premises. As of December 31, 2022, we incurred leasehold improvement costs of $6.5 million related to the tenant improvement allowance. This amount is recorded in Property and equipment - net in the Consolidated Balance Sheets. On the commencement date, we recognized the ROU asset and corresponding lease liability of $3.4 million in Right-of-use assets — net and Long-term lease liabilites, respectvely, in the Consolidated Balance Sheets.</w:t>
      </w:r>
    </w:p>
    <w:p>
      <w:pPr>
        <w:spacing w:after="0" w:line="141" w:lineRule="exact"/>
        <w:rPr>
          <w:sz w:val="20"/>
          <w:szCs w:val="20"/>
          <w:color w:val="auto"/>
        </w:rPr>
      </w:pPr>
    </w:p>
    <w:p>
      <w:pPr>
        <w:spacing w:after="0"/>
        <w:rPr>
          <w:sz w:val="20"/>
          <w:szCs w:val="20"/>
          <w:color w:val="auto"/>
        </w:rPr>
      </w:pPr>
      <w:r>
        <w:rPr>
          <w:rFonts w:ascii="Calibri" w:cs="Calibri" w:eastAsia="Calibri" w:hAnsi="Calibri"/>
          <w:sz w:val="17"/>
          <w:szCs w:val="17"/>
          <w:color w:val="auto"/>
        </w:rPr>
        <w:t>Operatng and variable lease expenses for the years ended December 31, 2022, 2021 and 2020 were $3.6 million, $3.7 million and $2.8 million, respectvely.</w:t>
      </w:r>
    </w:p>
    <w:p>
      <w:pPr>
        <w:spacing w:after="0" w:line="14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payments for operatng lease liabilites during the year ended December 31, 2022, which are included within the operatng actvites secton in the Consolidated Statements of Cash Flows, were $3.1 million.</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Future lease payments at December 31, 2022 are as follows (in thousands):</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0"/>
        </w:trPr>
        <w:tc>
          <w:tcPr>
            <w:tcW w:w="7680" w:type="dxa"/>
            <w:vAlign w:val="bottom"/>
          </w:tcPr>
          <w:p>
            <w:pPr>
              <w:ind w:left="5020"/>
              <w:spacing w:after="0"/>
              <w:rPr>
                <w:sz w:val="20"/>
                <w:szCs w:val="20"/>
                <w:color w:val="auto"/>
              </w:rPr>
            </w:pPr>
            <w:r>
              <w:rPr>
                <w:rFonts w:ascii="Calibri" w:cs="Calibri" w:eastAsia="Calibri" w:hAnsi="Calibri"/>
                <w:sz w:val="18"/>
                <w:szCs w:val="18"/>
                <w:b w:val="1"/>
                <w:bCs w:val="1"/>
                <w:color w:val="auto"/>
              </w:rPr>
              <w:t>VIVID SEATS INC.</w:t>
            </w:r>
          </w:p>
        </w:tc>
        <w:tc>
          <w:tcPr>
            <w:tcW w:w="6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620"/>
              <w:spacing w:after="0" w:line="216" w:lineRule="exact"/>
              <w:rPr>
                <w:sz w:val="20"/>
                <w:szCs w:val="20"/>
                <w:color w:val="auto"/>
              </w:rPr>
            </w:pPr>
            <w:r>
              <w:rPr>
                <w:rFonts w:ascii="Calibri" w:cs="Calibri" w:eastAsia="Calibri" w:hAnsi="Calibri"/>
                <w:sz w:val="18"/>
                <w:szCs w:val="18"/>
                <w:b w:val="1"/>
                <w:bCs w:val="1"/>
                <w:color w:val="auto"/>
                <w:w w:val="96"/>
              </w:rPr>
              <w:t>NOTES TO THE CONSOLIDATED FINANCIAL STATEMENTS</w:t>
            </w:r>
          </w:p>
        </w:tc>
        <w:tc>
          <w:tcPr>
            <w:tcW w:w="6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6"/>
        </w:trPr>
        <w:tc>
          <w:tcPr>
            <w:tcW w:w="7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60" w:type="dxa"/>
            <w:vAlign w:val="bottom"/>
          </w:tcPr>
          <w:p>
            <w:pPr>
              <w:jc w:val="right"/>
              <w:ind w:right="1030"/>
              <w:spacing w:after="0"/>
              <w:rPr>
                <w:sz w:val="20"/>
                <w:szCs w:val="20"/>
                <w:color w:val="auto"/>
              </w:rPr>
            </w:pPr>
            <w:r>
              <w:rPr>
                <w:rFonts w:ascii="Calibri" w:cs="Calibri" w:eastAsia="Calibri" w:hAnsi="Calibri"/>
                <w:sz w:val="18"/>
                <w:szCs w:val="18"/>
                <w:b w:val="1"/>
                <w:bCs w:val="1"/>
                <w:color w:val="auto"/>
              </w:rPr>
              <w:t>Operatng Leases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76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2023</w:t>
            </w:r>
          </w:p>
        </w:tc>
        <w:tc>
          <w:tcPr>
            <w:tcW w:w="600" w:type="dxa"/>
            <w:vAlign w:val="bottom"/>
            <w:tcBorders>
              <w:bottom w:val="single" w:sz="8" w:color="CFF0FC"/>
            </w:tcBorders>
            <w:shd w:val="clear" w:color="auto" w:fill="CFF0FC"/>
          </w:tcPr>
          <w:p>
            <w:pPr>
              <w:spacing w:after="0"/>
              <w:rPr>
                <w:sz w:val="18"/>
                <w:szCs w:val="18"/>
                <w:color w:val="auto"/>
              </w:rPr>
            </w:pPr>
          </w:p>
        </w:tc>
        <w:tc>
          <w:tcPr>
            <w:tcW w:w="2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line="215" w:lineRule="exact"/>
              <w:rPr>
                <w:sz w:val="20"/>
                <w:szCs w:val="20"/>
                <w:color w:val="auto"/>
              </w:rPr>
            </w:pPr>
            <w:r>
              <w:rPr>
                <w:rFonts w:ascii="Calibri" w:cs="Calibri" w:eastAsia="Calibri" w:hAnsi="Calibri"/>
                <w:sz w:val="18"/>
                <w:szCs w:val="18"/>
                <w:color w:val="auto"/>
              </w:rPr>
              <w:t>2024</w:t>
            </w:r>
          </w:p>
        </w:tc>
        <w:tc>
          <w:tcPr>
            <w:tcW w:w="600" w:type="dxa"/>
            <w:vAlign w:val="bottom"/>
          </w:tcPr>
          <w:p>
            <w:pPr>
              <w:spacing w:after="0"/>
              <w:rPr>
                <w:sz w:val="18"/>
                <w:szCs w:val="18"/>
                <w:color w:val="auto"/>
              </w:rPr>
            </w:pPr>
          </w:p>
        </w:tc>
        <w:tc>
          <w:tcPr>
            <w:tcW w:w="2860" w:type="dxa"/>
            <w:vAlign w:val="bottom"/>
          </w:tcPr>
          <w:p>
            <w:pPr>
              <w:jc w:val="right"/>
              <w:spacing w:after="0" w:line="215" w:lineRule="exact"/>
              <w:rPr>
                <w:sz w:val="20"/>
                <w:szCs w:val="20"/>
                <w:color w:val="auto"/>
              </w:rPr>
            </w:pPr>
            <w:r>
              <w:rPr>
                <w:rFonts w:ascii="Calibri" w:cs="Calibri" w:eastAsia="Calibri" w:hAnsi="Calibri"/>
                <w:sz w:val="18"/>
                <w:szCs w:val="18"/>
                <w:color w:val="auto"/>
              </w:rPr>
              <w:t>2,030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2025</w:t>
            </w:r>
          </w:p>
        </w:tc>
        <w:tc>
          <w:tcPr>
            <w:tcW w:w="60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600" w:type="dxa"/>
            <w:vAlign w:val="bottom"/>
          </w:tcPr>
          <w:p>
            <w:pPr>
              <w:spacing w:after="0"/>
              <w:rPr>
                <w:sz w:val="18"/>
                <w:szCs w:val="18"/>
                <w:color w:val="auto"/>
              </w:rPr>
            </w:pPr>
          </w:p>
        </w:tc>
        <w:tc>
          <w:tcPr>
            <w:tcW w:w="2860" w:type="dxa"/>
            <w:vAlign w:val="bottom"/>
          </w:tcPr>
          <w:p>
            <w:pPr>
              <w:jc w:val="right"/>
              <w:spacing w:after="0" w:line="215" w:lineRule="exact"/>
              <w:rPr>
                <w:sz w:val="20"/>
                <w:szCs w:val="20"/>
                <w:color w:val="auto"/>
              </w:rPr>
            </w:pPr>
            <w:r>
              <w:rPr>
                <w:rFonts w:ascii="Calibri" w:cs="Calibri" w:eastAsia="Calibri" w:hAnsi="Calibri"/>
                <w:sz w:val="18"/>
                <w:szCs w:val="18"/>
                <w:color w:val="auto"/>
              </w:rPr>
              <w:t>2,471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2027</w:t>
            </w:r>
          </w:p>
        </w:tc>
        <w:tc>
          <w:tcPr>
            <w:tcW w:w="60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600" w:type="dxa"/>
            <w:vAlign w:val="bottom"/>
          </w:tcPr>
          <w:p>
            <w:pPr>
              <w:spacing w:after="0"/>
              <w:rPr>
                <w:sz w:val="18"/>
                <w:szCs w:val="18"/>
                <w:color w:val="auto"/>
              </w:rPr>
            </w:pPr>
          </w:p>
        </w:tc>
        <w:tc>
          <w:tcPr>
            <w:tcW w:w="2860" w:type="dxa"/>
            <w:vAlign w:val="bottom"/>
          </w:tcPr>
          <w:p>
            <w:pPr>
              <w:jc w:val="right"/>
              <w:spacing w:after="0" w:line="215" w:lineRule="exact"/>
              <w:rPr>
                <w:sz w:val="20"/>
                <w:szCs w:val="20"/>
                <w:color w:val="auto"/>
              </w:rPr>
            </w:pPr>
            <w:r>
              <w:rPr>
                <w:rFonts w:ascii="Calibri" w:cs="Calibri" w:eastAsia="Calibri" w:hAnsi="Calibri"/>
                <w:sz w:val="18"/>
                <w:szCs w:val="18"/>
                <w:color w:val="auto"/>
              </w:rPr>
              <w:t>2,486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6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600" w:type="dxa"/>
            <w:vAlign w:val="bottom"/>
            <w:tcBorders>
              <w:bottom w:val="single" w:sz="8" w:color="CFF0FC"/>
            </w:tcBorders>
            <w:shd w:val="clear" w:color="auto" w:fill="CFF0FC"/>
          </w:tcPr>
          <w:p>
            <w:pPr>
              <w:spacing w:after="0"/>
              <w:rPr>
                <w:sz w:val="21"/>
                <w:szCs w:val="21"/>
                <w:color w:val="auto"/>
              </w:rPr>
            </w:pPr>
          </w:p>
        </w:tc>
        <w:tc>
          <w:tcPr>
            <w:tcW w:w="2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9,817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68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remaining lease payments</w:t>
            </w:r>
          </w:p>
        </w:tc>
        <w:tc>
          <w:tcPr>
            <w:tcW w:w="6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22,596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6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Less: Imputed interest</w:t>
            </w:r>
          </w:p>
        </w:tc>
        <w:tc>
          <w:tcPr>
            <w:tcW w:w="600" w:type="dxa"/>
            <w:vAlign w:val="bottom"/>
            <w:tcBorders>
              <w:bottom w:val="single" w:sz="8" w:color="CFF0FC"/>
            </w:tcBorders>
            <w:shd w:val="clear" w:color="auto" w:fill="CFF0FC"/>
          </w:tcPr>
          <w:p>
            <w:pPr>
              <w:spacing w:after="0"/>
              <w:rPr>
                <w:sz w:val="21"/>
                <w:szCs w:val="21"/>
                <w:color w:val="auto"/>
              </w:rPr>
            </w:pPr>
          </w:p>
        </w:tc>
        <w:tc>
          <w:tcPr>
            <w:tcW w:w="2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7,104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Present value of lease liabilites</w:t>
            </w:r>
          </w:p>
        </w:tc>
        <w:tc>
          <w:tcPr>
            <w:tcW w:w="600" w:type="dxa"/>
            <w:vAlign w:val="bottom"/>
            <w:tcBorders>
              <w:top w:val="single" w:sz="8" w:color="auto"/>
              <w:bottom w:val="single" w:sz="8" w:color="auto"/>
            </w:tcBorders>
          </w:tcPr>
          <w:p>
            <w:pPr>
              <w:jc w:val="right"/>
              <w:ind w:right="410"/>
              <w:spacing w:after="0" w:line="215" w:lineRule="exact"/>
              <w:rPr>
                <w:sz w:val="20"/>
                <w:szCs w:val="20"/>
                <w:color w:val="auto"/>
              </w:rPr>
            </w:pPr>
            <w:r>
              <w:rPr>
                <w:rFonts w:ascii="Calibri" w:cs="Calibri" w:eastAsia="Calibri" w:hAnsi="Calibri"/>
                <w:sz w:val="18"/>
                <w:szCs w:val="18"/>
                <w:b w:val="1"/>
                <w:bCs w:val="1"/>
                <w:color w:val="auto"/>
                <w:w w:val="87"/>
              </w:rPr>
              <w:t>$</w:t>
            </w:r>
          </w:p>
        </w:tc>
        <w:tc>
          <w:tcPr>
            <w:tcW w:w="28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15,492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Calibri" w:cs="Calibri" w:eastAsia="Calibri" w:hAnsi="Calibri"/>
                <w:sz w:val="18"/>
                <w:szCs w:val="18"/>
                <w:color w:val="auto"/>
              </w:rPr>
              <w:t>Future lease payments at December 31, 2021 under ASC 840 were as follows (in thousands):</w:t>
            </w:r>
          </w:p>
        </w:tc>
        <w:tc>
          <w:tcPr>
            <w:tcW w:w="6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6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60" w:type="dxa"/>
            <w:vAlign w:val="bottom"/>
          </w:tcPr>
          <w:p>
            <w:pPr>
              <w:jc w:val="right"/>
              <w:ind w:right="1030"/>
              <w:spacing w:after="0"/>
              <w:rPr>
                <w:sz w:val="20"/>
                <w:szCs w:val="20"/>
                <w:color w:val="auto"/>
              </w:rPr>
            </w:pPr>
            <w:r>
              <w:rPr>
                <w:rFonts w:ascii="Calibri" w:cs="Calibri" w:eastAsia="Calibri" w:hAnsi="Calibri"/>
                <w:sz w:val="18"/>
                <w:szCs w:val="18"/>
                <w:b w:val="1"/>
                <w:bCs w:val="1"/>
                <w:color w:val="auto"/>
              </w:rPr>
              <w:t>Operatng Leases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76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2022</w:t>
            </w:r>
          </w:p>
        </w:tc>
        <w:tc>
          <w:tcPr>
            <w:tcW w:w="600" w:type="dxa"/>
            <w:vAlign w:val="bottom"/>
            <w:tcBorders>
              <w:bottom w:val="single" w:sz="8" w:color="CFF0FC"/>
            </w:tcBorders>
            <w:shd w:val="clear" w:color="auto" w:fill="CFF0FC"/>
          </w:tcPr>
          <w:p>
            <w:pPr>
              <w:spacing w:after="0"/>
              <w:rPr>
                <w:sz w:val="18"/>
                <w:szCs w:val="18"/>
                <w:color w:val="auto"/>
              </w:rPr>
            </w:pPr>
          </w:p>
        </w:tc>
        <w:tc>
          <w:tcPr>
            <w:tcW w:w="2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3,437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line="215" w:lineRule="exact"/>
              <w:rPr>
                <w:sz w:val="20"/>
                <w:szCs w:val="20"/>
                <w:color w:val="auto"/>
              </w:rPr>
            </w:pPr>
            <w:r>
              <w:rPr>
                <w:rFonts w:ascii="Calibri" w:cs="Calibri" w:eastAsia="Calibri" w:hAnsi="Calibri"/>
                <w:sz w:val="18"/>
                <w:szCs w:val="18"/>
                <w:color w:val="auto"/>
              </w:rPr>
              <w:t>2023</w:t>
            </w:r>
          </w:p>
        </w:tc>
        <w:tc>
          <w:tcPr>
            <w:tcW w:w="600" w:type="dxa"/>
            <w:vAlign w:val="bottom"/>
          </w:tcPr>
          <w:p>
            <w:pPr>
              <w:spacing w:after="0"/>
              <w:rPr>
                <w:sz w:val="18"/>
                <w:szCs w:val="18"/>
                <w:color w:val="auto"/>
              </w:rPr>
            </w:pPr>
          </w:p>
        </w:tc>
        <w:tc>
          <w:tcPr>
            <w:tcW w:w="2860" w:type="dxa"/>
            <w:vAlign w:val="bottom"/>
          </w:tcPr>
          <w:p>
            <w:pPr>
              <w:jc w:val="right"/>
              <w:spacing w:after="0" w:line="215" w:lineRule="exact"/>
              <w:rPr>
                <w:sz w:val="20"/>
                <w:szCs w:val="20"/>
                <w:color w:val="auto"/>
              </w:rPr>
            </w:pPr>
            <w:r>
              <w:rPr>
                <w:rFonts w:ascii="Calibri" w:cs="Calibri" w:eastAsia="Calibri" w:hAnsi="Calibri"/>
                <w:sz w:val="18"/>
                <w:szCs w:val="18"/>
                <w:color w:val="auto"/>
              </w:rPr>
              <w:t>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2024</w:t>
            </w:r>
          </w:p>
        </w:tc>
        <w:tc>
          <w:tcPr>
            <w:tcW w:w="60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line="215" w:lineRule="exact"/>
              <w:rPr>
                <w:sz w:val="20"/>
                <w:szCs w:val="20"/>
                <w:color w:val="auto"/>
              </w:rPr>
            </w:pPr>
            <w:r>
              <w:rPr>
                <w:rFonts w:ascii="Calibri" w:cs="Calibri" w:eastAsia="Calibri" w:hAnsi="Calibri"/>
                <w:sz w:val="18"/>
                <w:szCs w:val="18"/>
                <w:color w:val="auto"/>
              </w:rPr>
              <w:t>2025</w:t>
            </w:r>
          </w:p>
        </w:tc>
        <w:tc>
          <w:tcPr>
            <w:tcW w:w="600" w:type="dxa"/>
            <w:vAlign w:val="bottom"/>
          </w:tcPr>
          <w:p>
            <w:pPr>
              <w:spacing w:after="0"/>
              <w:rPr>
                <w:sz w:val="18"/>
                <w:szCs w:val="18"/>
                <w:color w:val="auto"/>
              </w:rPr>
            </w:pPr>
          </w:p>
        </w:tc>
        <w:tc>
          <w:tcPr>
            <w:tcW w:w="2860" w:type="dxa"/>
            <w:vAlign w:val="bottom"/>
          </w:tcPr>
          <w:p>
            <w:pPr>
              <w:jc w:val="right"/>
              <w:spacing w:after="0" w:line="215" w:lineRule="exact"/>
              <w:rPr>
                <w:sz w:val="20"/>
                <w:szCs w:val="20"/>
                <w:color w:val="auto"/>
              </w:rPr>
            </w:pPr>
            <w:r>
              <w:rPr>
                <w:rFonts w:ascii="Calibri" w:cs="Calibri" w:eastAsia="Calibri" w:hAnsi="Calibri"/>
                <w:sz w:val="18"/>
                <w:szCs w:val="18"/>
                <w:color w:val="auto"/>
              </w:rPr>
              <w:t>2,458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2026</w:t>
            </w:r>
          </w:p>
        </w:tc>
        <w:tc>
          <w:tcPr>
            <w:tcW w:w="60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2,477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600" w:type="dxa"/>
            <w:vAlign w:val="bottom"/>
          </w:tcPr>
          <w:p>
            <w:pPr>
              <w:spacing w:after="0"/>
              <w:rPr>
                <w:sz w:val="18"/>
                <w:szCs w:val="18"/>
                <w:color w:val="auto"/>
              </w:rPr>
            </w:pPr>
          </w:p>
        </w:tc>
        <w:tc>
          <w:tcPr>
            <w:tcW w:w="2860" w:type="dxa"/>
            <w:vAlign w:val="bottom"/>
          </w:tcPr>
          <w:p>
            <w:pPr>
              <w:jc w:val="right"/>
              <w:spacing w:after="0" w:line="215" w:lineRule="exact"/>
              <w:rPr>
                <w:sz w:val="20"/>
                <w:szCs w:val="20"/>
                <w:color w:val="auto"/>
              </w:rPr>
            </w:pPr>
            <w:r>
              <w:rPr>
                <w:rFonts w:ascii="Calibri" w:cs="Calibri" w:eastAsia="Calibri" w:hAnsi="Calibri"/>
                <w:sz w:val="18"/>
                <w:szCs w:val="18"/>
                <w:color w:val="auto"/>
              </w:rPr>
              <w:t>14,736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68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Total remaining lease payments</w:t>
            </w:r>
          </w:p>
        </w:tc>
        <w:tc>
          <w:tcPr>
            <w:tcW w:w="600" w:type="dxa"/>
            <w:vAlign w:val="bottom"/>
            <w:tcBorders>
              <w:bottom w:val="single" w:sz="8" w:color="CFF0FC"/>
            </w:tcBorders>
            <w:shd w:val="clear" w:color="auto" w:fill="CFF0FC"/>
          </w:tcPr>
          <w:p>
            <w:pPr>
              <w:jc w:val="right"/>
              <w:ind w:right="410"/>
              <w:spacing w:after="0" w:line="213" w:lineRule="exact"/>
              <w:rPr>
                <w:sz w:val="20"/>
                <w:szCs w:val="20"/>
                <w:color w:val="auto"/>
              </w:rPr>
            </w:pPr>
            <w:r>
              <w:rPr>
                <w:rFonts w:ascii="Calibri" w:cs="Calibri" w:eastAsia="Calibri" w:hAnsi="Calibri"/>
                <w:sz w:val="18"/>
                <w:szCs w:val="18"/>
                <w:b w:val="1"/>
                <w:bCs w:val="1"/>
                <w:color w:val="auto"/>
                <w:w w:val="87"/>
              </w:rPr>
              <w:t>$</w:t>
            </w:r>
          </w:p>
        </w:tc>
        <w:tc>
          <w:tcPr>
            <w:tcW w:w="28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26,051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1631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Goodwill and Intangible Assets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Defnite-lived intangible assets includes developed technology and customer relatonships, which had a net carrying amount of $17.3 million and $13.8 million at December 31, 2022 and 2021, respectvely. At December 31, 2022 and 2021, accumulated amortzaton related to our developed technology was $9.6 million and $2.5 million, respectvely. Our goodwill is included in our Marketplace segment.</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The net changes in the carrying amounts of our intangible assets and goodwill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160" w:type="dxa"/>
            <w:vAlign w:val="bottom"/>
            <w:gridSpan w:val="3"/>
          </w:tcPr>
          <w:p>
            <w:pPr>
              <w:jc w:val="right"/>
              <w:ind w:right="340"/>
              <w:spacing w:after="0"/>
              <w:rPr>
                <w:sz w:val="20"/>
                <w:szCs w:val="20"/>
                <w:color w:val="auto"/>
              </w:rPr>
            </w:pPr>
            <w:r>
              <w:rPr>
                <w:rFonts w:ascii="Calibri" w:cs="Calibri" w:eastAsia="Calibri" w:hAnsi="Calibri"/>
                <w:sz w:val="18"/>
                <w:szCs w:val="18"/>
                <w:b w:val="1"/>
                <w:bCs w:val="1"/>
                <w:color w:val="auto"/>
              </w:rPr>
              <w:t>Defnite-lived Intangible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gridSpan w:val="2"/>
          </w:tcPr>
          <w:p>
            <w:pPr>
              <w:jc w:val="right"/>
              <w:ind w:right="980"/>
              <w:spacing w:after="0" w:line="216" w:lineRule="exact"/>
              <w:rPr>
                <w:sz w:val="20"/>
                <w:szCs w:val="20"/>
                <w:color w:val="auto"/>
              </w:rPr>
            </w:pPr>
            <w:r>
              <w:rPr>
                <w:rFonts w:ascii="Calibri" w:cs="Calibri" w:eastAsia="Calibri" w:hAnsi="Calibri"/>
                <w:sz w:val="18"/>
                <w:szCs w:val="18"/>
                <w:b w:val="1"/>
                <w:bCs w:val="1"/>
                <w:color w:val="auto"/>
              </w:rPr>
              <w:t>Assets</w:t>
            </w:r>
          </w:p>
        </w:tc>
        <w:tc>
          <w:tcPr>
            <w:tcW w:w="220" w:type="dxa"/>
            <w:vAlign w:val="bottom"/>
          </w:tcPr>
          <w:p>
            <w:pPr>
              <w:spacing w:after="0"/>
              <w:rPr>
                <w:sz w:val="18"/>
                <w:szCs w:val="18"/>
                <w:color w:val="auto"/>
              </w:rPr>
            </w:pPr>
          </w:p>
        </w:tc>
        <w:tc>
          <w:tcPr>
            <w:tcW w:w="1200" w:type="dxa"/>
            <w:vAlign w:val="bottom"/>
          </w:tcPr>
          <w:p>
            <w:pPr>
              <w:jc w:val="right"/>
              <w:ind w:right="230"/>
              <w:spacing w:after="0" w:line="216" w:lineRule="exact"/>
              <w:rPr>
                <w:sz w:val="20"/>
                <w:szCs w:val="20"/>
                <w:color w:val="auto"/>
              </w:rPr>
            </w:pPr>
            <w:r>
              <w:rPr>
                <w:rFonts w:ascii="Calibri" w:cs="Calibri" w:eastAsia="Calibri" w:hAnsi="Calibri"/>
                <w:sz w:val="18"/>
                <w:szCs w:val="18"/>
                <w:b w:val="1"/>
                <w:bCs w:val="1"/>
                <w:color w:val="auto"/>
              </w:rPr>
              <w:t>Trademark</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00"/>
              <w:spacing w:after="0" w:line="216" w:lineRule="exact"/>
              <w:rPr>
                <w:sz w:val="20"/>
                <w:szCs w:val="20"/>
                <w:color w:val="auto"/>
              </w:rPr>
            </w:pPr>
            <w:r>
              <w:rPr>
                <w:rFonts w:ascii="Calibri" w:cs="Calibri" w:eastAsia="Calibri" w:hAnsi="Calibri"/>
                <w:sz w:val="18"/>
                <w:szCs w:val="18"/>
                <w:b w:val="1"/>
                <w:bCs w:val="1"/>
                <w:color w:val="auto"/>
              </w:rPr>
              <w:t>Goodwill</w:t>
            </w:r>
          </w:p>
        </w:tc>
        <w:tc>
          <w:tcPr>
            <w:tcW w:w="0" w:type="dxa"/>
            <w:vAlign w:val="bottom"/>
          </w:tcPr>
          <w:p>
            <w:pPr>
              <w:spacing w:after="0"/>
              <w:rPr>
                <w:sz w:val="1"/>
                <w:szCs w:val="1"/>
                <w:color w:val="auto"/>
              </w:rPr>
            </w:pPr>
          </w:p>
        </w:tc>
      </w:tr>
      <w:tr>
        <w:trPr>
          <w:trHeight w:val="37"/>
        </w:trPr>
        <w:tc>
          <w:tcPr>
            <w:tcW w:w="3880" w:type="dxa"/>
            <w:vAlign w:val="bottom"/>
          </w:tcPr>
          <w:p>
            <w:pPr>
              <w:spacing w:after="0"/>
              <w:rPr>
                <w:sz w:val="3"/>
                <w:szCs w:val="3"/>
                <w:color w:val="auto"/>
              </w:rPr>
            </w:pPr>
          </w:p>
        </w:tc>
        <w:tc>
          <w:tcPr>
            <w:tcW w:w="2380" w:type="dxa"/>
            <w:vAlign w:val="bottom"/>
            <w:gridSpan w:val="2"/>
          </w:tcPr>
          <w:p>
            <w:pPr>
              <w:spacing w:after="0"/>
              <w:rPr>
                <w:sz w:val="3"/>
                <w:szCs w:val="3"/>
                <w:color w:val="auto"/>
              </w:rPr>
            </w:pPr>
          </w:p>
        </w:tc>
        <w:tc>
          <w:tcPr>
            <w:tcW w:w="1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8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Balance at January 1, 2021</w:t>
            </w:r>
          </w:p>
        </w:tc>
        <w:tc>
          <w:tcPr>
            <w:tcW w:w="19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CFF0FC"/>
            </w:tcBorders>
            <w:shd w:val="clear" w:color="auto" w:fill="CFF0FC"/>
          </w:tcPr>
          <w:p>
            <w:pPr>
              <w:jc w:val="right"/>
              <w:ind w:right="210"/>
              <w:spacing w:after="0" w:line="208" w:lineRule="exact"/>
              <w:rPr>
                <w:sz w:val="20"/>
                <w:szCs w:val="20"/>
                <w:color w:val="auto"/>
              </w:rPr>
            </w:pPr>
            <w:r>
              <w:rPr>
                <w:rFonts w:ascii="Calibri" w:cs="Calibri" w:eastAsia="Calibri" w:hAnsi="Calibri"/>
                <w:sz w:val="18"/>
                <w:szCs w:val="18"/>
                <w:b w:val="1"/>
                <w:bCs w:val="1"/>
                <w:color w:val="auto"/>
                <w:w w:val="87"/>
              </w:rPr>
              <w:t>$</w:t>
            </w:r>
          </w:p>
        </w:tc>
        <w:tc>
          <w:tcPr>
            <w:tcW w:w="15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2,358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64,666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683,327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line="215" w:lineRule="exact"/>
              <w:rPr>
                <w:sz w:val="20"/>
                <w:szCs w:val="20"/>
                <w:color w:val="auto"/>
              </w:rPr>
            </w:pPr>
            <w:r>
              <w:rPr>
                <w:rFonts w:ascii="Calibri" w:cs="Calibri" w:eastAsia="Calibri" w:hAnsi="Calibri"/>
                <w:sz w:val="18"/>
                <w:szCs w:val="18"/>
                <w:color w:val="auto"/>
              </w:rPr>
              <w:t>Acquisiton</w:t>
            </w: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5,320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34,877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Capitalized development costs</w:t>
            </w:r>
          </w:p>
        </w:tc>
        <w:tc>
          <w:tcPr>
            <w:tcW w:w="19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8,438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line="215" w:lineRule="exact"/>
              <w:rPr>
                <w:sz w:val="20"/>
                <w:szCs w:val="20"/>
                <w:color w:val="auto"/>
              </w:rPr>
            </w:pPr>
            <w:r>
              <w:rPr>
                <w:rFonts w:ascii="Calibri" w:cs="Calibri" w:eastAsia="Calibri" w:hAnsi="Calibri"/>
                <w:sz w:val="18"/>
                <w:szCs w:val="18"/>
                <w:color w:val="auto"/>
              </w:rPr>
              <w:t>Amortzaton</w:t>
            </w: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(2,271 )</w:t>
            </w:r>
          </w:p>
        </w:tc>
        <w:tc>
          <w:tcPr>
            <w:tcW w:w="2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Balance at December 31, 2021</w:t>
            </w:r>
          </w:p>
        </w:tc>
        <w:tc>
          <w:tcPr>
            <w:tcW w:w="19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13,845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64,666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718,204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line="215" w:lineRule="exact"/>
              <w:rPr>
                <w:sz w:val="20"/>
                <w:szCs w:val="20"/>
                <w:color w:val="auto"/>
              </w:rPr>
            </w:pPr>
            <w:r>
              <w:rPr>
                <w:rFonts w:ascii="Calibri" w:cs="Calibri" w:eastAsia="Calibri" w:hAnsi="Calibri"/>
                <w:sz w:val="18"/>
                <w:szCs w:val="18"/>
                <w:color w:val="auto"/>
              </w:rPr>
              <w:t>Acquisiton adjustment</w:t>
            </w: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(890 )</w:t>
            </w:r>
          </w:p>
        </w:tc>
        <w:tc>
          <w:tcPr>
            <w:tcW w:w="2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(2,946 )</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Capitalized development costs</w:t>
            </w:r>
          </w:p>
        </w:tc>
        <w:tc>
          <w:tcPr>
            <w:tcW w:w="19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11,763</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line="215" w:lineRule="exact"/>
              <w:rPr>
                <w:sz w:val="20"/>
                <w:szCs w:val="20"/>
                <w:color w:val="auto"/>
              </w:rPr>
            </w:pPr>
            <w:r>
              <w:rPr>
                <w:rFonts w:ascii="Calibri" w:cs="Calibri" w:eastAsia="Calibri" w:hAnsi="Calibri"/>
                <w:sz w:val="18"/>
                <w:szCs w:val="18"/>
                <w:color w:val="auto"/>
              </w:rPr>
              <w:t>Disposals</w:t>
            </w: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(259 )</w:t>
            </w:r>
          </w:p>
        </w:tc>
        <w:tc>
          <w:tcPr>
            <w:tcW w:w="22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8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Amortzaton</w:t>
            </w:r>
          </w:p>
        </w:tc>
        <w:tc>
          <w:tcPr>
            <w:tcW w:w="19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(7,149 )</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3"/>
        </w:trPr>
        <w:tc>
          <w:tcPr>
            <w:tcW w:w="388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Balance at December 31, 2022</w:t>
            </w:r>
          </w:p>
        </w:tc>
        <w:tc>
          <w:tcPr>
            <w:tcW w:w="198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jc w:val="right"/>
              <w:ind w:right="210"/>
              <w:spacing w:after="0" w:line="213" w:lineRule="exact"/>
              <w:rPr>
                <w:sz w:val="20"/>
                <w:szCs w:val="20"/>
                <w:color w:val="auto"/>
              </w:rPr>
            </w:pPr>
            <w:r>
              <w:rPr>
                <w:rFonts w:ascii="Calibri" w:cs="Calibri" w:eastAsia="Calibri" w:hAnsi="Calibri"/>
                <w:sz w:val="18"/>
                <w:szCs w:val="18"/>
                <w:b w:val="1"/>
                <w:bCs w:val="1"/>
                <w:color w:val="auto"/>
                <w:w w:val="87"/>
              </w:rPr>
              <w:t>$</w:t>
            </w:r>
          </w:p>
        </w:tc>
        <w:tc>
          <w:tcPr>
            <w:tcW w:w="15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17,310</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jc w:val="right"/>
              <w:ind w:right="10"/>
              <w:spacing w:after="0" w:line="213"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64,666</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jc w:val="right"/>
              <w:ind w:right="50"/>
              <w:spacing w:after="0" w:line="213"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715,258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980" w:type="dxa"/>
            <w:vAlign w:val="bottom"/>
            <w:vMerge w:val="restart"/>
          </w:tcPr>
          <w:p>
            <w:pPr>
              <w:jc w:val="right"/>
              <w:ind w:right="50"/>
              <w:spacing w:after="0"/>
              <w:rPr>
                <w:sz w:val="20"/>
                <w:szCs w:val="20"/>
                <w:color w:val="auto"/>
              </w:rPr>
            </w:pPr>
            <w:r>
              <w:rPr>
                <w:rFonts w:ascii="Calibri" w:cs="Calibri" w:eastAsia="Calibri" w:hAnsi="Calibri"/>
                <w:sz w:val="18"/>
                <w:szCs w:val="18"/>
                <w:color w:val="auto"/>
              </w:rPr>
              <w:t>82</w:t>
            </w: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38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8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-539115</wp:posOffset>
            </wp:positionV>
            <wp:extent cx="6858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-539115</wp:posOffset>
            </wp:positionV>
            <wp:extent cx="68580"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1885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5" w:name="page86"/>
    <w:bookmarkEnd w:id="8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We had recorded $563.2 million of cumulatve impairment charges related to our intangible assets and goodwill as of December 31, 2022 and 2021.</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Amortzaton expense on our defnite-lived intangible assets was $7.1 million, $2.3 million, and $47.4 million for the years ended December 31, 2022, 2021, and 2020, respectvely, and is presented in Depreciaton and amortzaton in the Consolidated Statements of Operatons. During the year ended December 31, 2022, we incurred a loss of $0.3 million on asset disposals related to defnite-lived intangible assets, which are included in General and administratve expenses in the Consolidated Statements of Operatons.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color w:val="auto"/>
        </w:rPr>
        <w:t>The estmated future amortzaton expense related to the defnite-lived intangible assets as of December 31, 2022 is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gridSpan w:val="3"/>
          </w:tcPr>
          <w:p>
            <w:pPr>
              <w:ind w:left="20"/>
              <w:spacing w:after="0"/>
              <w:rPr>
                <w:sz w:val="20"/>
                <w:szCs w:val="20"/>
                <w:color w:val="auto"/>
              </w:rPr>
            </w:pPr>
            <w:r>
              <w:rPr>
                <w:rFonts w:ascii="Arial" w:cs="Arial" w:eastAsia="Arial" w:hAnsi="Arial"/>
                <w:sz w:val="16"/>
                <w:szCs w:val="16"/>
                <w:b w:val="1"/>
                <w:bCs w:val="1"/>
                <w:color w:val="auto"/>
              </w:rPr>
              <w:t>Future amortization expense:</w:t>
            </w: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80" w:type="dxa"/>
            <w:vAlign w:val="bottom"/>
            <w:tcBorders>
              <w:bottom w:val="single" w:sz="8" w:color="CFF0FC"/>
            </w:tcBorders>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2023</w:t>
            </w:r>
          </w:p>
        </w:tc>
        <w:tc>
          <w:tcPr>
            <w:tcW w:w="4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2024</w:t>
            </w:r>
          </w:p>
        </w:tc>
        <w:tc>
          <w:tcPr>
            <w:tcW w:w="4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5,820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80" w:type="dxa"/>
            <w:vAlign w:val="bottom"/>
            <w:tcBorders>
              <w:bottom w:val="single" w:sz="8" w:color="CFF0FC"/>
            </w:tcBorders>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2025</w:t>
            </w:r>
          </w:p>
        </w:tc>
        <w:tc>
          <w:tcPr>
            <w:tcW w:w="4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2026</w:t>
            </w:r>
          </w:p>
        </w:tc>
        <w:tc>
          <w:tcPr>
            <w:tcW w:w="4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280" w:type="dxa"/>
            <w:vAlign w:val="bottom"/>
            <w:tcBorders>
              <w:bottom w:val="single" w:sz="8" w:color="CFF0FC"/>
            </w:tcBorders>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2027</w:t>
            </w:r>
          </w:p>
        </w:tc>
        <w:tc>
          <w:tcPr>
            <w:tcW w:w="4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3"/>
        </w:trPr>
        <w:tc>
          <w:tcPr>
            <w:tcW w:w="6440" w:type="dxa"/>
            <w:vAlign w:val="bottom"/>
            <w:tcBorders>
              <w:top w:val="single" w:sz="8" w:color="CFF0FC"/>
            </w:tcBorders>
            <w:gridSpan w:val="3"/>
          </w:tcPr>
          <w:p>
            <w:pPr>
              <w:ind w:left="20"/>
              <w:spacing w:after="0" w:line="213" w:lineRule="exact"/>
              <w:rPr>
                <w:sz w:val="20"/>
                <w:szCs w:val="20"/>
                <w:color w:val="auto"/>
              </w:rPr>
            </w:pPr>
            <w:r>
              <w:rPr>
                <w:rFonts w:ascii="Calibri" w:cs="Calibri" w:eastAsia="Calibri" w:hAnsi="Calibri"/>
                <w:sz w:val="18"/>
                <w:szCs w:val="18"/>
                <w:b w:val="1"/>
                <w:bCs w:val="1"/>
                <w:color w:val="auto"/>
              </w:rPr>
              <w:t>Total</w:t>
            </w:r>
          </w:p>
        </w:tc>
        <w:tc>
          <w:tcPr>
            <w:tcW w:w="500" w:type="dxa"/>
            <w:vAlign w:val="bottom"/>
            <w:tcBorders>
              <w:top w:val="single" w:sz="8" w:color="CFF0FC"/>
            </w:tcBorders>
          </w:tcPr>
          <w:p>
            <w:pPr>
              <w:spacing w:after="0"/>
              <w:rPr>
                <w:sz w:val="18"/>
                <w:szCs w:val="18"/>
                <w:color w:val="auto"/>
              </w:rPr>
            </w:pPr>
          </w:p>
        </w:tc>
        <w:tc>
          <w:tcPr>
            <w:tcW w:w="14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jc w:val="right"/>
              <w:ind w:right="30"/>
              <w:spacing w:after="0" w:line="213" w:lineRule="exact"/>
              <w:rPr>
                <w:sz w:val="20"/>
                <w:szCs w:val="20"/>
                <w:color w:val="auto"/>
              </w:rPr>
            </w:pPr>
            <w:r>
              <w:rPr>
                <w:rFonts w:ascii="Calibri" w:cs="Calibri" w:eastAsia="Calibri" w:hAnsi="Calibri"/>
                <w:sz w:val="18"/>
                <w:szCs w:val="18"/>
                <w:b w:val="1"/>
                <w:bCs w:val="1"/>
                <w:color w:val="auto"/>
                <w:w w:val="87"/>
              </w:rPr>
              <w:t>$</w:t>
            </w:r>
          </w:p>
        </w:tc>
        <w:tc>
          <w:tcPr>
            <w:tcW w:w="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17,310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440" w:type="dxa"/>
            <w:vAlign w:val="bottom"/>
            <w:gridSpan w:val="3"/>
            <w:vMerge w:val="restart"/>
          </w:tcPr>
          <w:p>
            <w:pPr>
              <w:spacing w:after="0"/>
              <w:rPr>
                <w:sz w:val="20"/>
                <w:szCs w:val="20"/>
                <w:color w:val="auto"/>
              </w:rPr>
            </w:pPr>
            <w:r>
              <w:rPr>
                <w:rFonts w:ascii="Calibri" w:cs="Calibri" w:eastAsia="Calibri" w:hAnsi="Calibri"/>
                <w:sz w:val="18"/>
                <w:szCs w:val="18"/>
                <w:b w:val="1"/>
                <w:bCs w:val="1"/>
                <w:color w:val="auto"/>
              </w:rPr>
              <w:t>10. Prepaid Expenses and Other Current Assets</w:t>
            </w: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40" w:type="dxa"/>
            <w:vAlign w:val="bottom"/>
            <w:gridSpan w:val="3"/>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44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640" w:type="dxa"/>
            <w:vAlign w:val="bottom"/>
            <w:gridSpan w:val="6"/>
          </w:tcPr>
          <w:p>
            <w:pPr>
              <w:spacing w:after="0"/>
              <w:rPr>
                <w:sz w:val="20"/>
                <w:szCs w:val="20"/>
                <w:color w:val="auto"/>
              </w:rPr>
            </w:pPr>
            <w:r>
              <w:rPr>
                <w:rFonts w:ascii="Calibri" w:cs="Calibri" w:eastAsia="Calibri" w:hAnsi="Calibri"/>
                <w:sz w:val="18"/>
                <w:szCs w:val="18"/>
                <w:color w:val="auto"/>
              </w:rPr>
              <w:t>Prepaid expenses and other current assets at December 31, 2022 and 2021 consist of the following (in thousands):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jc w:val="right"/>
              <w:ind w:right="610"/>
              <w:spacing w:after="0"/>
              <w:rPr>
                <w:sz w:val="20"/>
                <w:szCs w:val="20"/>
                <w:color w:val="auto"/>
              </w:rPr>
            </w:pPr>
            <w:r>
              <w:rPr>
                <w:rFonts w:ascii="Calibri" w:cs="Calibri" w:eastAsia="Calibri" w:hAnsi="Calibri"/>
                <w:sz w:val="18"/>
                <w:szCs w:val="18"/>
                <w:b w:val="1"/>
                <w:bCs w:val="1"/>
                <w:color w:val="auto"/>
              </w:rPr>
              <w:t>2022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jc w:val="right"/>
              <w:ind w:right="83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41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FF0FC"/>
            </w:tcBorders>
            <w:gridSpan w:val="3"/>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Recovery of future customer compensaton</w:t>
            </w:r>
          </w:p>
        </w:tc>
        <w:tc>
          <w:tcPr>
            <w:tcW w:w="500" w:type="dxa"/>
            <w:vAlign w:val="bottom"/>
            <w:tcBorders>
              <w:bottom w:val="single" w:sz="8" w:color="CFF0FC"/>
            </w:tcBorders>
            <w:shd w:val="clear" w:color="auto" w:fill="CFF0FC"/>
          </w:tcPr>
          <w:p>
            <w:pPr>
              <w:jc w:val="right"/>
              <w:ind w:right="310"/>
              <w:spacing w:after="0" w:line="208" w:lineRule="exact"/>
              <w:rPr>
                <w:sz w:val="20"/>
                <w:szCs w:val="20"/>
                <w:color w:val="auto"/>
              </w:rPr>
            </w:pPr>
            <w:r>
              <w:rPr>
                <w:rFonts w:ascii="Calibri" w:cs="Calibri" w:eastAsia="Calibri" w:hAnsi="Calibri"/>
                <w:sz w:val="18"/>
                <w:szCs w:val="18"/>
                <w:color w:val="auto"/>
                <w:w w:val="87"/>
              </w:rPr>
              <w:t>$</w:t>
            </w:r>
          </w:p>
        </w:tc>
        <w:tc>
          <w:tcPr>
            <w:tcW w:w="170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23,311</w:t>
            </w:r>
          </w:p>
        </w:tc>
        <w:tc>
          <w:tcPr>
            <w:tcW w:w="3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ind w:right="310"/>
              <w:spacing w:after="0" w:line="208" w:lineRule="exact"/>
              <w:rPr>
                <w:sz w:val="20"/>
                <w:szCs w:val="20"/>
                <w:color w:val="auto"/>
              </w:rPr>
            </w:pPr>
            <w:r>
              <w:rPr>
                <w:rFonts w:ascii="Calibri" w:cs="Calibri" w:eastAsia="Calibri" w:hAnsi="Calibri"/>
                <w:sz w:val="18"/>
                <w:szCs w:val="18"/>
                <w:color w:val="auto"/>
                <w:w w:val="87"/>
              </w:rPr>
              <w:t>$</w:t>
            </w:r>
          </w:p>
        </w:tc>
        <w:tc>
          <w:tcPr>
            <w:tcW w:w="16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58,319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Prepaid expenses</w:t>
            </w:r>
          </w:p>
        </w:tc>
        <w:tc>
          <w:tcPr>
            <w:tcW w:w="500" w:type="dxa"/>
            <w:vAlign w:val="bottom"/>
          </w:tcPr>
          <w:p>
            <w:pPr>
              <w:spacing w:after="0"/>
              <w:rPr>
                <w:sz w:val="18"/>
                <w:szCs w:val="18"/>
                <w:color w:val="auto"/>
              </w:rPr>
            </w:pPr>
          </w:p>
        </w:tc>
        <w:tc>
          <w:tcPr>
            <w:tcW w:w="17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6,032</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9,573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440" w:type="dxa"/>
            <w:vAlign w:val="bottom"/>
            <w:tcBorders>
              <w:bottom w:val="single" w:sz="8" w:color="CFF0FC"/>
            </w:tcBorders>
            <w:gridSpan w:val="3"/>
            <w:shd w:val="clear" w:color="auto" w:fill="CFF0FC"/>
          </w:tcPr>
          <w:p>
            <w:pPr>
              <w:ind w:left="20"/>
              <w:spacing w:after="0"/>
              <w:rPr>
                <w:sz w:val="20"/>
                <w:szCs w:val="20"/>
                <w:color w:val="auto"/>
              </w:rPr>
            </w:pPr>
            <w:r>
              <w:rPr>
                <w:rFonts w:ascii="Calibri" w:cs="Calibri" w:eastAsia="Calibri" w:hAnsi="Calibri"/>
                <w:sz w:val="18"/>
                <w:szCs w:val="18"/>
                <w:color w:val="auto"/>
              </w:rPr>
              <w:t>Other current assets</w:t>
            </w:r>
          </w:p>
        </w:tc>
        <w:tc>
          <w:tcPr>
            <w:tcW w:w="50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569</w:t>
            </w:r>
          </w:p>
        </w:tc>
        <w:tc>
          <w:tcPr>
            <w:tcW w:w="3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40" w:type="dxa"/>
            <w:vAlign w:val="bottom"/>
            <w:tcBorders>
              <w:top w:val="single" w:sz="8" w:color="CFF0FC"/>
            </w:tcBorders>
            <w:gridSpan w:val="3"/>
          </w:tcPr>
          <w:p>
            <w:pPr>
              <w:ind w:left="20"/>
              <w:spacing w:after="0"/>
              <w:rPr>
                <w:sz w:val="20"/>
                <w:szCs w:val="20"/>
                <w:color w:val="auto"/>
              </w:rPr>
            </w:pPr>
            <w:r>
              <w:rPr>
                <w:rFonts w:ascii="Calibri" w:cs="Calibri" w:eastAsia="Calibri" w:hAnsi="Calibri"/>
                <w:sz w:val="18"/>
                <w:szCs w:val="18"/>
                <w:b w:val="1"/>
                <w:bCs w:val="1"/>
                <w:color w:val="auto"/>
              </w:rPr>
              <w:t>Total prepaid expenses and other current assets</w:t>
            </w:r>
          </w:p>
        </w:tc>
        <w:tc>
          <w:tcPr>
            <w:tcW w:w="500" w:type="dxa"/>
            <w:vAlign w:val="bottom"/>
            <w:tcBorders>
              <w:top w:val="single" w:sz="8" w:color="auto"/>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b w:val="1"/>
                <w:bCs w:val="1"/>
                <w:color w:val="auto"/>
                <w:w w:val="87"/>
              </w:rPr>
              <w:t>$</w:t>
            </w:r>
          </w:p>
        </w:tc>
        <w:tc>
          <w:tcPr>
            <w:tcW w:w="170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29,912</w:t>
            </w:r>
          </w:p>
        </w:tc>
        <w:tc>
          <w:tcPr>
            <w:tcW w:w="32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b w:val="1"/>
                <w:bCs w:val="1"/>
                <w:color w:val="auto"/>
                <w:w w:val="87"/>
              </w:rPr>
              <w:t>$</w:t>
            </w:r>
          </w:p>
        </w:tc>
        <w:tc>
          <w:tcPr>
            <w:tcW w:w="16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72,504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-187960</wp:posOffset>
            </wp:positionV>
            <wp:extent cx="68580" cy="1885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Recovery of future customer compensaton represents expected recoveries of compensaton to be paid to customers for event cancellatons or other service issues related to previously recorded sales transactons. Recovery of future customer compensaton costs decreased by $35.0 million due to a reducton in the estmated rate of future cancellatons as of December 31, 2022. The provision related to these expected recoveries is included in Accrued expenses and other current liabilites in the Consolidated Balance Sheets.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Accrued Expenses and Other Current Liabilities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Accrued expenses and other current liabilites at December 31, 2022 and 2021 consist of the following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r>
      <w:tr>
        <w:trPr>
          <w:trHeight w:val="37"/>
        </w:trPr>
        <w:tc>
          <w:tcPr>
            <w:tcW w:w="7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73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Accrued marketng expense</w:t>
            </w:r>
          </w:p>
        </w:tc>
        <w:tc>
          <w:tcPr>
            <w:tcW w:w="1020" w:type="dxa"/>
            <w:vAlign w:val="bottom"/>
            <w:tcBorders>
              <w:bottom w:val="single" w:sz="8" w:color="CFF0FC"/>
            </w:tcBorders>
            <w:shd w:val="clear" w:color="auto" w:fill="CFF0FC"/>
          </w:tcPr>
          <w:p>
            <w:pPr>
              <w:jc w:val="right"/>
              <w:ind w:right="830"/>
              <w:spacing w:after="0" w:line="208" w:lineRule="exact"/>
              <w:rPr>
                <w:sz w:val="20"/>
                <w:szCs w:val="20"/>
                <w:color w:val="auto"/>
              </w:rPr>
            </w:pPr>
            <w:r>
              <w:rPr>
                <w:rFonts w:ascii="Calibri" w:cs="Calibri" w:eastAsia="Calibri" w:hAnsi="Calibri"/>
                <w:sz w:val="18"/>
                <w:szCs w:val="18"/>
                <w:color w:val="auto"/>
                <w:w w:val="87"/>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26,873</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ind w:right="250"/>
              <w:spacing w:after="0" w:line="208" w:lineRule="exact"/>
              <w:rPr>
                <w:sz w:val="20"/>
                <w:szCs w:val="20"/>
                <w:color w:val="auto"/>
              </w:rPr>
            </w:pPr>
            <w:r>
              <w:rPr>
                <w:rFonts w:ascii="Calibri" w:cs="Calibri" w:eastAsia="Calibri" w:hAnsi="Calibri"/>
                <w:sz w:val="18"/>
                <w:szCs w:val="18"/>
                <w:color w:val="auto"/>
                <w:w w:val="87"/>
              </w:rPr>
              <w:t>$</w:t>
            </w:r>
          </w:p>
        </w:tc>
        <w:tc>
          <w:tcPr>
            <w:tcW w:w="14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27,304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32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taxes</w:t>
            </w:r>
          </w:p>
        </w:tc>
        <w:tc>
          <w:tcPr>
            <w:tcW w:w="10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542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9,332</w:t>
            </w:r>
          </w:p>
        </w:tc>
        <w:tc>
          <w:tcPr>
            <w:tcW w:w="100" w:type="dxa"/>
            <w:vAlign w:val="bottom"/>
          </w:tcPr>
          <w:p>
            <w:pPr>
              <w:spacing w:after="0"/>
              <w:rPr>
                <w:sz w:val="18"/>
                <w:szCs w:val="18"/>
                <w:color w:val="auto"/>
              </w:rPr>
            </w:pPr>
          </w:p>
        </w:tc>
      </w:tr>
      <w:tr>
        <w:trPr>
          <w:trHeight w:val="28"/>
        </w:trPr>
        <w:tc>
          <w:tcPr>
            <w:tcW w:w="7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Accrued customer credits</w:t>
            </w:r>
          </w:p>
        </w:tc>
        <w:tc>
          <w:tcPr>
            <w:tcW w:w="10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88,167</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119,355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32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future customer compensaton</w:t>
            </w:r>
          </w:p>
        </w:tc>
        <w:tc>
          <w:tcPr>
            <w:tcW w:w="10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30,181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73,959</w:t>
            </w:r>
          </w:p>
        </w:tc>
        <w:tc>
          <w:tcPr>
            <w:tcW w:w="100" w:type="dxa"/>
            <w:vAlign w:val="bottom"/>
          </w:tcPr>
          <w:p>
            <w:pPr>
              <w:spacing w:after="0"/>
              <w:rPr>
                <w:sz w:val="18"/>
                <w:szCs w:val="18"/>
                <w:color w:val="auto"/>
              </w:rPr>
            </w:pPr>
          </w:p>
        </w:tc>
      </w:tr>
      <w:tr>
        <w:trPr>
          <w:trHeight w:val="28"/>
        </w:trPr>
        <w:tc>
          <w:tcPr>
            <w:tcW w:w="7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Accrued contngencies</w:t>
            </w:r>
          </w:p>
        </w:tc>
        <w:tc>
          <w:tcPr>
            <w:tcW w:w="10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5,898</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12,686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32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payroll</w:t>
            </w:r>
          </w:p>
        </w:tc>
        <w:tc>
          <w:tcPr>
            <w:tcW w:w="10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10,660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9,286</w:t>
            </w:r>
          </w:p>
        </w:tc>
        <w:tc>
          <w:tcPr>
            <w:tcW w:w="100" w:type="dxa"/>
            <w:vAlign w:val="bottom"/>
          </w:tcPr>
          <w:p>
            <w:pPr>
              <w:spacing w:after="0"/>
              <w:rPr>
                <w:sz w:val="18"/>
                <w:szCs w:val="18"/>
                <w:color w:val="auto"/>
              </w:rPr>
            </w:pPr>
          </w:p>
        </w:tc>
      </w:tr>
      <w:tr>
        <w:trPr>
          <w:trHeight w:val="28"/>
        </w:trPr>
        <w:tc>
          <w:tcPr>
            <w:tcW w:w="7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 current liabilites</w:t>
            </w:r>
          </w:p>
        </w:tc>
        <w:tc>
          <w:tcPr>
            <w:tcW w:w="10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19,649</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29,234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Total accrued expenses and other current liabilites</w:t>
            </w:r>
          </w:p>
        </w:tc>
        <w:tc>
          <w:tcPr>
            <w:tcW w:w="1020" w:type="dxa"/>
            <w:vAlign w:val="bottom"/>
            <w:tcBorders>
              <w:top w:val="single" w:sz="8" w:color="auto"/>
              <w:bottom w:val="single" w:sz="8" w:color="auto"/>
            </w:tcBorders>
          </w:tcPr>
          <w:p>
            <w:pPr>
              <w:jc w:val="right"/>
              <w:ind w:right="830"/>
              <w:spacing w:after="0" w:line="215" w:lineRule="exact"/>
              <w:rPr>
                <w:sz w:val="20"/>
                <w:szCs w:val="20"/>
                <w:color w:val="auto"/>
              </w:rPr>
            </w:pPr>
            <w:r>
              <w:rPr>
                <w:rFonts w:ascii="Calibri" w:cs="Calibri" w:eastAsia="Calibri" w:hAnsi="Calibri"/>
                <w:sz w:val="18"/>
                <w:szCs w:val="18"/>
                <w:b w:val="1"/>
                <w:bCs w:val="1"/>
                <w:color w:val="auto"/>
                <w:w w:val="87"/>
              </w:rPr>
              <w:t>$</w:t>
            </w:r>
          </w:p>
        </w:tc>
        <w:tc>
          <w:tcPr>
            <w:tcW w:w="6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w w:val="97"/>
              </w:rPr>
              <w:t>181,970</w:t>
            </w:r>
          </w:p>
        </w:tc>
        <w:tc>
          <w:tcPr>
            <w:tcW w:w="28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line="215" w:lineRule="exact"/>
              <w:rPr>
                <w:sz w:val="20"/>
                <w:szCs w:val="20"/>
                <w:color w:val="auto"/>
              </w:rPr>
            </w:pPr>
            <w:r>
              <w:rPr>
                <w:rFonts w:ascii="Calibri" w:cs="Calibri" w:eastAsia="Calibri" w:hAnsi="Calibri"/>
                <w:sz w:val="18"/>
                <w:szCs w:val="18"/>
                <w:b w:val="1"/>
                <w:bCs w:val="1"/>
                <w:color w:val="auto"/>
                <w:w w:val="87"/>
              </w:rPr>
              <w:t>$</w:t>
            </w:r>
          </w:p>
        </w:tc>
        <w:tc>
          <w:tcPr>
            <w:tcW w:w="14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281,156</w:t>
            </w:r>
          </w:p>
        </w:tc>
        <w:tc>
          <w:tcPr>
            <w:tcW w:w="100" w:type="dxa"/>
            <w:vAlign w:val="bottom"/>
            <w:tcBorders>
              <w:top w:val="single" w:sz="8" w:color="CFF0FC"/>
            </w:tcBorders>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68580"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Accrued customer credits represent credits issued and outstanding for event cancellatons or other service issues related to recorded sales transactons. The accrued amount is reduced by the amount of credits estmated to go</w:t>
      </w:r>
    </w:p>
    <w:p>
      <w:pPr>
        <w:spacing w:after="0" w:line="10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6" w:name="page87"/>
    <w:bookmarkEnd w:id="8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unused, or breakage, provided that the credits are not subject to escheatment. We estmate breakage based on historical usage trends and available data on comparable programs, and recognize breakage in proporton to the patern of redempton for customer credits. Our breakage estmate could be impacted by future actvity difering from our estmates, the efects of which could be material. During the year ended December 31, 2022, $24.3 million of accrued customer credits were redeemed and we recognized $11.5 million of revenue from breakage. During the year ended December 31, 2021, $55.9 million of accrued customer credits were redeemed and we recognized $3.3 million of revenue from breakage. During the year ended December 31, 2020, $7.4 million of accrued customer credits were redeemed and we recognized $0.8 million of revenue from breakage. Breakage amounts are net of reductons in associated accounts receivable balances.</w:t>
      </w:r>
    </w:p>
    <w:p>
      <w:pPr>
        <w:spacing w:after="0" w:line="14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Accrued future customer compensaton represents an estmate of the amount of customer compensaton due from cancellaton charges in the future. These provisions are based on historic experience, revenue volumes for future events, and management’s estmate of the likelihood of future event cancellatons and are recognized as a component of Revenues in the Consolidated Statements of Operatons. The expected recoveries of these obligatons are included in Prepaid expenses and other current assets in the Consolidated Balance Sheets. This estmated accrual could be impacted by future actvity difering from our estmates, the efects of which could be material. During the years ended December 31, 2022, 2021 and 2020, we recognized a net increase in revenue of $2.3 million, $5.1 million, and a decrease in revenue of $15.3 million, respectvely, from the reversals of previously recorded revenue and changes to accrued future customer compensaton related to event cancellatons where the performance obligatons were satsfed in prior periods. Accrued future customer compensaton decreased by $43.8 million due to a reducton in the estmated rate of future cancellatons as of December 31, 2022.</w:t>
      </w: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Accrued taxes decreased as we have historically accrued contngent sales tax expense in jurisdictons where we expected to remit sales tax payments for sales prior to collectng tax from customers which began in the second half of 2021. During 2022, we fnalized the remaining open discussions with jurisdictons regarding the liability for uncollected sales tax and no longer have this contngent liability.</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current liabilites primarily decreased as a result of making sales tax payments for liabilites that were no longer deemed contngent as of December 31, 2021, but were not yet paid at that tme. These payments represent the exposure for sales tax prior to the date we began collectng sales tax from customers reduced by abatements received, inclusive of any penaltes and interest assessed by the jurisdictons. The remaining historic sales tax liability payments were made during the year ended December 31, 2022.</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 Debt</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Our outstanding debt at December 31, 2022 and 2021 is comprised of the following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Pr>
          <w:p>
            <w:pPr>
              <w:spacing w:after="0"/>
              <w:rPr>
                <w:sz w:val="19"/>
                <w:szCs w:val="19"/>
                <w:color w:val="auto"/>
              </w:rPr>
            </w:pPr>
          </w:p>
        </w:tc>
        <w:tc>
          <w:tcPr>
            <w:tcW w:w="404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2022</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r>
      <w:tr>
        <w:trPr>
          <w:trHeight w:val="37"/>
        </w:trPr>
        <w:tc>
          <w:tcPr>
            <w:tcW w:w="4280" w:type="dxa"/>
            <w:vAlign w:val="bottom"/>
          </w:tcPr>
          <w:p>
            <w:pPr>
              <w:spacing w:after="0"/>
              <w:rPr>
                <w:sz w:val="3"/>
                <w:szCs w:val="3"/>
                <w:color w:val="auto"/>
              </w:rPr>
            </w:pPr>
          </w:p>
        </w:tc>
        <w:tc>
          <w:tcPr>
            <w:tcW w:w="4040" w:type="dxa"/>
            <w:vAlign w:val="bottom"/>
            <w:gridSpan w:val="2"/>
          </w:tcPr>
          <w:p>
            <w:pPr>
              <w:spacing w:after="0"/>
              <w:rPr>
                <w:sz w:val="3"/>
                <w:szCs w:val="3"/>
                <w:color w:val="auto"/>
              </w:rPr>
            </w:pPr>
          </w:p>
        </w:tc>
        <w:tc>
          <w:tcPr>
            <w:tcW w:w="90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42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June 2017 First Lien Loan</w:t>
            </w:r>
          </w:p>
        </w:tc>
        <w:tc>
          <w:tcPr>
            <w:tcW w:w="30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CFF0FC"/>
            </w:tcBorders>
            <w:shd w:val="clear" w:color="auto" w:fill="CFF0FC"/>
          </w:tcPr>
          <w:p>
            <w:pPr>
              <w:jc w:val="right"/>
              <w:ind w:right="810"/>
              <w:spacing w:after="0" w:line="208" w:lineRule="exact"/>
              <w:rPr>
                <w:sz w:val="20"/>
                <w:szCs w:val="20"/>
                <w:color w:val="auto"/>
              </w:rPr>
            </w:pPr>
            <w:r>
              <w:rPr>
                <w:rFonts w:ascii="Calibri" w:cs="Calibri" w:eastAsia="Calibri" w:hAnsi="Calibri"/>
                <w:sz w:val="18"/>
                <w:szCs w:val="18"/>
                <w:color w:val="auto"/>
                <w:w w:val="87"/>
              </w:rPr>
              <w:t>$</w:t>
            </w:r>
          </w:p>
        </w:tc>
        <w:tc>
          <w:tcPr>
            <w:tcW w:w="6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CFF0FC"/>
            </w:tcBorders>
            <w:shd w:val="clear" w:color="auto" w:fill="CFF0FC"/>
          </w:tcPr>
          <w:p>
            <w:pPr>
              <w:jc w:val="right"/>
              <w:ind w:right="250"/>
              <w:spacing w:after="0" w:line="208" w:lineRule="exact"/>
              <w:rPr>
                <w:sz w:val="20"/>
                <w:szCs w:val="20"/>
                <w:color w:val="auto"/>
              </w:rPr>
            </w:pPr>
            <w:r>
              <w:rPr>
                <w:rFonts w:ascii="Calibri" w:cs="Calibri" w:eastAsia="Calibri" w:hAnsi="Calibri"/>
                <w:sz w:val="18"/>
                <w:szCs w:val="18"/>
                <w:color w:val="auto"/>
                <w:w w:val="87"/>
              </w:rPr>
              <w:t>$</w:t>
            </w:r>
          </w:p>
        </w:tc>
        <w:tc>
          <w:tcPr>
            <w:tcW w:w="14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465,712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0"/>
        </w:trPr>
        <w:tc>
          <w:tcPr>
            <w:tcW w:w="4280" w:type="dxa"/>
            <w:vAlign w:val="bottom"/>
          </w:tcPr>
          <w:p>
            <w:pPr>
              <w:ind w:left="20"/>
              <w:spacing w:after="0"/>
              <w:rPr>
                <w:sz w:val="20"/>
                <w:szCs w:val="20"/>
                <w:color w:val="auto"/>
              </w:rPr>
            </w:pPr>
            <w:r>
              <w:rPr>
                <w:rFonts w:ascii="Calibri" w:cs="Calibri" w:eastAsia="Calibri" w:hAnsi="Calibri"/>
                <w:sz w:val="18"/>
                <w:szCs w:val="18"/>
                <w:color w:val="auto"/>
              </w:rPr>
              <w:t>February 2022 First Lien Loan</w:t>
            </w:r>
          </w:p>
        </w:tc>
        <w:tc>
          <w:tcPr>
            <w:tcW w:w="3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272,938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4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Total long-term debt, gross</w:t>
            </w:r>
          </w:p>
        </w:tc>
        <w:tc>
          <w:tcPr>
            <w:tcW w:w="30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w w:val="97"/>
              </w:rPr>
              <w:t>272,938</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465,712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0"/>
        </w:trPr>
        <w:tc>
          <w:tcPr>
            <w:tcW w:w="4280" w:type="dxa"/>
            <w:vAlign w:val="bottom"/>
          </w:tcPr>
          <w:p>
            <w:pPr>
              <w:ind w:left="20"/>
              <w:spacing w:after="0"/>
              <w:rPr>
                <w:sz w:val="20"/>
                <w:szCs w:val="20"/>
                <w:color w:val="auto"/>
              </w:rPr>
            </w:pPr>
            <w:r>
              <w:rPr>
                <w:rFonts w:ascii="Calibri" w:cs="Calibri" w:eastAsia="Calibri" w:hAnsi="Calibri"/>
                <w:sz w:val="18"/>
                <w:szCs w:val="18"/>
                <w:color w:val="auto"/>
              </w:rPr>
              <w:t>Less: unamortzed debt issuance costs</w:t>
            </w:r>
          </w:p>
        </w:tc>
        <w:tc>
          <w:tcPr>
            <w:tcW w:w="3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(5,290 )</w:t>
            </w:r>
          </w:p>
        </w:tc>
        <w:tc>
          <w:tcPr>
            <w:tcW w:w="440" w:type="dxa"/>
            <w:vAlign w:val="bottom"/>
          </w:tcPr>
          <w:p>
            <w:pPr>
              <w:spacing w:after="0"/>
              <w:rPr>
                <w:sz w:val="19"/>
                <w:szCs w:val="19"/>
                <w:color w:val="auto"/>
              </w:rPr>
            </w:pPr>
          </w:p>
        </w:tc>
        <w:tc>
          <w:tcPr>
            <w:tcW w:w="15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(5,580 )</w:t>
            </w:r>
          </w:p>
        </w:tc>
      </w:tr>
      <w:tr>
        <w:trPr>
          <w:trHeight w:val="23"/>
        </w:trPr>
        <w:tc>
          <w:tcPr>
            <w:tcW w:w="4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42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long-term debt, net of issuance costs</w:t>
            </w:r>
          </w:p>
        </w:tc>
        <w:tc>
          <w:tcPr>
            <w:tcW w:w="30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w w:val="97"/>
              </w:rPr>
              <w:t>267,648</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460,132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0"/>
        </w:trPr>
        <w:tc>
          <w:tcPr>
            <w:tcW w:w="4280" w:type="dxa"/>
            <w:vAlign w:val="bottom"/>
          </w:tcPr>
          <w:p>
            <w:pPr>
              <w:ind w:left="20"/>
              <w:spacing w:after="0"/>
              <w:rPr>
                <w:sz w:val="20"/>
                <w:szCs w:val="20"/>
                <w:color w:val="auto"/>
              </w:rPr>
            </w:pPr>
            <w:r>
              <w:rPr>
                <w:rFonts w:ascii="Calibri" w:cs="Calibri" w:eastAsia="Calibri" w:hAnsi="Calibri"/>
                <w:sz w:val="18"/>
                <w:szCs w:val="18"/>
                <w:color w:val="auto"/>
              </w:rPr>
              <w:t>Less: current porton</w:t>
            </w:r>
          </w:p>
        </w:tc>
        <w:tc>
          <w:tcPr>
            <w:tcW w:w="3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(2,750 )</w:t>
            </w:r>
          </w:p>
        </w:tc>
        <w:tc>
          <w:tcPr>
            <w:tcW w:w="440" w:type="dxa"/>
            <w:vAlign w:val="bottom"/>
          </w:tcPr>
          <w:p>
            <w:pPr>
              <w:spacing w:after="0"/>
              <w:rPr>
                <w:sz w:val="19"/>
                <w:szCs w:val="19"/>
                <w:color w:val="auto"/>
              </w:rPr>
            </w:pPr>
          </w:p>
        </w:tc>
        <w:tc>
          <w:tcPr>
            <w:tcW w:w="15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4280" w:type="dxa"/>
            <w:vAlign w:val="bottom"/>
          </w:tcPr>
          <w:p>
            <w:pPr>
              <w:spacing w:after="0"/>
              <w:rPr>
                <w:sz w:val="2"/>
                <w:szCs w:val="2"/>
                <w:color w:val="auto"/>
              </w:rPr>
            </w:pPr>
          </w:p>
        </w:tc>
        <w:tc>
          <w:tcPr>
            <w:tcW w:w="40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4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Total long-term debt, net</w:t>
            </w:r>
          </w:p>
        </w:tc>
        <w:tc>
          <w:tcPr>
            <w:tcW w:w="30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ind w:right="810"/>
              <w:spacing w:after="0" w:line="215"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97"/>
              </w:rPr>
              <w:t>264,898</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line="215" w:lineRule="exact"/>
              <w:rPr>
                <w:sz w:val="20"/>
                <w:szCs w:val="20"/>
                <w:color w:val="auto"/>
              </w:rPr>
            </w:pPr>
            <w:r>
              <w:rPr>
                <w:rFonts w:ascii="Calibri" w:cs="Calibri" w:eastAsia="Calibri" w:hAnsi="Calibri"/>
                <w:sz w:val="18"/>
                <w:szCs w:val="18"/>
                <w:b w:val="1"/>
                <w:bCs w:val="1"/>
                <w:color w:val="auto"/>
                <w:w w:val="87"/>
              </w:rPr>
              <w:t>$</w:t>
            </w:r>
          </w:p>
        </w:tc>
        <w:tc>
          <w:tcPr>
            <w:tcW w:w="14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460,132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89"/>
        </w:trPr>
        <w:tc>
          <w:tcPr>
            <w:tcW w:w="4280" w:type="dxa"/>
            <w:vAlign w:val="bottom"/>
          </w:tcPr>
          <w:p>
            <w:pPr>
              <w:spacing w:after="0"/>
              <w:rPr>
                <w:sz w:val="24"/>
                <w:szCs w:val="24"/>
                <w:color w:val="auto"/>
              </w:rPr>
            </w:pPr>
          </w:p>
        </w:tc>
        <w:tc>
          <w:tcPr>
            <w:tcW w:w="3040" w:type="dxa"/>
            <w:vAlign w:val="bottom"/>
          </w:tcPr>
          <w:p>
            <w:pPr>
              <w:jc w:val="right"/>
              <w:ind w:right="1510"/>
              <w:spacing w:after="0"/>
              <w:rPr>
                <w:sz w:val="20"/>
                <w:szCs w:val="20"/>
                <w:color w:val="auto"/>
              </w:rPr>
            </w:pPr>
            <w:r>
              <w:rPr>
                <w:rFonts w:ascii="Calibri" w:cs="Calibri" w:eastAsia="Calibri" w:hAnsi="Calibri"/>
                <w:sz w:val="18"/>
                <w:szCs w:val="18"/>
                <w:color w:val="auto"/>
              </w:rPr>
              <w:t>84</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42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-376555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-359410</wp:posOffset>
            </wp:positionV>
            <wp:extent cx="768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7" w:name="page88"/>
    <w:bookmarkEnd w:id="8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June 2017 Term Loans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30, 2017, we entered into a $575.0 million frst lien debt facility, comprised of a $50.0 million revolving facility and a $525.0 million term loan (the “June 2017 First Lien Loan”), and a second lien credit facility, comprised of a $185.0 million second lien term loan (the “June 2017 Second Lien Loan”). The First Lien Loan was amended to upsize the commited amount by $115.0 million on July 2, 2018. On October 28, 2019, we paid of the June 2017 Second Lien Loan balance. The underlying revolving credit facility, part of the June 2017 First Lien Loan, was subsequently retred on May 22, 2020. On October 18, 2021, we made an early principal payment related to the June 2017 First Lien Loan of $148.2 million in connecton with, and using the proceeds from, the Merger Transacton and PIPE Financing. On February 3, 2022, we repaid $190.7 million of the outstanding balance of the June 2017 First Lien Loan and refnanced the remaining balance with a new $275.0 million term loan.</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June 2017 First Lien Loan was held by third-party fnancial insttutons and was carried at the outstanding principal balance, less debt issuance costs and any unamortzed discount or premium. The fair value was estmated using quoted prices that are directly observable in the marketplace. Therefore, the fair value is estmated on a Level 2 basis. At December 31, 2021, the June 2017 First Lien Loan had a fair value of $465.1 million as compared to the carrying amount of $460.1 million.</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February 2022 First Lien Loan</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3, 2022, we entered into an amendment which refnanced the remaining June 2017 First Lien Loan with a new $275.0 million term loan (the "February 2022 First Lien Loan") with a maturity date of February 3, 2029. In connecton with the February 2022 First Lien Loan, we also entered into a new revolving credit facility (the “Revolving Facility”), which allows for an aggregate principal amount of $100.0 million and has a maturity date of February 3, 2027. At December 31, 2022, we had no outstanding borrowings under our Revolving Facility.</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terms of the February 2022 First Lien Loan specifed a secured overnight fnancing rate (“SOFR”) based foatng interest rate and revised the springing fnancial covenant under the June 2017 First Lien Loan to require compliance with a frst lien net leverage rato when revolver borrowings exceed certain levels. All obligatons under the February 2022 First Lien Loan are unconditonally guaranteed by Hoya Intermediate and substantally all of Hoya Intermediate’s existng and future direct and indirect wholly owned domestc subsidiaries. It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carries an interest rate of SOFR plus 3.25%. The SOFR rate for the February 2022 First Lien Loan is subject to a 0.5% foor. The efectve interest rate on the February 2022 First Lien Loan was 7.98% per annum at December 31, 2022.</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February 2022 First Lien Loan is held by third-party fnancial insttutons and is carried at the outstanding principal balance, less debt issuance costs and any unamortzed discount or premium. The fair value was estmated using quoted prices that are directly observable in the marketplace. Therefore, the fair value is estmated on a Level 2 basis. At December 31, 2022, the fair value of our February 2022 First Lien Loan approximates the carrying value.</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certain reportng and compliance-related covenants to remain in good standing under the February 2022 First Lien Loan. These covenants, among other things, limit our ability to incur additonal indebtedness, and in certain circumstances, create restrictons on the ability to enter into transactons with afliates; create liens; merge or consolidate; and make certain payments. Non-compliance with these covenants and failure to remedy could result in the acceleraton of the loans or foreclosure on the collateral. As of December 31, 2022, we were in compliance with all of our debt covenants related to the February 2022 First Lien Loan.</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the refnancing of the June 2017 First Lien Loan with the February 2022 First Lien Loan, we incurred a loss of $4.3 million for the year ended December 31, 2022, which is presented in Loss on extnguishment of debt in the Consolidated Statements of Operatons.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May 2020 First Lien Loan</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8" w:name="page89"/>
    <w:bookmarkEnd w:id="8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22, 2020, we entered into a $260.0 million frst lien term loan (the “May 2020 First Lien Loan”) that is pari passu with the June 2017 First Lien Loan. The proceeds from the May 2020 First Lien Loan were used for general corporate purposes and to extnguish and retre the revolving facility related to the June 2017 First Lien Loan in full. The May 2020 First Lien Loan had no required amortzaton payments. All obligatons under the May 2020 First Lien Loan were secured, subject to permited liens and other exceptons, by frst-priority perfected security interests in substantally all of our assets.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interest rate for the May 2020 First Lien Loan was determined using a LIBOR rate plus an applicable margin of 9.50% per annum, or a base rate plus an applicable margin of 8.50% per annum. The LIBOR rate was subject to a 1.00% foor and the base rate was subject to a 2.00% foor. All obligatons under the May 2020 First Lien Loan were secured, subject to permited liens and other exceptons, by frst-priority perfected security interests in substantally all of our assets. For any period ending prior to May 22, 2022, we had the opton of submitng paid-in-kind electons, whereby the entre outstanding balance would be charged interest at 11.50% per annum and interest amounts will be added to the outstanding principal. On and afer May 22, 2022 but prior to May 22, 2023, we had the opton of submitng paid-in-kind electons with respect to all or some of the outstanding balance, whereby the porton for which such paid-in-kind electon was made will be charged interest at a rate equal to the sum of i) 5.0% per annum and ii) at our electon, a LIBOR rate plus an applicable margin of 5.00% per annum, or a base rate plus an applicable margin of 4.00% per annum.</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terms of the May 2020 First Lien Loan, for certain prepayments and repricing transactons that occurred prior to May 22, 2023, we would owe a prepayment penalty of 3.0% on the frst $91.0 million of prepayments. For prepayments greater than $91.0 million prior to May 22, 2022, the amount exceeding $91.0 million would be subject to a prepayment penalty equal to the greater of i) 6.0% and ii) the excess of the discounted measure of principal and interest due upon the second anniversary of the efectve date and the outstanding principal at the tme of the prepayment. For prepayments greater than $91.0 million on or afer May 22, 2022 and prior to May 22, 2023, the amount exceeding $91.0 million would be subject to a prepayment penalty equal to 6.0%.</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May 2020 First Lien Loan was not traded and was carried at the outstanding principal balance, less debt issuance costs and any unamortzed discount or premium. On October 18, 2021, in connecton with, and using the proceeds from the Merger Transacton, we paid of in full the May 2020 First Lien Loan balance. The debt extnguishment resulted in a loss of $34.1 million, which is presented in Loss on extnguishment of debt in the Consolidated Statements of Operatons. The loss consists of a $28.0 million prepayment penalty and the remaining balance of the original issuance discount and issuance costs of $6.1 million.</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color w:val="auto"/>
        </w:rPr>
        <w:t>Future maturites of our outstanding debt, excluding interest, as of December 31, 2022 were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0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2023</w:t>
            </w:r>
          </w:p>
        </w:tc>
        <w:tc>
          <w:tcPr>
            <w:tcW w:w="1620" w:type="dxa"/>
            <w:vAlign w:val="bottom"/>
            <w:shd w:val="clear" w:color="auto" w:fill="CFF0FC"/>
          </w:tcPr>
          <w:p>
            <w:pPr>
              <w:jc w:val="right"/>
              <w:ind w:right="1430"/>
              <w:spacing w:after="0"/>
              <w:rPr>
                <w:sz w:val="20"/>
                <w:szCs w:val="20"/>
                <w:color w:val="auto"/>
              </w:rPr>
            </w:pPr>
            <w:r>
              <w:rPr>
                <w:rFonts w:ascii="Calibri" w:cs="Calibri" w:eastAsia="Calibri" w:hAnsi="Calibri"/>
                <w:sz w:val="18"/>
                <w:szCs w:val="18"/>
                <w:color w:val="auto"/>
                <w:w w:val="87"/>
              </w:rPr>
              <w:t>$</w:t>
            </w:r>
          </w:p>
        </w:tc>
        <w:tc>
          <w:tcPr>
            <w:tcW w:w="21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2,750</w:t>
            </w:r>
          </w:p>
        </w:tc>
        <w:tc>
          <w:tcPr>
            <w:tcW w:w="100" w:type="dxa"/>
            <w:vAlign w:val="bottom"/>
            <w:shd w:val="clear" w:color="auto" w:fill="CFF0FC"/>
          </w:tcPr>
          <w:p>
            <w:pPr>
              <w:spacing w:after="0"/>
              <w:rPr>
                <w:sz w:val="21"/>
                <w:szCs w:val="21"/>
                <w:color w:val="auto"/>
              </w:rPr>
            </w:pPr>
          </w:p>
        </w:tc>
      </w:tr>
      <w:tr>
        <w:trPr>
          <w:trHeight w:val="215"/>
        </w:trPr>
        <w:tc>
          <w:tcPr>
            <w:tcW w:w="7400" w:type="dxa"/>
            <w:vAlign w:val="bottom"/>
          </w:tcPr>
          <w:p>
            <w:pPr>
              <w:ind w:left="20"/>
              <w:spacing w:after="0" w:line="215" w:lineRule="exact"/>
              <w:rPr>
                <w:sz w:val="20"/>
                <w:szCs w:val="20"/>
                <w:color w:val="auto"/>
              </w:rPr>
            </w:pPr>
            <w:r>
              <w:rPr>
                <w:rFonts w:ascii="Calibri" w:cs="Calibri" w:eastAsia="Calibri" w:hAnsi="Calibri"/>
                <w:sz w:val="18"/>
                <w:szCs w:val="18"/>
                <w:color w:val="auto"/>
              </w:rPr>
              <w:t>2024</w:t>
            </w:r>
          </w:p>
        </w:tc>
        <w:tc>
          <w:tcPr>
            <w:tcW w:w="1620" w:type="dxa"/>
            <w:vAlign w:val="bottom"/>
          </w:tcPr>
          <w:p>
            <w:pPr>
              <w:spacing w:after="0"/>
              <w:rPr>
                <w:sz w:val="18"/>
                <w:szCs w:val="18"/>
                <w:color w:val="auto"/>
              </w:rPr>
            </w:pPr>
          </w:p>
        </w:tc>
        <w:tc>
          <w:tcPr>
            <w:tcW w:w="2120" w:type="dxa"/>
            <w:vAlign w:val="bottom"/>
          </w:tcPr>
          <w:p>
            <w:pPr>
              <w:jc w:val="right"/>
              <w:spacing w:after="0" w:line="215" w:lineRule="exact"/>
              <w:rPr>
                <w:sz w:val="20"/>
                <w:szCs w:val="20"/>
                <w:color w:val="auto"/>
              </w:rPr>
            </w:pPr>
            <w:r>
              <w:rPr>
                <w:rFonts w:ascii="Calibri" w:cs="Calibri" w:eastAsia="Calibri" w:hAnsi="Calibri"/>
                <w:sz w:val="18"/>
                <w:szCs w:val="18"/>
                <w:color w:val="auto"/>
              </w:rPr>
              <w:t>2,750</w:t>
            </w:r>
          </w:p>
        </w:tc>
        <w:tc>
          <w:tcPr>
            <w:tcW w:w="100" w:type="dxa"/>
            <w:vAlign w:val="bottom"/>
          </w:tcPr>
          <w:p>
            <w:pPr>
              <w:spacing w:after="0"/>
              <w:rPr>
                <w:sz w:val="18"/>
                <w:szCs w:val="18"/>
                <w:color w:val="auto"/>
              </w:rPr>
            </w:pPr>
          </w:p>
        </w:tc>
      </w:tr>
      <w:tr>
        <w:trPr>
          <w:trHeight w:val="28"/>
        </w:trPr>
        <w:tc>
          <w:tcPr>
            <w:tcW w:w="7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2025</w:t>
            </w:r>
          </w:p>
        </w:tc>
        <w:tc>
          <w:tcPr>
            <w:tcW w:w="162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40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1620" w:type="dxa"/>
            <w:vAlign w:val="bottom"/>
          </w:tcPr>
          <w:p>
            <w:pPr>
              <w:spacing w:after="0"/>
              <w:rPr>
                <w:sz w:val="18"/>
                <w:szCs w:val="18"/>
                <w:color w:val="auto"/>
              </w:rPr>
            </w:pPr>
          </w:p>
        </w:tc>
        <w:tc>
          <w:tcPr>
            <w:tcW w:w="2120" w:type="dxa"/>
            <w:vAlign w:val="bottom"/>
          </w:tcPr>
          <w:p>
            <w:pPr>
              <w:jc w:val="right"/>
              <w:spacing w:after="0" w:line="215" w:lineRule="exact"/>
              <w:rPr>
                <w:sz w:val="20"/>
                <w:szCs w:val="20"/>
                <w:color w:val="auto"/>
              </w:rPr>
            </w:pPr>
            <w:r>
              <w:rPr>
                <w:rFonts w:ascii="Calibri" w:cs="Calibri" w:eastAsia="Calibri" w:hAnsi="Calibri"/>
                <w:sz w:val="18"/>
                <w:szCs w:val="18"/>
                <w:color w:val="auto"/>
              </w:rPr>
              <w:t>2,750</w:t>
            </w:r>
          </w:p>
        </w:tc>
        <w:tc>
          <w:tcPr>
            <w:tcW w:w="100" w:type="dxa"/>
            <w:vAlign w:val="bottom"/>
          </w:tcPr>
          <w:p>
            <w:pPr>
              <w:spacing w:after="0"/>
              <w:rPr>
                <w:sz w:val="18"/>
                <w:szCs w:val="18"/>
                <w:color w:val="auto"/>
              </w:rPr>
            </w:pPr>
          </w:p>
        </w:tc>
      </w:tr>
      <w:tr>
        <w:trPr>
          <w:trHeight w:val="28"/>
        </w:trPr>
        <w:tc>
          <w:tcPr>
            <w:tcW w:w="7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2027</w:t>
            </w:r>
          </w:p>
        </w:tc>
        <w:tc>
          <w:tcPr>
            <w:tcW w:w="162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400" w:type="dxa"/>
            <w:vAlign w:val="bottom"/>
          </w:tcPr>
          <w:p>
            <w:pPr>
              <w:ind w:left="20"/>
              <w:spacing w:after="0"/>
              <w:rPr>
                <w:sz w:val="20"/>
                <w:szCs w:val="20"/>
                <w:color w:val="auto"/>
              </w:rPr>
            </w:pPr>
            <w:r>
              <w:rPr>
                <w:rFonts w:ascii="Calibri" w:cs="Calibri" w:eastAsia="Calibri" w:hAnsi="Calibri"/>
                <w:sz w:val="18"/>
                <w:szCs w:val="18"/>
                <w:color w:val="auto"/>
              </w:rPr>
              <w:t>Thereafer</w:t>
            </w:r>
          </w:p>
        </w:tc>
        <w:tc>
          <w:tcPr>
            <w:tcW w:w="1620" w:type="dxa"/>
            <w:vAlign w:val="bottom"/>
          </w:tcPr>
          <w:p>
            <w:pPr>
              <w:spacing w:after="0"/>
              <w:rPr>
                <w:sz w:val="19"/>
                <w:szCs w:val="19"/>
                <w:color w:val="auto"/>
              </w:rPr>
            </w:pPr>
          </w:p>
        </w:tc>
        <w:tc>
          <w:tcPr>
            <w:tcW w:w="2120" w:type="dxa"/>
            <w:vAlign w:val="bottom"/>
          </w:tcPr>
          <w:p>
            <w:pPr>
              <w:jc w:val="right"/>
              <w:spacing w:after="0" w:line="215" w:lineRule="exact"/>
              <w:rPr>
                <w:sz w:val="20"/>
                <w:szCs w:val="20"/>
                <w:color w:val="auto"/>
              </w:rPr>
            </w:pPr>
            <w:r>
              <w:rPr>
                <w:rFonts w:ascii="Calibri" w:cs="Calibri" w:eastAsia="Calibri" w:hAnsi="Calibri"/>
                <w:sz w:val="18"/>
                <w:szCs w:val="18"/>
                <w:color w:val="auto"/>
              </w:rPr>
              <w:t>259,188</w:t>
            </w:r>
          </w:p>
        </w:tc>
        <w:tc>
          <w:tcPr>
            <w:tcW w:w="100" w:type="dxa"/>
            <w:vAlign w:val="bottom"/>
          </w:tcPr>
          <w:p>
            <w:pPr>
              <w:spacing w:after="0"/>
              <w:rPr>
                <w:sz w:val="19"/>
                <w:szCs w:val="19"/>
                <w:color w:val="auto"/>
              </w:rPr>
            </w:pPr>
          </w:p>
        </w:tc>
      </w:tr>
      <w:tr>
        <w:trPr>
          <w:trHeight w:val="23"/>
        </w:trPr>
        <w:tc>
          <w:tcPr>
            <w:tcW w:w="7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74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Total</w:t>
            </w:r>
          </w:p>
        </w:tc>
        <w:tc>
          <w:tcPr>
            <w:tcW w:w="1620" w:type="dxa"/>
            <w:vAlign w:val="bottom"/>
            <w:tcBorders>
              <w:bottom w:val="single" w:sz="8" w:color="auto"/>
            </w:tcBorders>
            <w:shd w:val="clear" w:color="auto" w:fill="CFF0FC"/>
          </w:tcPr>
          <w:p>
            <w:pPr>
              <w:jc w:val="right"/>
              <w:ind w:right="1430"/>
              <w:spacing w:after="0" w:line="215" w:lineRule="exact"/>
              <w:rPr>
                <w:sz w:val="20"/>
                <w:szCs w:val="20"/>
                <w:color w:val="auto"/>
              </w:rPr>
            </w:pPr>
            <w:r>
              <w:rPr>
                <w:rFonts w:ascii="Calibri" w:cs="Calibri" w:eastAsia="Calibri" w:hAnsi="Calibri"/>
                <w:sz w:val="18"/>
                <w:szCs w:val="18"/>
                <w:b w:val="1"/>
                <w:bCs w:val="1"/>
                <w:color w:val="auto"/>
                <w:w w:val="87"/>
              </w:rPr>
              <w:t>$</w:t>
            </w:r>
          </w:p>
        </w:tc>
        <w:tc>
          <w:tcPr>
            <w:tcW w:w="21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272,938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Employee Benefit Plan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 defned contributon and proft-sharing 401(k) plan that covers substantally all employees who meet eligibility requirements. Partcipants may contribute to the plan, through regular payroll deductons, an amount subject to limitatons imposed by the Internal Revenue Code. The plan also provides for discretonary proft-sharing contributons and matching contributons. We contributed approximately $1.3 million, $0.8 million, and $0.9 million in matching contributons for the years ended December 31, 2022, 2021, and 2020, respectvely, and is included in</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9" w:name="page90"/>
    <w:bookmarkEnd w:id="8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General and administratve expense in the Consolidated Statements of Operatons. For the years ended December 31, 2022, and 2021, there were no discretonary proft-sharing contributons.</w:t>
      </w:r>
    </w:p>
    <w:p>
      <w:pPr>
        <w:spacing w:after="0" w:line="137" w:lineRule="exact"/>
        <w:rPr>
          <w:sz w:val="20"/>
          <w:szCs w:val="20"/>
          <w:color w:val="auto"/>
        </w:rPr>
      </w:pPr>
    </w:p>
    <w:p>
      <w:pPr>
        <w:ind w:right="9240" w:firstLine="8"/>
        <w:spacing w:after="0" w:line="392" w:lineRule="auto"/>
        <w:tabs>
          <w:tab w:leader="none" w:pos="264" w:val="left"/>
        </w:tabs>
        <w:numPr>
          <w:ilvl w:val="0"/>
          <w:numId w:val="4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Financial Instruments Derivatves</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fnancial instruments entered into by us are typically executed over-the-counter. All fnancial instruments are measured at fair value on a recurring basis. The fair value is derived from discounted cash fows adjusted for nonperformance risk. The fair value models primarily use market observable inputs and, therefore, are classifed as Level 2 assets. These models incorporate a variety of factors, including, where applicable, maturity, interest rate yield curves, and counterparty credit risks. The credit valuaton adjustment associated with the derivatves, related to the likelihood of default by us and the counterparty, was not signifcant to the overall valuaton.</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Rate Swaps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November 10, 2017, we purchased pay-fxed, receive-foat interest rate swaps with a combined notonal value of $520.7 million on September 30, 2020. The interest rate swaps matured on September 30, 2020. The interest rate swaps had a fxed rate of 1.9%. The interest rate swaps were purchased to reduce a porton of the exposure to fuctuatons in LIBOR interest rates associated with our variable-rate term loan.</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objectve in using the swaps was to add stability to interest expense and to manage the exposure to interest rate movements. The interest rate swaps are designated as efectve cash fow hedges involving the receipt of variable amounts from a counterparty in exchange for us making fxed-rate payments over the life of the agreement without exchange of the underlying notonal amount.</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performed a regression analysis at incepton of the hedging relatonship to assess the efectveness. The design of the regression analysis addresses the efectveness of the hedging relatonship by considering how the hedge instrument performs against the forecasted transacton or hypothetcal interest rate swaps over historical months. The changes in the fair value of the hedge instrument and the hedged item over the historical months demonstrated the efectveness of the hedge relatonship as the prospectve and retrospectve test. On an ongoing basis, we assessed hedge efectveness prospectvely and retrospectvely. The hedge contnued to be highly efectve through its maturity date.</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color w:val="auto"/>
        </w:rPr>
        <w:t>The amount recognized in Interest expense — net in the Consolidated Statements of Operatons was $4.3 million for the year ended December 31, 2020.</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Rate Cap</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November 26, 2018, we entered into an interest rate cap with an efectve date of September 30, 2020. We paid $1.0 million to enter into the cap. The notonal value was $516.8 million on September 30, 2021. The interest rate cap matured on September 30, 2021. The interest rate cap had a strike rate of 3.5%. The interest rate cap was purchased to reduce a porton of the exposure to fuctuatons in LIBOR interest rates associated with our variable-rate term loan.</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objectve in using the cap is to add stability to interest expense and to manage the exposure to interest rate movements. Interest rate caps involve the borrower paying the hedge provider an inital one-tme fee in exchange for the hedge provider paying the borrower the excess of the foatng interest rate payment above a strike rate, in the event that the foatng interest rate is greater than the strike rate during the period between the efectve date and maturity date.</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performed a regression analysis at incepton of the hedging relatonship to assess the efectveness. The design of the regression analysis addressed the efectveness of the hedging relatonship by considering how the hedge instrument performs against the forecasted transacton or hypothetcal interest rate cap over historical months. Historical changes in the fair value of the hedge instrument and the underlying item demonstrated the efectveness</w:t>
      </w:r>
    </w:p>
    <w:p>
      <w:pPr>
        <w:spacing w:after="0" w:line="1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0" w:name="page91"/>
    <w:bookmarkEnd w:id="9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of the hedging relatonship. On an ongoing basis, we assess hedge efectveness prospectvely and retrospectvely. The hedge contnued to be highly efectve through its maturity.</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color w:val="auto"/>
        </w:rPr>
        <w:t>The interest rate cap is measured at fair value, which was zero at December 31, 2020.</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Efect of Derivatve Contracts on Accumulated Other Comprehensive Loss ("AOCL") and Earnings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Since we designated the fnancial instruments as efectve cash fow hedges that qualify for hedge accountng, net interest payments are recorded in Interest expense – net in the Consolidated Statements of Comprehensive Income (Loss), and unrealized gains or losses resultng from adjustng the fnancial instruments to fair value are recorded as a component of Other comprehensive loss and subsequently reclassifed into earnings in the same period during which the hedged transacton afects earnings. During the years ended December 31, 2021 and 2020, we reclassifed losses of $0.8 million and $0.2 million, respectvely, into Interest expense – net from AOCL related to the interest rate cap. Cash fows resultng from setlements are presented as a component of cash fows from operatng actvites within the Consolidated Statements of Cash Flows.</w:t>
      </w: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presents the efects of hedge accountng on AOCL for the year ended December 31, 2021 for interest rate contracts designated as cash fow hedges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60" w:type="dxa"/>
            <w:vAlign w:val="bottom"/>
            <w:gridSpan w:val="2"/>
          </w:tcPr>
          <w:p>
            <w:pPr>
              <w:jc w:val="right"/>
              <w:ind w:right="1230"/>
              <w:spacing w:after="0"/>
              <w:rPr>
                <w:sz w:val="20"/>
                <w:szCs w:val="20"/>
                <w:color w:val="auto"/>
              </w:rPr>
            </w:pPr>
            <w:r>
              <w:rPr>
                <w:rFonts w:ascii="Calibri" w:cs="Calibri" w:eastAsia="Calibri" w:hAnsi="Calibri"/>
                <w:sz w:val="18"/>
                <w:szCs w:val="18"/>
                <w:b w:val="1"/>
                <w:bCs w:val="1"/>
                <w:color w:val="auto"/>
              </w:rPr>
              <w:t>Interest rate cap</w:t>
            </w:r>
          </w:p>
        </w:tc>
      </w:tr>
      <w:tr>
        <w:trPr>
          <w:trHeight w:val="37"/>
        </w:trPr>
        <w:tc>
          <w:tcPr>
            <w:tcW w:w="7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60" w:type="dxa"/>
            <w:vAlign w:val="bottom"/>
            <w:gridSpan w:val="2"/>
          </w:tcPr>
          <w:p>
            <w:pPr>
              <w:spacing w:after="0"/>
              <w:rPr>
                <w:sz w:val="3"/>
                <w:szCs w:val="3"/>
                <w:color w:val="auto"/>
              </w:rPr>
            </w:pPr>
          </w:p>
        </w:tc>
      </w:tr>
      <w:tr>
        <w:trPr>
          <w:trHeight w:val="217"/>
        </w:trPr>
        <w:tc>
          <w:tcPr>
            <w:tcW w:w="75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Beginning accumulated derivatve loss in AOCL</w:t>
            </w:r>
          </w:p>
        </w:tc>
        <w:tc>
          <w:tcPr>
            <w:tcW w:w="660" w:type="dxa"/>
            <w:vAlign w:val="bottom"/>
            <w:tcBorders>
              <w:top w:val="single" w:sz="8" w:color="auto"/>
              <w:bottom w:val="single" w:sz="8" w:color="CFF0FC"/>
            </w:tcBorders>
            <w:shd w:val="clear" w:color="auto" w:fill="CFF0FC"/>
          </w:tcPr>
          <w:p>
            <w:pPr>
              <w:jc w:val="right"/>
              <w:ind w:right="470"/>
              <w:spacing w:after="0" w:line="208" w:lineRule="exact"/>
              <w:rPr>
                <w:sz w:val="20"/>
                <w:szCs w:val="20"/>
                <w:color w:val="auto"/>
              </w:rPr>
            </w:pPr>
            <w:r>
              <w:rPr>
                <w:rFonts w:ascii="Calibri" w:cs="Calibri" w:eastAsia="Calibri" w:hAnsi="Calibri"/>
                <w:sz w:val="18"/>
                <w:szCs w:val="18"/>
                <w:color w:val="auto"/>
                <w:w w:val="87"/>
              </w:rPr>
              <w:t>$</w:t>
            </w:r>
          </w:p>
        </w:tc>
        <w:tc>
          <w:tcPr>
            <w:tcW w:w="29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(822</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72"/>
              </w:rPr>
              <w:t>)</w:t>
            </w:r>
          </w:p>
        </w:tc>
      </w:tr>
      <w:tr>
        <w:trPr>
          <w:trHeight w:val="215"/>
        </w:trPr>
        <w:tc>
          <w:tcPr>
            <w:tcW w:w="7520" w:type="dxa"/>
            <w:vAlign w:val="bottom"/>
          </w:tcPr>
          <w:p>
            <w:pPr>
              <w:ind w:left="20"/>
              <w:spacing w:after="0" w:line="215" w:lineRule="exact"/>
              <w:rPr>
                <w:sz w:val="20"/>
                <w:szCs w:val="20"/>
                <w:color w:val="auto"/>
              </w:rPr>
            </w:pPr>
            <w:r>
              <w:rPr>
                <w:rFonts w:ascii="Calibri" w:cs="Calibri" w:eastAsia="Calibri" w:hAnsi="Calibri"/>
                <w:sz w:val="18"/>
                <w:szCs w:val="18"/>
                <w:color w:val="auto"/>
              </w:rPr>
              <w:t>Amount of gain (loss) recognized in AOCL</w:t>
            </w:r>
          </w:p>
        </w:tc>
        <w:tc>
          <w:tcPr>
            <w:tcW w:w="660" w:type="dxa"/>
            <w:vAlign w:val="bottom"/>
          </w:tcPr>
          <w:p>
            <w:pPr>
              <w:spacing w:after="0"/>
              <w:rPr>
                <w:sz w:val="18"/>
                <w:szCs w:val="18"/>
                <w:color w:val="auto"/>
              </w:rPr>
            </w:pPr>
          </w:p>
        </w:tc>
        <w:tc>
          <w:tcPr>
            <w:tcW w:w="306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r>
      <w:tr>
        <w:trPr>
          <w:trHeight w:val="248"/>
        </w:trPr>
        <w:tc>
          <w:tcPr>
            <w:tcW w:w="75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Less: Amount of loss reclassifed from AOCL to income</w:t>
            </w:r>
          </w:p>
        </w:tc>
        <w:tc>
          <w:tcPr>
            <w:tcW w:w="660" w:type="dxa"/>
            <w:vAlign w:val="bottom"/>
            <w:tcBorders>
              <w:bottom w:val="single" w:sz="8" w:color="CFF0FC"/>
            </w:tcBorders>
            <w:shd w:val="clear" w:color="auto" w:fill="CFF0FC"/>
          </w:tcPr>
          <w:p>
            <w:pPr>
              <w:spacing w:after="0"/>
              <w:rPr>
                <w:sz w:val="21"/>
                <w:szCs w:val="21"/>
                <w:color w:val="auto"/>
              </w:rPr>
            </w:pPr>
          </w:p>
        </w:tc>
        <w:tc>
          <w:tcPr>
            <w:tcW w:w="30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(822 )</w:t>
            </w:r>
          </w:p>
        </w:tc>
      </w:tr>
      <w:tr>
        <w:trPr>
          <w:trHeight w:val="237"/>
        </w:trPr>
        <w:tc>
          <w:tcPr>
            <w:tcW w:w="75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Ending accumulated derivatve loss in AOCL</w:t>
            </w:r>
          </w:p>
        </w:tc>
        <w:tc>
          <w:tcPr>
            <w:tcW w:w="660" w:type="dxa"/>
            <w:vAlign w:val="bottom"/>
            <w:tcBorders>
              <w:top w:val="single" w:sz="8" w:color="auto"/>
              <w:bottom w:val="single" w:sz="8" w:color="auto"/>
            </w:tcBorders>
          </w:tcPr>
          <w:p>
            <w:pPr>
              <w:jc w:val="right"/>
              <w:ind w:right="470"/>
              <w:spacing w:after="0" w:line="215" w:lineRule="exact"/>
              <w:rPr>
                <w:sz w:val="20"/>
                <w:szCs w:val="20"/>
                <w:color w:val="auto"/>
              </w:rPr>
            </w:pPr>
            <w:r>
              <w:rPr>
                <w:rFonts w:ascii="Calibri" w:cs="Calibri" w:eastAsia="Calibri" w:hAnsi="Calibri"/>
                <w:sz w:val="18"/>
                <w:szCs w:val="18"/>
                <w:b w:val="1"/>
                <w:bCs w:val="1"/>
                <w:color w:val="auto"/>
                <w:w w:val="87"/>
              </w:rPr>
              <w:t>$</w:t>
            </w:r>
          </w:p>
        </w:tc>
        <w:tc>
          <w:tcPr>
            <w:tcW w:w="29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presents the efects of hedge accountng on AOCL for the year ended December 31, 2020 for interest rate contracts designated as cash fow hedges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20" w:type="dxa"/>
            <w:vAlign w:val="bottom"/>
          </w:tcPr>
          <w:p>
            <w:pPr>
              <w:spacing w:after="0"/>
              <w:rPr>
                <w:sz w:val="19"/>
                <w:szCs w:val="19"/>
                <w:color w:val="auto"/>
              </w:rPr>
            </w:pPr>
          </w:p>
        </w:tc>
        <w:tc>
          <w:tcPr>
            <w:tcW w:w="1360" w:type="dxa"/>
            <w:vAlign w:val="bottom"/>
          </w:tcPr>
          <w:p>
            <w:pPr>
              <w:jc w:val="center"/>
              <w:ind w:left="410"/>
              <w:spacing w:after="0"/>
              <w:rPr>
                <w:sz w:val="20"/>
                <w:szCs w:val="20"/>
                <w:color w:val="auto"/>
              </w:rPr>
            </w:pPr>
            <w:r>
              <w:rPr>
                <w:rFonts w:ascii="Calibri" w:cs="Calibri" w:eastAsia="Calibri" w:hAnsi="Calibri"/>
                <w:sz w:val="18"/>
                <w:szCs w:val="18"/>
                <w:b w:val="1"/>
                <w:bCs w:val="1"/>
                <w:color w:val="auto"/>
                <w:w w:val="98"/>
              </w:rPr>
              <w:t>Interest</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20" w:type="dxa"/>
            <w:vAlign w:val="bottom"/>
          </w:tcPr>
          <w:p>
            <w:pPr>
              <w:spacing w:after="0"/>
              <w:rPr>
                <w:sz w:val="18"/>
                <w:szCs w:val="18"/>
                <w:color w:val="auto"/>
              </w:rPr>
            </w:pPr>
          </w:p>
        </w:tc>
        <w:tc>
          <w:tcPr>
            <w:tcW w:w="1360" w:type="dxa"/>
            <w:vAlign w:val="bottom"/>
          </w:tcPr>
          <w:p>
            <w:pPr>
              <w:jc w:val="center"/>
              <w:ind w:left="410"/>
              <w:spacing w:after="0" w:line="216" w:lineRule="exact"/>
              <w:rPr>
                <w:sz w:val="20"/>
                <w:szCs w:val="20"/>
                <w:color w:val="auto"/>
              </w:rPr>
            </w:pPr>
            <w:r>
              <w:rPr>
                <w:rFonts w:ascii="Calibri" w:cs="Calibri" w:eastAsia="Calibri" w:hAnsi="Calibri"/>
                <w:sz w:val="18"/>
                <w:szCs w:val="18"/>
                <w:b w:val="1"/>
                <w:bCs w:val="1"/>
                <w:color w:val="auto"/>
                <w:w w:val="97"/>
              </w:rPr>
              <w:t>rate</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830"/>
              <w:spacing w:after="0" w:line="216" w:lineRule="exact"/>
              <w:rPr>
                <w:sz w:val="20"/>
                <w:szCs w:val="20"/>
                <w:color w:val="auto"/>
              </w:rPr>
            </w:pPr>
            <w:r>
              <w:rPr>
                <w:rFonts w:ascii="Calibri" w:cs="Calibri" w:eastAsia="Calibri" w:hAnsi="Calibri"/>
                <w:sz w:val="18"/>
                <w:szCs w:val="18"/>
                <w:b w:val="1"/>
                <w:bCs w:val="1"/>
                <w:color w:val="auto"/>
              </w:rPr>
              <w:t>Interest</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360" w:type="dxa"/>
            <w:vAlign w:val="bottom"/>
          </w:tcPr>
          <w:p>
            <w:pPr>
              <w:jc w:val="center"/>
              <w:ind w:left="410"/>
              <w:spacing w:after="0" w:line="216" w:lineRule="exact"/>
              <w:rPr>
                <w:sz w:val="20"/>
                <w:szCs w:val="20"/>
                <w:color w:val="auto"/>
              </w:rPr>
            </w:pPr>
            <w:r>
              <w:rPr>
                <w:rFonts w:ascii="Calibri" w:cs="Calibri" w:eastAsia="Calibri" w:hAnsi="Calibri"/>
                <w:sz w:val="18"/>
                <w:szCs w:val="18"/>
                <w:b w:val="1"/>
                <w:bCs w:val="1"/>
                <w:color w:val="auto"/>
                <w:w w:val="99"/>
              </w:rPr>
              <w:t>swaps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830"/>
              <w:spacing w:after="0" w:line="216" w:lineRule="exact"/>
              <w:rPr>
                <w:sz w:val="20"/>
                <w:szCs w:val="20"/>
                <w:color w:val="auto"/>
              </w:rPr>
            </w:pPr>
            <w:r>
              <w:rPr>
                <w:rFonts w:ascii="Calibri" w:cs="Calibri" w:eastAsia="Calibri" w:hAnsi="Calibri"/>
                <w:sz w:val="18"/>
                <w:szCs w:val="18"/>
                <w:b w:val="1"/>
                <w:bCs w:val="1"/>
                <w:color w:val="auto"/>
              </w:rPr>
              <w:t>rate cap</w:t>
            </w:r>
          </w:p>
        </w:tc>
        <w:tc>
          <w:tcPr>
            <w:tcW w:w="420" w:type="dxa"/>
            <w:vAlign w:val="bottom"/>
          </w:tcPr>
          <w:p>
            <w:pPr>
              <w:spacing w:after="0"/>
              <w:rPr>
                <w:sz w:val="18"/>
                <w:szCs w:val="18"/>
                <w:color w:val="auto"/>
              </w:rPr>
            </w:pPr>
          </w:p>
        </w:tc>
        <w:tc>
          <w:tcPr>
            <w:tcW w:w="1520" w:type="dxa"/>
            <w:vAlign w:val="bottom"/>
            <w:gridSpan w:val="2"/>
          </w:tcPr>
          <w:p>
            <w:pPr>
              <w:jc w:val="right"/>
              <w:ind w:right="75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37"/>
        </w:trPr>
        <w:tc>
          <w:tcPr>
            <w:tcW w:w="50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50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Beginning accumulated derivatve loss in AOCL</w:t>
            </w:r>
          </w:p>
        </w:tc>
        <w:tc>
          <w:tcPr>
            <w:tcW w:w="1360" w:type="dxa"/>
            <w:vAlign w:val="bottom"/>
            <w:tcBorders>
              <w:top w:val="single" w:sz="8" w:color="auto"/>
              <w:bottom w:val="single" w:sz="8" w:color="CFF0FC"/>
            </w:tcBorders>
            <w:shd w:val="clear" w:color="auto" w:fill="CFF0FC"/>
          </w:tcPr>
          <w:p>
            <w:pPr>
              <w:jc w:val="right"/>
              <w:ind w:right="1170"/>
              <w:spacing w:after="0" w:line="208" w:lineRule="exact"/>
              <w:rPr>
                <w:sz w:val="20"/>
                <w:szCs w:val="20"/>
                <w:color w:val="auto"/>
              </w:rPr>
            </w:pPr>
            <w:r>
              <w:rPr>
                <w:rFonts w:ascii="Calibri" w:cs="Calibri" w:eastAsia="Calibri" w:hAnsi="Calibri"/>
                <w:sz w:val="18"/>
                <w:szCs w:val="18"/>
                <w:color w:val="auto"/>
                <w:w w:val="87"/>
              </w:rPr>
              <w:t>$</w:t>
            </w:r>
          </w:p>
        </w:tc>
        <w:tc>
          <w:tcPr>
            <w:tcW w:w="5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(887</w:t>
            </w:r>
          </w:p>
        </w:tc>
        <w:tc>
          <w:tcPr>
            <w:tcW w:w="300" w:type="dxa"/>
            <w:vAlign w:val="bottom"/>
            <w:tcBorders>
              <w:bottom w:val="single" w:sz="8" w:color="CFF0FC"/>
            </w:tcBorders>
            <w:shd w:val="clear" w:color="auto" w:fill="CFF0FC"/>
          </w:tcPr>
          <w:p>
            <w:pPr>
              <w:jc w:val="right"/>
              <w:ind w:right="150"/>
              <w:spacing w:after="0" w:line="208" w:lineRule="exact"/>
              <w:rPr>
                <w:sz w:val="20"/>
                <w:szCs w:val="20"/>
                <w:color w:val="auto"/>
              </w:rPr>
            </w:pPr>
            <w:r>
              <w:rPr>
                <w:rFonts w:ascii="Calibri" w:cs="Calibri" w:eastAsia="Calibri" w:hAnsi="Calibri"/>
                <w:sz w:val="18"/>
                <w:szCs w:val="18"/>
                <w:color w:val="auto"/>
                <w:w w:val="72"/>
              </w:rPr>
              <w:t>)</w:t>
            </w:r>
          </w:p>
        </w:tc>
        <w:tc>
          <w:tcPr>
            <w:tcW w:w="360" w:type="dxa"/>
            <w:vAlign w:val="bottom"/>
            <w:tcBorders>
              <w:top w:val="single" w:sz="8" w:color="auto"/>
              <w:bottom w:val="single" w:sz="8" w:color="CFF0FC"/>
            </w:tcBorders>
            <w:shd w:val="clear" w:color="auto" w:fill="CFF0FC"/>
          </w:tcPr>
          <w:p>
            <w:pPr>
              <w:jc w:val="right"/>
              <w:ind w:right="170"/>
              <w:spacing w:after="0" w:line="208" w:lineRule="exact"/>
              <w:rPr>
                <w:sz w:val="20"/>
                <w:szCs w:val="20"/>
                <w:color w:val="auto"/>
              </w:rPr>
            </w:pPr>
            <w:r>
              <w:rPr>
                <w:rFonts w:ascii="Calibri" w:cs="Calibri" w:eastAsia="Calibri" w:hAnsi="Calibri"/>
                <w:sz w:val="18"/>
                <w:szCs w:val="18"/>
                <w:color w:val="auto"/>
                <w:w w:val="87"/>
              </w:rPr>
              <w:t>$</w:t>
            </w:r>
          </w:p>
        </w:tc>
        <w:tc>
          <w:tcPr>
            <w:tcW w:w="14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(1,030</w:t>
            </w:r>
          </w:p>
        </w:tc>
        <w:tc>
          <w:tcPr>
            <w:tcW w:w="280" w:type="dxa"/>
            <w:vAlign w:val="bottom"/>
            <w:tcBorders>
              <w:bottom w:val="single" w:sz="8" w:color="CFF0FC"/>
            </w:tcBorders>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w w:val="72"/>
              </w:rPr>
              <w:t>)</w:t>
            </w:r>
          </w:p>
        </w:tc>
        <w:tc>
          <w:tcPr>
            <w:tcW w:w="420" w:type="dxa"/>
            <w:vAlign w:val="bottom"/>
            <w:tcBorders>
              <w:top w:val="single" w:sz="8" w:color="auto"/>
              <w:bottom w:val="single" w:sz="8" w:color="CFF0FC"/>
            </w:tcBorders>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14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(1,917</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72"/>
              </w:rPr>
              <w:t>)</w:t>
            </w:r>
          </w:p>
        </w:tc>
      </w:tr>
      <w:tr>
        <w:trPr>
          <w:trHeight w:val="215"/>
        </w:trPr>
        <w:tc>
          <w:tcPr>
            <w:tcW w:w="5020" w:type="dxa"/>
            <w:vAlign w:val="bottom"/>
          </w:tcPr>
          <w:p>
            <w:pPr>
              <w:ind w:left="20"/>
              <w:spacing w:after="0" w:line="215" w:lineRule="exact"/>
              <w:rPr>
                <w:sz w:val="20"/>
                <w:szCs w:val="20"/>
                <w:color w:val="auto"/>
              </w:rPr>
            </w:pPr>
            <w:r>
              <w:rPr>
                <w:rFonts w:ascii="Calibri" w:cs="Calibri" w:eastAsia="Calibri" w:hAnsi="Calibri"/>
                <w:sz w:val="18"/>
                <w:szCs w:val="18"/>
                <w:color w:val="auto"/>
              </w:rPr>
              <w:t>Amount of gain recognized in AOCL</w:t>
            </w:r>
          </w:p>
        </w:tc>
        <w:tc>
          <w:tcPr>
            <w:tcW w:w="1360" w:type="dxa"/>
            <w:vAlign w:val="bottom"/>
          </w:tcPr>
          <w:p>
            <w:pPr>
              <w:spacing w:after="0"/>
              <w:rPr>
                <w:sz w:val="18"/>
                <w:szCs w:val="18"/>
                <w:color w:val="auto"/>
              </w:rPr>
            </w:pP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887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887</w:t>
            </w:r>
          </w:p>
        </w:tc>
        <w:tc>
          <w:tcPr>
            <w:tcW w:w="100" w:type="dxa"/>
            <w:vAlign w:val="bottom"/>
          </w:tcPr>
          <w:p>
            <w:pPr>
              <w:spacing w:after="0"/>
              <w:rPr>
                <w:sz w:val="18"/>
                <w:szCs w:val="18"/>
                <w:color w:val="auto"/>
              </w:rPr>
            </w:pPr>
          </w:p>
        </w:tc>
      </w:tr>
      <w:tr>
        <w:trPr>
          <w:trHeight w:val="28"/>
        </w:trPr>
        <w:tc>
          <w:tcPr>
            <w:tcW w:w="5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23"/>
        </w:trPr>
        <w:tc>
          <w:tcPr>
            <w:tcW w:w="50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Less: Amount of loss reclassifed from AOCL to income</w:t>
            </w:r>
          </w:p>
        </w:tc>
        <w:tc>
          <w:tcPr>
            <w:tcW w:w="13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(208 )</w:t>
            </w:r>
          </w:p>
        </w:tc>
        <w:tc>
          <w:tcPr>
            <w:tcW w:w="4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(208 )</w:t>
            </w:r>
          </w:p>
        </w:tc>
      </w:tr>
      <w:tr>
        <w:trPr>
          <w:trHeight w:val="20"/>
        </w:trPr>
        <w:tc>
          <w:tcPr>
            <w:tcW w:w="50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020" w:type="dxa"/>
            <w:vAlign w:val="bottom"/>
          </w:tcPr>
          <w:p>
            <w:pPr>
              <w:ind w:left="20"/>
              <w:spacing w:after="0"/>
              <w:rPr>
                <w:sz w:val="20"/>
                <w:szCs w:val="20"/>
                <w:color w:val="auto"/>
              </w:rPr>
            </w:pPr>
            <w:r>
              <w:rPr>
                <w:rFonts w:ascii="Calibri" w:cs="Calibri" w:eastAsia="Calibri" w:hAnsi="Calibri"/>
                <w:sz w:val="18"/>
                <w:szCs w:val="18"/>
                <w:color w:val="auto"/>
              </w:rPr>
              <w:t>Ending accumulated derivatve loss in AOCL</w:t>
            </w:r>
          </w:p>
        </w:tc>
        <w:tc>
          <w:tcPr>
            <w:tcW w:w="1360" w:type="dxa"/>
            <w:vAlign w:val="bottom"/>
          </w:tcPr>
          <w:p>
            <w:pPr>
              <w:jc w:val="right"/>
              <w:ind w:right="1170"/>
              <w:spacing w:after="0" w:line="215" w:lineRule="exact"/>
              <w:rPr>
                <w:sz w:val="20"/>
                <w:szCs w:val="20"/>
                <w:color w:val="auto"/>
              </w:rPr>
            </w:pPr>
            <w:r>
              <w:rPr>
                <w:rFonts w:ascii="Calibri" w:cs="Calibri" w:eastAsia="Calibri" w:hAnsi="Calibri"/>
                <w:sz w:val="18"/>
                <w:szCs w:val="18"/>
                <w:b w:val="1"/>
                <w:bCs w:val="1"/>
                <w:color w:val="auto"/>
                <w:w w:val="87"/>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300" w:type="dxa"/>
            <w:vAlign w:val="bottom"/>
          </w:tcPr>
          <w:p>
            <w:pPr>
              <w:spacing w:after="0"/>
              <w:rPr>
                <w:sz w:val="20"/>
                <w:szCs w:val="20"/>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w w:val="87"/>
              </w:rPr>
              <w:t>$</w:t>
            </w:r>
          </w:p>
        </w:tc>
        <w:tc>
          <w:tcPr>
            <w:tcW w:w="176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b w:val="1"/>
                <w:bCs w:val="1"/>
                <w:color w:val="auto"/>
              </w:rPr>
              <w:t>(822 )</w:t>
            </w:r>
          </w:p>
        </w:tc>
        <w:tc>
          <w:tcPr>
            <w:tcW w:w="420" w:type="dxa"/>
            <w:vAlign w:val="bottom"/>
          </w:tcPr>
          <w:p>
            <w:pPr>
              <w:jc w:val="right"/>
              <w:ind w:right="230"/>
              <w:spacing w:after="0" w:line="215" w:lineRule="exact"/>
              <w:rPr>
                <w:sz w:val="20"/>
                <w:szCs w:val="20"/>
                <w:color w:val="auto"/>
              </w:rPr>
            </w:pPr>
            <w:r>
              <w:rPr>
                <w:rFonts w:ascii="Calibri" w:cs="Calibri" w:eastAsia="Calibri" w:hAnsi="Calibri"/>
                <w:sz w:val="18"/>
                <w:szCs w:val="18"/>
                <w:b w:val="1"/>
                <w:bCs w:val="1"/>
                <w:color w:val="auto"/>
                <w:w w:val="87"/>
              </w:rPr>
              <w:t>$</w:t>
            </w:r>
          </w:p>
        </w:tc>
        <w:tc>
          <w:tcPr>
            <w:tcW w:w="152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(822 )</w:t>
            </w:r>
          </w:p>
        </w:tc>
      </w:tr>
      <w:tr>
        <w:trPr>
          <w:trHeight w:val="20"/>
        </w:trPr>
        <w:tc>
          <w:tcPr>
            <w:tcW w:w="50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-187960</wp:posOffset>
            </wp:positionV>
            <wp:extent cx="77470"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-187960</wp:posOffset>
            </wp:positionV>
            <wp:extent cx="68580" cy="188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Warrants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We issued the following warrants during the year ended December 31, 2021 in connecton with the Merger Transacton:</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Public Warrants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issued warrants to purchase 18,132,776 shares of Class A common stock at an exercise price of $11.50 per share to former warrant holders of Horizon, of which 5,166,666 shares were issued to Horizon Sponsor. These warrants are traded on the Nasdaq Stock Market under the symbol “SEATW.”</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26, 2022, we announced the commencement of an ofer to the holders of outstanding Public Warrants to receive 0.240 shares of Class A common stock in exchange for each outstanding Public Warrant (the “Ofer”). On July 5, 2022, a total of 11,365,913 public warrants were tendered for 2,727,785 shares of Class A common stock (the “Exchange”). Following the Exchange, 6,766,853 Public Warrants remained outstanding. During the year ended December 31, 2022, ten Public Warrants were exercised. The exercise of the Public Warrants are accounted for as a</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1" w:name="page92"/>
    <w:bookmarkEnd w:id="9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transacton within Additonal paid-in capital in the Consolidated Balance Sheets. As of December 31, 2022, we had 6,766,853 outstanding Public Warrants.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in our sole discreton, reduce the exercise price of the Public Warrants to induce early exercise, provided that we provide at least fve days advance notce. The exercise price and number of Class A common stock shares issuable upon exercise of the Public Warrants may also be adjusted in certain circumstances including in the event of a share dividend, recapitalizaton, reorganizaton, merger or consolidaton. In no event are we required to net cash setle the Public Warrants.</w:t>
      </w:r>
    </w:p>
    <w:p>
      <w:pPr>
        <w:spacing w:after="0" w:line="1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Public Warrants became exercisable 30 days following the Merger Transacton and expire at the earliest of fve years following the Merger Transacton, our liquidaton, or the date of redempton elected at our opton provided that the value of the Class A common stock exceeds $18.00 per share. There is an efectve registraton statement and prospectus relatng to the shares issuable upon exercise of the Public Warrants.</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certain circumstances, we may elect to redeem the Public Warrants at a redempton price of $0.01 per Public Warrant at any tme during the term of the Public Warrant in which our Class A common stock share trading price has been at least $18.00 per share for 20 trading days within the 30 trading-day period. If we elect to redeem the Public Warrants, we must notfy the Public Warrant holders in advance, who would then have at least 30 days from the date of notfcaton to exercise their respectve warrants. If the Public Warrant is not exercised within that 30-day period, it will be redeemed pursuant to this provision.</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the Merger Transacton, we modifed the terms of the Public Warrants. The modifcaton resulted in a transfer of incremental value of $1.3 million to the holders of the Public Warrants, which we recorded as Other expenses in the Consolidated Statements of Operatons during the year ended December 31, 2021.</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Private Warrants</w:t>
      </w:r>
    </w:p>
    <w:p>
      <w:pPr>
        <w:spacing w:after="0" w:line="15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We issued warrants to purchase 6,519,791 shares of our Class A common stock at an exercise price of $11.50 per share to the Sponsor. The Private Warrants have similar terms to the Public Warrants, except that the Private Warrants are not redeemable by us.</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the Merger Transacton, we modifed the terms of the Private Warrants. The modifcaton did not result in a transfer of incremental value to the warrant holders.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As of December 31, 2022, we had 6,519,791 outstanding Private Warrants.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Exercise Warrants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issued warrants to purchase 17,000,000 shares of Class A common stock at an exercise price of $10.00 per share (“$10 Exercise Warrants”) and warrants to purchase 17,000,000 of Class A common stock at an exercise of $15.00 per share (“$15 Exercise Warrants”; together with the $10 Exercise Warrants, “Exercise Warrants”). The Exercise Warrants have similar terms to the Public Warrants, except that the Exercise Warrants have diferent exercise prices, an inital term of 10 years, are not redeemable by us, and are fully transferable.</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color w:val="auto"/>
        </w:rPr>
        <w:t>As of December 31, 2022, we had 17,000,000 $10 Exercise Warrants outstanding and 17,000,000 $15 Exercise Warrants outstanding.</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Mirror Warrants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Hoya Intermediate issued warrants to VSI to purchase 17,000,000 Intermediate Units at an exercise price of $10.00 per unit (“$10 Mirror Warrants”), warrants to purchase 17,000,000 Intermediate Units at an exercise of $15.00 per unit (“$15 Mirror Warrants”), warrants to purchase 24,652,557 Intermediate Units at an exercise price of $11.50 per unit (“$11.50 Mirror Warrants”; together with the $10 Mirror Warrants and $15 Mirror Warrants, “Mirror Warrants”). The number and terms of the Mirror Warrants are identcal to the Public, Private and Exercise Warrants, respectvely. Upon the valid exercise of a Public Warrant, Private Warrant and Exercise Warrant, Hoya Intermediate will issue to VSI an equivalent number of Intermediate Units. Similarly, if a Public, Private or Exercise Warrant is</w:t>
      </w:r>
    </w:p>
    <w:p>
      <w:pPr>
        <w:spacing w:after="0" w:line="10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2" w:name="page93"/>
    <w:bookmarkEnd w:id="92"/>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tendered, an equivalent number of Mirror Warrants will be tendered. In connecton with the Exchange, we tendered 11,365,913 $11.50 Mirror Warrants and received 2,727,785 Intermediate Units.</w:t>
      </w:r>
    </w:p>
    <w:p>
      <w:pPr>
        <w:spacing w:after="0" w:line="137"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As of December 31, 2022, we had 17,000,000 $10 Mirror Warrants outstanding, 17,000,000 $15 Mirror Warrants outstanding and 13,286,644 $11.50 Mirror Warrants outstanding.</w:t>
      </w:r>
    </w:p>
    <w:p>
      <w:pPr>
        <w:spacing w:after="0" w:line="15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As the Public Warrants, Private Warrants and Exercise Warrants are indexed to our equity and meet the equity classifcaton guidance of ASC 815-40, we refect these warrants as a component of equity within additonal paid-in capital. Our Mirror Warrants eliminate in consolidaton and do not impact the presentaton of our consolidated fnancial statements.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Hoya Intermediate Warrants</w:t>
      </w:r>
    </w:p>
    <w:p>
      <w:pPr>
        <w:spacing w:after="0" w:line="136"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Hoya Intermediate issued the Hoya Intermediate Warrants, which are classifed as Other Liabilites in the Consolidated Balance Sheets. 1,000,000 Hoya Intermediate Warrants to purchase Intermediate Units at exercise prices of $10.00 and $15.00 per unit, respectvely (“Opton Contngent Warrants”), were issued in tandem with stock optons we issued to members of our management team (“Management Optons”). The Opton Contngent Warrants only become exercisable by Hoya Topco if a Management Opton is forfeited or expires unexercised. As of December 31, 2022, 0.2 million of the corresponding Management Optons had been forfeited.</w:t>
      </w:r>
    </w:p>
    <w:p>
      <w:pPr>
        <w:spacing w:after="0" w:line="15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Hoya Intermediate Warrants allow for cash redempton at the opton of the warrant holder. Hence, the Hoya Intermediate Warrants are classifed as a liability in Other liabilites on our Consolidated Balance Sheets. Upon consummaton of the Merger Transacton, we recorded a warrant liability of $20.4 million refectng the fair value of the Hoya Intermediate Warrants determined using the Black Scholes model. The fair value of the Hoya Intermediate Warrants includes Opton Contngent Warrants of $1.6 million. The estmated fair value of the Opton Contngent Warrants is adjusted to refect the probability of forfeiture of the Management Optons based on historical forfeiture rates for Hoya Topco proft interests.</w:t>
      </w:r>
    </w:p>
    <w:p>
      <w:pPr>
        <w:spacing w:after="0" w:line="153"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The following assumptons were used to calculate the fair value of the Hoya Intermediate Warrants and Opton Contngent Warrants at December 31, 2022 and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40" w:type="dxa"/>
            <w:vAlign w:val="bottom"/>
            <w:gridSpan w:val="2"/>
          </w:tcPr>
          <w:p>
            <w:pPr>
              <w:ind w:left="7380"/>
              <w:spacing w:after="0"/>
              <w:rPr>
                <w:sz w:val="20"/>
                <w:szCs w:val="20"/>
                <w:color w:val="auto"/>
              </w:rPr>
            </w:pPr>
            <w:r>
              <w:rPr>
                <w:rFonts w:ascii="Calibri" w:cs="Calibri" w:eastAsia="Calibri" w:hAnsi="Calibri"/>
                <w:sz w:val="18"/>
                <w:szCs w:val="18"/>
                <w:b w:val="1"/>
                <w:bCs w:val="1"/>
                <w:color w:val="auto"/>
              </w:rPr>
              <w:t>2022</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jc w:val="right"/>
              <w:ind w:right="850"/>
              <w:spacing w:after="0"/>
              <w:rPr>
                <w:sz w:val="20"/>
                <w:szCs w:val="20"/>
                <w:color w:val="auto"/>
              </w:rPr>
            </w:pPr>
            <w:r>
              <w:rPr>
                <w:rFonts w:ascii="Calibri" w:cs="Calibri" w:eastAsia="Calibri" w:hAnsi="Calibri"/>
                <w:sz w:val="18"/>
                <w:szCs w:val="18"/>
                <w:b w:val="1"/>
                <w:bCs w:val="1"/>
                <w:color w:val="auto"/>
              </w:rPr>
              <w:t>2021</w:t>
            </w:r>
          </w:p>
        </w:tc>
        <w:tc>
          <w:tcPr>
            <w:tcW w:w="140" w:type="dxa"/>
            <w:vAlign w:val="bottom"/>
          </w:tcPr>
          <w:p>
            <w:pPr>
              <w:spacing w:after="0"/>
              <w:rPr>
                <w:sz w:val="19"/>
                <w:szCs w:val="19"/>
                <w:color w:val="auto"/>
              </w:rPr>
            </w:pPr>
          </w:p>
        </w:tc>
      </w:tr>
      <w:tr>
        <w:trPr>
          <w:trHeight w:val="37"/>
        </w:trPr>
        <w:tc>
          <w:tcPr>
            <w:tcW w:w="8040" w:type="dxa"/>
            <w:vAlign w:val="bottom"/>
            <w:gridSpan w:val="2"/>
          </w:tcPr>
          <w:p>
            <w:pPr>
              <w:spacing w:after="0"/>
              <w:rPr>
                <w:sz w:val="3"/>
                <w:szCs w:val="3"/>
                <w:color w:val="auto"/>
              </w:rPr>
            </w:pPr>
          </w:p>
        </w:tc>
        <w:tc>
          <w:tcPr>
            <w:tcW w:w="88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8"/>
        </w:trPr>
        <w:tc>
          <w:tcPr>
            <w:tcW w:w="6440" w:type="dxa"/>
            <w:vAlign w:val="bottom"/>
          </w:tcPr>
          <w:p>
            <w:pPr>
              <w:ind w:left="20"/>
              <w:spacing w:after="0" w:line="199" w:lineRule="exact"/>
              <w:rPr>
                <w:sz w:val="20"/>
                <w:szCs w:val="20"/>
                <w:color w:val="auto"/>
              </w:rPr>
            </w:pPr>
            <w:r>
              <w:rPr>
                <w:rFonts w:ascii="Calibri" w:cs="Calibri" w:eastAsia="Calibri" w:hAnsi="Calibri"/>
                <w:sz w:val="18"/>
                <w:szCs w:val="18"/>
                <w:color w:val="auto"/>
              </w:rPr>
              <w:t>Estmated volatlity</w:t>
            </w:r>
          </w:p>
        </w:tc>
        <w:tc>
          <w:tcPr>
            <w:tcW w:w="16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39.0</w:t>
            </w:r>
          </w:p>
        </w:tc>
        <w:tc>
          <w:tcPr>
            <w:tcW w:w="240" w:type="dxa"/>
            <w:vAlign w:val="bottom"/>
          </w:tcPr>
          <w:p>
            <w:pPr>
              <w:jc w:val="right"/>
              <w:ind w:right="10"/>
              <w:spacing w:after="0" w:line="199" w:lineRule="exact"/>
              <w:rPr>
                <w:sz w:val="20"/>
                <w:szCs w:val="20"/>
                <w:color w:val="auto"/>
              </w:rPr>
            </w:pPr>
            <w:r>
              <w:rPr>
                <w:rFonts w:ascii="Calibri" w:cs="Calibri" w:eastAsia="Calibri" w:hAnsi="Calibri"/>
                <w:sz w:val="18"/>
                <w:szCs w:val="18"/>
                <w:color w:val="auto"/>
                <w:w w:val="92"/>
              </w:rPr>
              <w:t>%</w:t>
            </w:r>
          </w:p>
        </w:tc>
        <w:tc>
          <w:tcPr>
            <w:tcW w:w="22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36.0</w:t>
            </w:r>
          </w:p>
        </w:tc>
        <w:tc>
          <w:tcPr>
            <w:tcW w:w="140" w:type="dxa"/>
            <w:vAlign w:val="bottom"/>
          </w:tcPr>
          <w:p>
            <w:pPr>
              <w:jc w:val="right"/>
              <w:spacing w:after="0" w:line="199" w:lineRule="exact"/>
              <w:rPr>
                <w:sz w:val="20"/>
                <w:szCs w:val="20"/>
                <w:color w:val="auto"/>
              </w:rPr>
            </w:pPr>
            <w:r>
              <w:rPr>
                <w:rFonts w:ascii="Calibri" w:cs="Calibri" w:eastAsia="Calibri" w:hAnsi="Calibri"/>
                <w:sz w:val="18"/>
                <w:szCs w:val="18"/>
                <w:color w:val="auto"/>
                <w:w w:val="92"/>
              </w:rPr>
              <w:t>%</w:t>
            </w:r>
          </w:p>
        </w:tc>
      </w:tr>
      <w:tr>
        <w:trPr>
          <w:trHeight w:val="234"/>
        </w:trPr>
        <w:tc>
          <w:tcPr>
            <w:tcW w:w="8040" w:type="dxa"/>
            <w:vAlign w:val="bottom"/>
            <w:gridSpan w:val="2"/>
          </w:tcPr>
          <w:p>
            <w:pPr>
              <w:ind w:left="20"/>
              <w:spacing w:after="0"/>
              <w:rPr>
                <w:sz w:val="20"/>
                <w:szCs w:val="20"/>
                <w:color w:val="auto"/>
              </w:rPr>
            </w:pPr>
            <w:r>
              <w:rPr>
                <w:rFonts w:ascii="Calibri" w:cs="Calibri" w:eastAsia="Calibri" w:hAnsi="Calibri"/>
                <w:sz w:val="18"/>
                <w:szCs w:val="18"/>
                <w:color w:val="auto"/>
              </w:rPr>
              <w:t>Expected term (years)</w:t>
            </w:r>
          </w:p>
        </w:tc>
        <w:tc>
          <w:tcPr>
            <w:tcW w:w="640" w:type="dxa"/>
            <w:vAlign w:val="bottom"/>
          </w:tcPr>
          <w:p>
            <w:pPr>
              <w:jc w:val="right"/>
              <w:spacing w:after="0"/>
              <w:rPr>
                <w:sz w:val="20"/>
                <w:szCs w:val="20"/>
                <w:color w:val="auto"/>
              </w:rPr>
            </w:pPr>
            <w:r>
              <w:rPr>
                <w:rFonts w:ascii="Calibri" w:cs="Calibri" w:eastAsia="Calibri" w:hAnsi="Calibri"/>
                <w:sz w:val="18"/>
                <w:szCs w:val="18"/>
                <w:color w:val="auto"/>
              </w:rPr>
              <w:t>8.8</w:t>
            </w:r>
          </w:p>
        </w:tc>
        <w:tc>
          <w:tcPr>
            <w:tcW w:w="2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Calibri" w:cs="Calibri" w:eastAsia="Calibri" w:hAnsi="Calibri"/>
                <w:sz w:val="18"/>
                <w:szCs w:val="18"/>
                <w:color w:val="auto"/>
              </w:rPr>
              <w:t>9.8</w:t>
            </w:r>
          </w:p>
        </w:tc>
        <w:tc>
          <w:tcPr>
            <w:tcW w:w="140" w:type="dxa"/>
            <w:vAlign w:val="bottom"/>
          </w:tcPr>
          <w:p>
            <w:pPr>
              <w:spacing w:after="0"/>
              <w:rPr>
                <w:sz w:val="20"/>
                <w:szCs w:val="20"/>
                <w:color w:val="auto"/>
              </w:rPr>
            </w:pPr>
          </w:p>
        </w:tc>
      </w:tr>
      <w:tr>
        <w:trPr>
          <w:trHeight w:val="243"/>
        </w:trPr>
        <w:tc>
          <w:tcPr>
            <w:tcW w:w="8040" w:type="dxa"/>
            <w:vAlign w:val="bottom"/>
            <w:gridSpan w:val="2"/>
          </w:tcPr>
          <w:p>
            <w:pPr>
              <w:ind w:left="20"/>
              <w:spacing w:after="0"/>
              <w:rPr>
                <w:sz w:val="20"/>
                <w:szCs w:val="20"/>
                <w:color w:val="auto"/>
              </w:rPr>
            </w:pPr>
            <w:r>
              <w:rPr>
                <w:rFonts w:ascii="Calibri" w:cs="Calibri" w:eastAsia="Calibri" w:hAnsi="Calibri"/>
                <w:sz w:val="18"/>
                <w:szCs w:val="18"/>
                <w:color w:val="auto"/>
              </w:rPr>
              <w:t>Risk-free rate</w:t>
            </w:r>
          </w:p>
        </w:tc>
        <w:tc>
          <w:tcPr>
            <w:tcW w:w="880" w:type="dxa"/>
            <w:vAlign w:val="bottom"/>
            <w:gridSpan w:val="2"/>
          </w:tcPr>
          <w:p>
            <w:pPr>
              <w:jc w:val="right"/>
              <w:ind w:right="10"/>
              <w:spacing w:after="0"/>
              <w:rPr>
                <w:sz w:val="20"/>
                <w:szCs w:val="20"/>
                <w:color w:val="auto"/>
              </w:rPr>
            </w:pPr>
            <w:r>
              <w:rPr>
                <w:rFonts w:ascii="Calibri" w:cs="Calibri" w:eastAsia="Calibri" w:hAnsi="Calibri"/>
                <w:sz w:val="18"/>
                <w:szCs w:val="18"/>
                <w:color w:val="auto"/>
              </w:rPr>
              <w:t>3.9 %</w:t>
            </w:r>
          </w:p>
        </w:tc>
        <w:tc>
          <w:tcPr>
            <w:tcW w:w="2360" w:type="dxa"/>
            <w:vAlign w:val="bottom"/>
            <w:gridSpan w:val="2"/>
          </w:tcPr>
          <w:p>
            <w:pPr>
              <w:jc w:val="right"/>
              <w:spacing w:after="0"/>
              <w:rPr>
                <w:sz w:val="20"/>
                <w:szCs w:val="20"/>
                <w:color w:val="auto"/>
              </w:rPr>
            </w:pPr>
            <w:r>
              <w:rPr>
                <w:rFonts w:ascii="Calibri" w:cs="Calibri" w:eastAsia="Calibri" w:hAnsi="Calibri"/>
                <w:sz w:val="18"/>
                <w:szCs w:val="18"/>
                <w:color w:val="auto"/>
              </w:rPr>
              <w:t>1.5 %</w:t>
            </w:r>
          </w:p>
        </w:tc>
      </w:tr>
      <w:tr>
        <w:trPr>
          <w:trHeight w:val="243"/>
        </w:trPr>
        <w:tc>
          <w:tcPr>
            <w:tcW w:w="8040" w:type="dxa"/>
            <w:vAlign w:val="bottom"/>
            <w:gridSpan w:val="2"/>
          </w:tcPr>
          <w:p>
            <w:pPr>
              <w:ind w:left="20"/>
              <w:spacing w:after="0"/>
              <w:rPr>
                <w:sz w:val="20"/>
                <w:szCs w:val="20"/>
                <w:color w:val="auto"/>
              </w:rPr>
            </w:pPr>
            <w:r>
              <w:rPr>
                <w:rFonts w:ascii="Calibri" w:cs="Calibri" w:eastAsia="Calibri" w:hAnsi="Calibri"/>
                <w:sz w:val="18"/>
                <w:szCs w:val="18"/>
                <w:color w:val="auto"/>
              </w:rPr>
              <w:t>Expected dividend yield</w:t>
            </w:r>
          </w:p>
        </w:tc>
        <w:tc>
          <w:tcPr>
            <w:tcW w:w="880" w:type="dxa"/>
            <w:vAlign w:val="bottom"/>
            <w:gridSpan w:val="2"/>
          </w:tcPr>
          <w:p>
            <w:pPr>
              <w:jc w:val="right"/>
              <w:ind w:right="10"/>
              <w:spacing w:after="0"/>
              <w:rPr>
                <w:sz w:val="20"/>
                <w:szCs w:val="20"/>
                <w:color w:val="auto"/>
              </w:rPr>
            </w:pPr>
            <w:r>
              <w:rPr>
                <w:rFonts w:ascii="Calibri" w:cs="Calibri" w:eastAsia="Calibri" w:hAnsi="Calibri"/>
                <w:sz w:val="18"/>
                <w:szCs w:val="18"/>
                <w:color w:val="auto"/>
              </w:rPr>
              <w:t>0.0 %</w:t>
            </w:r>
          </w:p>
        </w:tc>
        <w:tc>
          <w:tcPr>
            <w:tcW w:w="2360" w:type="dxa"/>
            <w:vAlign w:val="bottom"/>
            <w:gridSpan w:val="2"/>
          </w:tcPr>
          <w:p>
            <w:pPr>
              <w:jc w:val="right"/>
              <w:spacing w:after="0"/>
              <w:rPr>
                <w:sz w:val="20"/>
                <w:szCs w:val="20"/>
                <w:color w:val="auto"/>
              </w:rPr>
            </w:pPr>
            <w:r>
              <w:rPr>
                <w:rFonts w:ascii="Calibri" w:cs="Calibri" w:eastAsia="Calibri" w:hAnsi="Calibri"/>
                <w:sz w:val="18"/>
                <w:szCs w:val="18"/>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For the year ended December 31, 2022, the fair value of the Hoya Intermediate Warrants and Opton Contngent Warrants decreased by $8.2 million, which is presented in Other income on the Consolidated Statements of Operatons. For the period from October 18, 2021 untl December 31, 2021, we recognized a charge to Other expenses on the Consolidated Statements of Operatons resultng from an increase in the fair value of the Hoya Intermediate Warrants and Opton Contngent Warrants of $0.1 million.</w:t>
      </w:r>
    </w:p>
    <w:p>
      <w:pPr>
        <w:spacing w:after="0" w:line="152"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Upon the valid exercise of a Hoya Intermediate Warrant for Intermediate Units, VSI will issue an equivalent amount of VSI Class B common shares to Hoya Topco.</w:t>
      </w:r>
    </w:p>
    <w:p>
      <w:pPr>
        <w:spacing w:after="0" w:line="15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Other fnancial instruments, including accounts receivable and accounts payable, are carried at cost, which approximates their fair value because of the short-term nature of these instruments.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Redeemable noncontrolling Interests</w:t>
      </w:r>
    </w:p>
    <w:p>
      <w:pPr>
        <w:spacing w:after="0" w:line="15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As of December 31, 2022, Hoya Topco held 100% of the Class B common stock in VSI and owned 59.5% of the Intermediate Units. Hoya Topco has the right to exchange its Intermediate Units for shares of VSI Class A common stock on a one-to-one basis or cash proceeds of equal value at the tme of redempton. The opton to redeem Intermediate Units for cash proceeds must be approved by the Board of VSI, which as of December 31, 2022, is controlled by investors in Hoya Topco. The ability to put Intermediate Units is solely within the control of the holder</w:t>
      </w:r>
    </w:p>
    <w:p>
      <w:pPr>
        <w:spacing w:after="0" w:line="107"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2" w:right="299" w:bottom="1440" w:gutter="0" w:footer="0" w:header="0"/>
        </w:sectPr>
      </w:pPr>
    </w:p>
    <w:bookmarkStart w:id="93" w:name="page94"/>
    <w:bookmarkEnd w:id="9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of the redeemable noncontrolling interests. If Hoya Topco elects the redempton to be setled in cash, the cash used to setle the redempton must be funded through a private or public ofering of Class A common stock and subject to our Board's approval.</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Net income (loss) atributable to redeemable noncontrolling interests is calculated by multplying Hoya Intermediate's net income (loss) incurred in the period by Hoya Topco's weighted average percentage allocaton of Intermediate Units during the period. Refer to Note 21, </w:t>
      </w:r>
      <w:r>
        <w:rPr>
          <w:rFonts w:ascii="Calibri" w:cs="Calibri" w:eastAsia="Calibri" w:hAnsi="Calibri"/>
          <w:sz w:val="18"/>
          <w:szCs w:val="18"/>
          <w:i w:val="1"/>
          <w:iCs w:val="1"/>
          <w:color w:val="auto"/>
        </w:rPr>
        <w:t>Earnings per Share</w:t>
      </w:r>
      <w:r>
        <w:rPr>
          <w:rFonts w:ascii="Calibri" w:cs="Calibri" w:eastAsia="Calibri" w:hAnsi="Calibri"/>
          <w:sz w:val="18"/>
          <w:szCs w:val="18"/>
          <w:color w:val="auto"/>
        </w:rPr>
        <w:t>, for computaton of net income (loss) atributable to redeemable noncontrolling interests.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16. Equity</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For periods prior to the Merger Transacton, Hoya Intermediate had Senior Preferred Units, Preferred Units, and Common Units, described below, authorized, issued and outstanding. As described in Note 1, </w:t>
      </w:r>
      <w:r>
        <w:rPr>
          <w:rFonts w:ascii="Calibri" w:cs="Calibri" w:eastAsia="Calibri" w:hAnsi="Calibri"/>
          <w:sz w:val="18"/>
          <w:szCs w:val="18"/>
          <w:i w:val="1"/>
          <w:iCs w:val="1"/>
          <w:color w:val="auto"/>
        </w:rPr>
        <w:t>Background, Descripton of Business and Basis of Presentaton</w:t>
      </w:r>
      <w:r>
        <w:rPr>
          <w:rFonts w:ascii="Calibri" w:cs="Calibri" w:eastAsia="Calibri" w:hAnsi="Calibri"/>
          <w:sz w:val="18"/>
          <w:szCs w:val="18"/>
          <w:color w:val="auto"/>
        </w:rPr>
        <w:t>, on October 18, 2021, we consummated a series of merger transactons between Horizon, VSI, and Hoya Intermediate. Subsequent to the Merger Transacton, we have two classes of common stock authorized and issued by VSI: Class A common stock and Class B common stock.</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Hoya Intermediate Senior Preferred Units, Preferred Units, and Common Units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Prior to the Merger Transacton, Hoya Intermediate had authorized and issued 100 units of Redeemable Senior Preferred Units, 100 units of Redeemable Preferred Units and 100 common units. In connecton with the Merger Transacton, the Senior Preferred Units and the Preferred Units were redeemed and no longer remain outstanding.</w:t>
      </w:r>
    </w:p>
    <w:p>
      <w:pPr>
        <w:spacing w:after="0" w:line="15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As of December 31, 2022, 196,268,297 Intermediate Units are outstanding. VSI holds 40.5% of the outstanding Intermediate Units as of December 31, 2022, with the remainder held by Hoya Topco.</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VSI Class A Common Stock</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Holders of Class A common stock are enttled to full economic rights in VSI, including the right to receive dividends when and if declared by our Board, subject to any statutory or contractual restrictons on the payment of dividends and to any restrictons on the payment of dividends imposed by the terms of any outstanding preferred stock. Each holder of Class A common stock is enttled to one vote for each share of Class A common stock held.</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VSI Class B Common Stock</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Holders of Class B common stock do not have economic rights in VSI but are enttled to one vote for each share of Class B common stock held. Holders of Class B common stock receive one Intermediate Unit for each Class B share (see Note 15, Redeemable Noncontrolling Interest). Holders of Class A common stock and Class B common stock vote as a single class on all maters requiring a shareholder vote. Following the Merger Transacton, the quantty of Class A common stock and Class B common stock outstanding net of treasury stock is equal to the quantty of Intermediate Units outstanding.</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17. Commitments and Contingencies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Purchase Obligatons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enter into non-cancelable arrangements, primarily related to the purchase of marketng services and tckets at an agreed upon price. Our purchase obligatons are $2.7 million payable in the next twelve months and $5.2 million payable thereafer.</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Litgaton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tme to tme, we are involved in various claims and legal actons arising in the ordinary course of business, none of which, in the opinion of management, could have a material efect on our business, fnancial positon or results of operatons other than those maters discussed herein.</w:t>
      </w:r>
    </w:p>
    <w:p>
      <w:pPr>
        <w:spacing w:after="0" w:line="10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4" w:name="page95"/>
    <w:bookmarkEnd w:id="9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 co-defendant in a class acton lawsuit in Canada alleging a failure to disclose service fees prior to checkout, which we have setled. On January 5, 2022, we issued coupons to certain members of the class. Other members were notfed in 2022 that they are eligible to submit a claim for a coupon, which they will receive in 2023. As of December 31, 2022 and December 31, 2021, a liability of $0.9 million was recorded in Accrued expenses and other current liabilites in the Consolidated Balance Sheets related to expected claim submissions and credit redemptons as of the measurement date.</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received multple class acton lawsuits related to customer compensaton for cancellatons, primarily as a result of COVID-19 restrictons. A fnal order approving setlement of one of the lawsuits was entered by the court on November 1, 2021. As such, afer insurance, $4.5 million was funded to a claims setlement pool in 2021 and fully disbursed in 2022. A setlement was reached in another of the lawsuits in July 2022 which established a separate claims setlement pool of up to $2.5 million. That setlement received fnal approval from the court on January 31, 2023 and the setlement pool will be funded in 2023. As of December 31, 2022 and December 31, 2021, we had accrued a liability of $1.6 million and $1.7 million, respectvely, within Accrued expenses and other current liabilites in the Consolidated Balance Sheets related to these maters. We expect to recover some of these costs under our insurance policies and have separately recognized an insurance recovery asset of $0.5 million within Prepaid expenses and other current assets in the Consolidated Balance Sheets at December 31, 2022 and December 31, 2021, respectvely.</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2018, the U.S. Supreme Court issued its decision in South Dakota v. Wayfair Inc., which overturned previous case law that had precluded states from imposing sales tax collecton requirements on retailers without a physical presence in the state. In response, most states have already adopted laws that atempt to impose tax collecton obligatons on out-of-state companies, and we have registered and are collectng tax, where required by statute. However, states or local governments may contnue to adopt laws requiring that we calculate, collect, and remit taxes on sales in their jurisdictons. A successful asserton by one or more jurisdictons could result in tax liabilites, including taxes on past sales, as well as penaltes and interest. Based on our analysis of certain state regulatons, specifcally related to marketplace facilitators and tcket sales, we do not believe risk of loss is probable on historical revenue actvites where tax has not already been remited. We contnuously monitor state regulatons and will implement required collecton and remitance procedures if and when we are subject to such regulatons.</w:t>
      </w:r>
    </w:p>
    <w:p>
      <w:pPr>
        <w:spacing w:after="0" w:line="13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Share Repurchase Program</w:t>
      </w:r>
    </w:p>
    <w:p>
      <w:pPr>
        <w:spacing w:after="0" w:line="15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On May 25, 2022, our board of directors authorized a share repurchase program of our Class A Common Stock of up to $40.0 million ("Repurchase Program"). The Repurchase Program was announced on May 26, 2022 and will be efectve untl March 31, 2023. We may repurchase shares from tme to tme in open market transactons, through privately negotated transactons or otherwise in accordance with applicable federal securites laws. The amount and tming of repurchases will depend upon market conditons and other factors including price. The Repurchase Program does not obligate us to acquire any partcular amount of stock, and it may be terminated, modifed, or suspended at any tme at our discreton. The Repurchase Program commenced on July 5, 2022 upon the completon of the Exchange of our Public Warrants. As of December 31, 2022, we have repurchased 4.3 million shares of our Class A Common Stock for $32.5 million under the Repurchase Program. The share repurchases are accounted for as Treasury stock in the Consolidated Balance Sheets.</w:t>
      </w:r>
    </w:p>
    <w:p>
      <w:pPr>
        <w:spacing w:after="0" w:line="1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18. Related-Party Transactions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Vivid Cheers Inc.</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2020, Vivid Cheers Inc. (“Vivid Cheers”) was incorporated as a non-proft organizaton within the meaning of Secton 501(c)(3) of the Internal Revenue Code. Vivid Cheers’ mission is to support causes and organizatons dedicated to healthcare, educaton, and support of workers in the live events industry during tmes of</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5" w:name="page96"/>
    <w:bookmarkEnd w:id="9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need. We have the right to elect the Board of Directors of Vivid Cheers, which currently comprises our executves. We do not have a controlling fnancial interest in Vivid Cheers, and accordingly, do not consolidate Vivid Cheers’ statement of actvites with its fnancial results. We made charitable contributons of $0.6 million and $2.4 million for the years ended December 31, 2022 and 2021, respectvely to Vivid Cheers. We had no accrued charitable contributons payable as of December 31, 2022 and had $1.3 million of accrued charitable contributons payable as of December 31, 2021, which is included in Accrued expenses and other current liabilites in the Consolidated Balance Sheet.</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Viral Naton Inc.</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Viral Naton Inc. ("Viral Naton") is a marketng agency that creates viral and social media infuencer campaigns and provides advertsing, marketng, and technology services. Todd Boehly, a member of our Board, is the co-founder, Chairman and CEO of Eldridge Industries, which owns in excess of 25% of Viral Naton. We incurred an expense of $0.8 million and $0.2 million for the years ended December 31, 2022 and 2021, respectvely, which is presented in Marketng and selling expenses in the Consolidated Statements of Operatons.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Rolling Stone</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Rolling Stone is a high-profle magazine and media platorm that focuses on music, flm, TV, and news coverages. Todd Boehly, a member of our Board, is the co-founder, Chairman and CEO of Eldridge Industries, which owns in excess of 20% of Rolling Stone. We incurred an expense of $0.9 million and $0.1 million as part of our multfaceted partnership with Rolling Stone for the years ended December 31, 2022 and 2021, respectvely, which is presented in Marketng and selling expenses in the Consolidated Statements of Operatons.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Khoros, LLC</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Khoros, LLC ("Khoros") is a social media engagement and management platorm. Martn Taylor, a member of our Board, is a principal at Vista Equity Partners, which is one of our investors and a majority owner of Khoros. We incurred an expense of $0.1 million and zero for the years ended December 31, 2022 and 2021, respectvely, which is presented in General and administratve expenses in the Consolidated Statements of Operatons.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19. Income Taxes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U.S. federal and state income taxes with respect to our allocable share of any taxable income or loss of Hoya Intermediate, as well as any stand-alone income or loss we generate. Hoya Intermediate is organized as a limited liability company and treated as a partnership for federal tax purposes, with the excepton to the Canadian operatons of Vivid Seats Canada Ltd. (formerly Fanxchange Ltd.), which we acquired in 2019. Hoya Intermediate’s taxable income or loss is passed through to its members, including VSI. VSI fles and pays corporate income taxes for U.S. federal and state income tax purposes. We antcipate this structure to remain in existence for the foreseeable future.</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color w:val="auto"/>
        </w:rPr>
        <w:t>Components of (loss) income from contnuing operatons before income taxes for the years ended December 31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2022</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Calibri" w:cs="Calibri" w:eastAsia="Calibri" w:hAnsi="Calibri"/>
                <w:sz w:val="18"/>
                <w:szCs w:val="18"/>
                <w:b w:val="1"/>
                <w:bCs w:val="1"/>
                <w:color w:val="auto"/>
              </w:rPr>
              <w:t>2021</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0"/>
              <w:spacing w:after="0"/>
              <w:rPr>
                <w:sz w:val="20"/>
                <w:szCs w:val="20"/>
                <w:color w:val="auto"/>
              </w:rPr>
            </w:pPr>
            <w:r>
              <w:rPr>
                <w:rFonts w:ascii="Calibri" w:cs="Calibri" w:eastAsia="Calibri" w:hAnsi="Calibri"/>
                <w:sz w:val="18"/>
                <w:szCs w:val="18"/>
                <w:b w:val="1"/>
                <w:bCs w:val="1"/>
                <w:color w:val="auto"/>
              </w:rPr>
              <w:t>2020</w:t>
            </w:r>
          </w:p>
        </w:tc>
        <w:tc>
          <w:tcPr>
            <w:tcW w:w="100" w:type="dxa"/>
            <w:vAlign w:val="bottom"/>
          </w:tcPr>
          <w:p>
            <w:pPr>
              <w:spacing w:after="0"/>
              <w:rPr>
                <w:sz w:val="19"/>
                <w:szCs w:val="19"/>
                <w:color w:val="auto"/>
              </w:rPr>
            </w:pPr>
          </w:p>
        </w:tc>
      </w:tr>
      <w:tr>
        <w:trPr>
          <w:trHeight w:val="37"/>
        </w:trPr>
        <w:tc>
          <w:tcPr>
            <w:tcW w:w="4220" w:type="dxa"/>
            <w:vAlign w:val="bottom"/>
          </w:tcPr>
          <w:p>
            <w:pPr>
              <w:spacing w:after="0"/>
              <w:rPr>
                <w:sz w:val="3"/>
                <w:szCs w:val="3"/>
                <w:color w:val="auto"/>
              </w:rPr>
            </w:pPr>
          </w:p>
        </w:tc>
        <w:tc>
          <w:tcPr>
            <w:tcW w:w="18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4220" w:type="dxa"/>
            <w:vAlign w:val="bottom"/>
            <w:tcBorders>
              <w:bottom w:val="single" w:sz="8" w:color="CFF0FC"/>
            </w:tcBorders>
            <w:shd w:val="clear" w:color="auto" w:fill="CFF0FC"/>
          </w:tcPr>
          <w:p>
            <w:pPr>
              <w:ind w:left="140"/>
              <w:spacing w:after="0" w:line="208" w:lineRule="exact"/>
              <w:rPr>
                <w:sz w:val="20"/>
                <w:szCs w:val="20"/>
                <w:color w:val="auto"/>
              </w:rPr>
            </w:pPr>
            <w:r>
              <w:rPr>
                <w:rFonts w:ascii="Calibri" w:cs="Calibri" w:eastAsia="Calibri" w:hAnsi="Calibri"/>
                <w:sz w:val="18"/>
                <w:szCs w:val="18"/>
                <w:color w:val="auto"/>
              </w:rPr>
              <w:t>United States</w:t>
            </w:r>
          </w:p>
        </w:tc>
        <w:tc>
          <w:tcPr>
            <w:tcW w:w="15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68,416</w:t>
            </w:r>
          </w:p>
        </w:tc>
        <w:tc>
          <w:tcPr>
            <w:tcW w:w="3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CFF0FC"/>
            </w:tcBorders>
            <w:shd w:val="clear" w:color="auto" w:fill="CFF0FC"/>
          </w:tcPr>
          <w:p>
            <w:pPr>
              <w:jc w:val="right"/>
              <w:ind w:right="21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(17,859</w:t>
            </w:r>
          </w:p>
        </w:tc>
        <w:tc>
          <w:tcPr>
            <w:tcW w:w="340" w:type="dxa"/>
            <w:vAlign w:val="bottom"/>
            <w:tcBorders>
              <w:bottom w:val="single" w:sz="8" w:color="CFF0FC"/>
            </w:tcBorders>
            <w:shd w:val="clear" w:color="auto" w:fill="CFF0FC"/>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380" w:type="dxa"/>
            <w:vAlign w:val="bottom"/>
            <w:tcBorders>
              <w:top w:val="single" w:sz="8" w:color="auto"/>
              <w:bottom w:val="single" w:sz="8" w:color="CFF0FC"/>
            </w:tcBorders>
            <w:shd w:val="clear" w:color="auto" w:fill="CFF0FC"/>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(763,664</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72"/>
              </w:rPr>
              <w:t>)</w:t>
            </w:r>
          </w:p>
        </w:tc>
      </w:tr>
      <w:tr>
        <w:trPr>
          <w:trHeight w:val="215"/>
        </w:trPr>
        <w:tc>
          <w:tcPr>
            <w:tcW w:w="4220" w:type="dxa"/>
            <w:vAlign w:val="bottom"/>
          </w:tcPr>
          <w:p>
            <w:pPr>
              <w:ind w:left="140"/>
              <w:spacing w:after="0" w:line="215" w:lineRule="exact"/>
              <w:rPr>
                <w:sz w:val="20"/>
                <w:szCs w:val="20"/>
                <w:color w:val="auto"/>
              </w:rPr>
            </w:pPr>
            <w:r>
              <w:rPr>
                <w:rFonts w:ascii="Calibri" w:cs="Calibri" w:eastAsia="Calibri" w:hAnsi="Calibri"/>
                <w:sz w:val="18"/>
                <w:szCs w:val="18"/>
                <w:color w:val="auto"/>
              </w:rPr>
              <w:t>Foreign</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773</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(966 )</w:t>
            </w:r>
          </w:p>
        </w:tc>
        <w:tc>
          <w:tcPr>
            <w:tcW w:w="380" w:type="dxa"/>
            <w:vAlign w:val="bottom"/>
          </w:tcPr>
          <w:p>
            <w:pPr>
              <w:spacing w:after="0"/>
              <w:rPr>
                <w:sz w:val="18"/>
                <w:szCs w:val="18"/>
                <w:color w:val="auto"/>
              </w:rPr>
            </w:pPr>
          </w:p>
        </w:tc>
        <w:tc>
          <w:tcPr>
            <w:tcW w:w="13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(10,521 )</w:t>
            </w:r>
          </w:p>
        </w:tc>
      </w:tr>
      <w:tr>
        <w:trPr>
          <w:trHeight w:val="28"/>
        </w:trPr>
        <w:tc>
          <w:tcPr>
            <w:tcW w:w="42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7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r>
      <w:tr>
        <w:trPr>
          <w:trHeight w:val="281"/>
        </w:trPr>
        <w:tc>
          <w:tcPr>
            <w:tcW w:w="422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Total (loss) income before income taxes</w:t>
            </w:r>
          </w:p>
        </w:tc>
        <w:tc>
          <w:tcPr>
            <w:tcW w:w="15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CFF0FC"/>
            </w:tcBorders>
            <w:shd w:val="clear" w:color="auto" w:fill="CFF0FC"/>
          </w:tcPr>
          <w:p>
            <w:pPr>
              <w:jc w:val="right"/>
              <w:ind w:right="90"/>
              <w:spacing w:after="0" w:line="213" w:lineRule="exact"/>
              <w:rPr>
                <w:sz w:val="20"/>
                <w:szCs w:val="20"/>
                <w:color w:val="auto"/>
              </w:rPr>
            </w:pPr>
            <w:r>
              <w:rPr>
                <w:rFonts w:ascii="Calibri" w:cs="Calibri" w:eastAsia="Calibri" w:hAnsi="Calibri"/>
                <w:sz w:val="18"/>
                <w:szCs w:val="18"/>
                <w:b w:val="1"/>
                <w:bCs w:val="1"/>
                <w:color w:val="auto"/>
                <w:w w:val="87"/>
              </w:rPr>
              <w:t>$</w:t>
            </w:r>
          </w:p>
        </w:tc>
        <w:tc>
          <w:tcPr>
            <w:tcW w:w="98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69,189</w:t>
            </w:r>
          </w:p>
        </w:tc>
        <w:tc>
          <w:tcPr>
            <w:tcW w:w="3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CFF0FC"/>
            </w:tcBorders>
            <w:shd w:val="clear" w:color="auto" w:fill="CFF0FC"/>
          </w:tcPr>
          <w:p>
            <w:pPr>
              <w:jc w:val="right"/>
              <w:ind w:right="210"/>
              <w:spacing w:after="0" w:line="213"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(18,825</w:t>
            </w:r>
          </w:p>
        </w:tc>
        <w:tc>
          <w:tcPr>
            <w:tcW w:w="340" w:type="dxa"/>
            <w:vAlign w:val="bottom"/>
            <w:tcBorders>
              <w:bottom w:val="single" w:sz="8" w:color="CFF0FC"/>
            </w:tcBorders>
            <w:shd w:val="clear" w:color="auto" w:fill="CFF0FC"/>
          </w:tcPr>
          <w:p>
            <w:pPr>
              <w:jc w:val="right"/>
              <w:ind w:right="170"/>
              <w:spacing w:after="0" w:line="213" w:lineRule="exact"/>
              <w:rPr>
                <w:sz w:val="20"/>
                <w:szCs w:val="20"/>
                <w:color w:val="auto"/>
              </w:rPr>
            </w:pPr>
            <w:r>
              <w:rPr>
                <w:rFonts w:ascii="Calibri" w:cs="Calibri" w:eastAsia="Calibri" w:hAnsi="Calibri"/>
                <w:sz w:val="18"/>
                <w:szCs w:val="18"/>
                <w:b w:val="1"/>
                <w:bCs w:val="1"/>
                <w:color w:val="auto"/>
              </w:rPr>
              <w:t>)</w:t>
            </w:r>
          </w:p>
        </w:tc>
        <w:tc>
          <w:tcPr>
            <w:tcW w:w="380" w:type="dxa"/>
            <w:vAlign w:val="bottom"/>
            <w:tcBorders>
              <w:top w:val="single" w:sz="8" w:color="auto"/>
              <w:bottom w:val="single" w:sz="8" w:color="CFF0FC"/>
            </w:tcBorders>
            <w:shd w:val="clear" w:color="auto" w:fill="CFF0FC"/>
          </w:tcPr>
          <w:p>
            <w:pPr>
              <w:jc w:val="right"/>
              <w:ind w:right="170"/>
              <w:spacing w:after="0" w:line="213"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(774,185</w:t>
            </w:r>
          </w:p>
        </w:tc>
        <w:tc>
          <w:tcPr>
            <w:tcW w:w="1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w w:val="70"/>
              </w:rPr>
              <w:t>)</w:t>
            </w:r>
          </w:p>
        </w:tc>
      </w:tr>
      <w:tr>
        <w:trPr>
          <w:trHeight w:val="389"/>
        </w:trPr>
        <w:tc>
          <w:tcPr>
            <w:tcW w:w="4220" w:type="dxa"/>
            <w:vAlign w:val="bottom"/>
            <w:tcBorders>
              <w:top w:val="single" w:sz="8" w:color="CFF0FC"/>
            </w:tcBorders>
          </w:tcPr>
          <w:p>
            <w:pPr>
              <w:spacing w:after="0"/>
              <w:rPr>
                <w:sz w:val="24"/>
                <w:szCs w:val="24"/>
                <w:color w:val="auto"/>
              </w:rPr>
            </w:pPr>
          </w:p>
        </w:tc>
        <w:tc>
          <w:tcPr>
            <w:tcW w:w="1540" w:type="dxa"/>
            <w:vAlign w:val="bottom"/>
            <w:tcBorders>
              <w:top w:val="single" w:sz="8" w:color="CFF0FC"/>
            </w:tcBorders>
          </w:tcPr>
          <w:p>
            <w:pPr>
              <w:jc w:val="right"/>
              <w:spacing w:after="0"/>
              <w:rPr>
                <w:sz w:val="20"/>
                <w:szCs w:val="20"/>
                <w:color w:val="auto"/>
              </w:rPr>
            </w:pPr>
            <w:r>
              <w:rPr>
                <w:rFonts w:ascii="Calibri" w:cs="Calibri" w:eastAsia="Calibri" w:hAnsi="Calibri"/>
                <w:sz w:val="18"/>
                <w:szCs w:val="18"/>
                <w:color w:val="auto"/>
              </w:rPr>
              <w:t>93</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25"/>
        </w:trPr>
        <w:tc>
          <w:tcPr>
            <w:tcW w:w="4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-376555</wp:posOffset>
            </wp:positionV>
            <wp:extent cx="77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-359410</wp:posOffset>
            </wp:positionV>
            <wp:extent cx="774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-376555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-359410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6" w:name="page97"/>
    <w:bookmarkEnd w:id="96"/>
    <w:p>
      <w:pPr>
        <w:jc w:val="center"/>
        <w:ind w:right="100"/>
        <w:spacing w:after="0"/>
        <w:rPr>
          <w:sz w:val="20"/>
          <w:szCs w:val="20"/>
          <w:color w:val="auto"/>
        </w:rPr>
      </w:pPr>
      <w:r>
        <w:rPr>
          <w:rFonts w:ascii="Calibri" w:cs="Calibri" w:eastAsia="Calibri" w:hAnsi="Calibri"/>
          <w:sz w:val="18"/>
          <w:szCs w:val="18"/>
          <w:b w:val="1"/>
          <w:bCs w:val="1"/>
          <w:color w:val="auto"/>
        </w:rPr>
        <w:t>VIVID SEATS INC.</w:t>
      </w:r>
    </w:p>
    <w:p>
      <w:pPr>
        <w:jc w:val="center"/>
        <w:ind w:right="80"/>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Prior to 2021, we did not incur material amounts of income tax expense or have material income tax liability or deferred tax balances.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During the years ended December 31, 2022 and 2021, signifcant components of income tax (expense) beneft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Calibri" w:cs="Calibri" w:eastAsia="Calibri" w:hAnsi="Calibri"/>
                <w:sz w:val="18"/>
                <w:szCs w:val="18"/>
                <w:b w:val="1"/>
                <w:bCs w:val="1"/>
                <w:color w:val="auto"/>
              </w:rPr>
              <w:t>2022</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ind w:right="81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740" w:type="dxa"/>
            <w:vAlign w:val="bottom"/>
            <w:vMerge w:val="restart"/>
          </w:tcPr>
          <w:p>
            <w:pPr>
              <w:ind w:left="20"/>
              <w:spacing w:after="0"/>
              <w:rPr>
                <w:sz w:val="20"/>
                <w:szCs w:val="20"/>
                <w:color w:val="auto"/>
              </w:rPr>
            </w:pPr>
            <w:r>
              <w:rPr>
                <w:rFonts w:ascii="Calibri" w:cs="Calibri" w:eastAsia="Calibri" w:hAnsi="Calibri"/>
                <w:sz w:val="18"/>
                <w:szCs w:val="18"/>
                <w:color w:val="auto"/>
              </w:rPr>
              <w:t>Current</w:t>
            </w:r>
          </w:p>
        </w:tc>
        <w:tc>
          <w:tcPr>
            <w:tcW w:w="1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674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67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U.S. Federal</w:t>
            </w:r>
          </w:p>
        </w:tc>
        <w:tc>
          <w:tcPr>
            <w:tcW w:w="1260" w:type="dxa"/>
            <w:vAlign w:val="bottom"/>
            <w:tcBorders>
              <w:bottom w:val="single" w:sz="8" w:color="CFF0FC"/>
            </w:tcBorders>
            <w:shd w:val="clear" w:color="auto" w:fill="CFF0FC"/>
          </w:tcPr>
          <w:p>
            <w:pPr>
              <w:jc w:val="right"/>
              <w:ind w:right="107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3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jc w:val="right"/>
              <w:ind w:right="310"/>
              <w:spacing w:after="0" w:line="215" w:lineRule="exact"/>
              <w:rPr>
                <w:sz w:val="20"/>
                <w:szCs w:val="20"/>
                <w:color w:val="auto"/>
              </w:rPr>
            </w:pPr>
            <w:r>
              <w:rPr>
                <w:rFonts w:ascii="Calibri" w:cs="Calibri" w:eastAsia="Calibri" w:hAnsi="Calibri"/>
                <w:sz w:val="18"/>
                <w:szCs w:val="18"/>
                <w:color w:val="auto"/>
                <w:w w:val="87"/>
              </w:rPr>
              <w:t>$</w:t>
            </w:r>
          </w:p>
        </w:tc>
        <w:tc>
          <w:tcPr>
            <w:tcW w:w="1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40"/>
              <w:spacing w:after="0" w:line="215" w:lineRule="exact"/>
              <w:rPr>
                <w:sz w:val="20"/>
                <w:szCs w:val="20"/>
                <w:color w:val="auto"/>
              </w:rPr>
            </w:pPr>
            <w:r>
              <w:rPr>
                <w:rFonts w:ascii="Calibri" w:cs="Calibri" w:eastAsia="Calibri" w:hAnsi="Calibri"/>
                <w:sz w:val="18"/>
                <w:szCs w:val="18"/>
                <w:color w:val="auto"/>
              </w:rPr>
              <w:t>State &amp; Local</w:t>
            </w:r>
          </w:p>
        </w:tc>
        <w:tc>
          <w:tcPr>
            <w:tcW w:w="12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248</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74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Foreign</w:t>
            </w:r>
          </w:p>
        </w:tc>
        <w:tc>
          <w:tcPr>
            <w:tcW w:w="1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gridSpan w:val="2"/>
            <w:shd w:val="clear" w:color="auto" w:fill="CFF0FC"/>
          </w:tcPr>
          <w:p>
            <w:pPr>
              <w:jc w:val="right"/>
              <w:ind w:right="29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7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current income tax expense (beneft)</w:t>
            </w:r>
          </w:p>
        </w:tc>
        <w:tc>
          <w:tcPr>
            <w:tcW w:w="1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263</w:t>
            </w:r>
          </w:p>
        </w:tc>
        <w:tc>
          <w:tcPr>
            <w:tcW w:w="38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304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Deferred</w:t>
            </w:r>
          </w:p>
        </w:tc>
        <w:tc>
          <w:tcPr>
            <w:tcW w:w="12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40"/>
              <w:spacing w:after="0" w:line="215" w:lineRule="exact"/>
              <w:rPr>
                <w:sz w:val="20"/>
                <w:szCs w:val="20"/>
                <w:color w:val="auto"/>
              </w:rPr>
            </w:pPr>
            <w:r>
              <w:rPr>
                <w:rFonts w:ascii="Calibri" w:cs="Calibri" w:eastAsia="Calibri" w:hAnsi="Calibri"/>
                <w:sz w:val="18"/>
                <w:szCs w:val="18"/>
                <w:color w:val="auto"/>
              </w:rPr>
              <w:t>U.S. Federal</w:t>
            </w:r>
          </w:p>
        </w:tc>
        <w:tc>
          <w:tcPr>
            <w:tcW w:w="1260" w:type="dxa"/>
            <w:vAlign w:val="bottom"/>
          </w:tcPr>
          <w:p>
            <w:pPr>
              <w:spacing w:after="0"/>
              <w:rPr>
                <w:sz w:val="18"/>
                <w:szCs w:val="18"/>
                <w:color w:val="auto"/>
              </w:rPr>
            </w:pPr>
          </w:p>
        </w:tc>
        <w:tc>
          <w:tcPr>
            <w:tcW w:w="1000" w:type="dxa"/>
            <w:vAlign w:val="bottom"/>
            <w:gridSpan w:val="2"/>
          </w:tcPr>
          <w:p>
            <w:pPr>
              <w:jc w:val="right"/>
              <w:ind w:right="29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8"/>
                <w:szCs w:val="18"/>
                <w:color w:val="auto"/>
              </w:rPr>
            </w:pP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State &amp; Local</w:t>
            </w:r>
          </w:p>
        </w:tc>
        <w:tc>
          <w:tcPr>
            <w:tcW w:w="1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29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40"/>
              <w:spacing w:after="0" w:line="215" w:lineRule="exact"/>
              <w:rPr>
                <w:sz w:val="20"/>
                <w:szCs w:val="20"/>
                <w:color w:val="auto"/>
              </w:rPr>
            </w:pPr>
            <w:r>
              <w:rPr>
                <w:rFonts w:ascii="Calibri" w:cs="Calibri" w:eastAsia="Calibri" w:hAnsi="Calibri"/>
                <w:sz w:val="18"/>
                <w:szCs w:val="18"/>
                <w:color w:val="auto"/>
              </w:rPr>
              <w:t>Foreign</w:t>
            </w:r>
          </w:p>
        </w:tc>
        <w:tc>
          <w:tcPr>
            <w:tcW w:w="1260" w:type="dxa"/>
            <w:vAlign w:val="bottom"/>
          </w:tcPr>
          <w:p>
            <w:pPr>
              <w:spacing w:after="0"/>
              <w:rPr>
                <w:sz w:val="18"/>
                <w:szCs w:val="18"/>
                <w:color w:val="auto"/>
              </w:rPr>
            </w:pPr>
          </w:p>
        </w:tc>
        <w:tc>
          <w:tcPr>
            <w:tcW w:w="1000" w:type="dxa"/>
            <w:vAlign w:val="bottom"/>
            <w:gridSpan w:val="2"/>
          </w:tcPr>
          <w:p>
            <w:pPr>
              <w:jc w:val="right"/>
              <w:ind w:right="230"/>
              <w:spacing w:after="0" w:line="215" w:lineRule="exact"/>
              <w:rPr>
                <w:sz w:val="20"/>
                <w:szCs w:val="20"/>
                <w:color w:val="auto"/>
              </w:rPr>
            </w:pPr>
            <w:r>
              <w:rPr>
                <w:rFonts w:ascii="Calibri" w:cs="Calibri" w:eastAsia="Calibri" w:hAnsi="Calibri"/>
                <w:sz w:val="18"/>
                <w:szCs w:val="18"/>
                <w:color w:val="auto"/>
              </w:rPr>
              <w:t>(1,853 )</w:t>
            </w:r>
          </w:p>
        </w:tc>
        <w:tc>
          <w:tcPr>
            <w:tcW w:w="500" w:type="dxa"/>
            <w:vAlign w:val="bottom"/>
          </w:tcPr>
          <w:p>
            <w:pPr>
              <w:spacing w:after="0"/>
              <w:rPr>
                <w:sz w:val="18"/>
                <w:szCs w:val="18"/>
                <w:color w:val="auto"/>
              </w:rPr>
            </w:pP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deferred income tax expense (beneft)</w:t>
            </w:r>
          </w:p>
        </w:tc>
        <w:tc>
          <w:tcPr>
            <w:tcW w:w="1260" w:type="dxa"/>
            <w:vAlign w:val="bottom"/>
            <w:tcBorders>
              <w:top w:val="single" w:sz="8" w:color="auto"/>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(1,853</w:t>
            </w:r>
          </w:p>
        </w:tc>
        <w:tc>
          <w:tcPr>
            <w:tcW w:w="380" w:type="dxa"/>
            <w:vAlign w:val="bottom"/>
            <w:tcBorders>
              <w:bottom w:val="single" w:sz="8" w:color="CFF0FC"/>
            </w:tcBorders>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w w:val="72"/>
              </w:rPr>
              <w:t>)</w:t>
            </w:r>
          </w:p>
        </w:tc>
        <w:tc>
          <w:tcPr>
            <w:tcW w:w="500" w:type="dxa"/>
            <w:vAlign w:val="bottom"/>
            <w:tcBorders>
              <w:top w:val="single" w:sz="8" w:color="auto"/>
              <w:bottom w:val="single" w:sz="8" w:color="CFF0FC"/>
            </w:tcBorders>
            <w:shd w:val="clear" w:color="auto" w:fill="CFF0FC"/>
          </w:tcPr>
          <w:p>
            <w:pPr>
              <w:spacing w:after="0"/>
              <w:rPr>
                <w:sz w:val="18"/>
                <w:szCs w:val="18"/>
                <w:color w:val="auto"/>
              </w:rPr>
            </w:pPr>
          </w:p>
        </w:tc>
        <w:tc>
          <w:tcPr>
            <w:tcW w:w="16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40" w:type="dxa"/>
            <w:vAlign w:val="bottom"/>
          </w:tcPr>
          <w:p>
            <w:pPr>
              <w:ind w:left="20"/>
              <w:spacing w:after="0" w:line="213" w:lineRule="exact"/>
              <w:rPr>
                <w:sz w:val="20"/>
                <w:szCs w:val="20"/>
                <w:color w:val="auto"/>
              </w:rPr>
            </w:pPr>
            <w:r>
              <w:rPr>
                <w:rFonts w:ascii="Calibri" w:cs="Calibri" w:eastAsia="Calibri" w:hAnsi="Calibri"/>
                <w:sz w:val="18"/>
                <w:szCs w:val="18"/>
                <w:b w:val="1"/>
                <w:bCs w:val="1"/>
                <w:color w:val="auto"/>
              </w:rPr>
              <w:t>Total income tax expense (beneft)</w:t>
            </w:r>
          </w:p>
        </w:tc>
        <w:tc>
          <w:tcPr>
            <w:tcW w:w="1260" w:type="dxa"/>
            <w:vAlign w:val="bottom"/>
          </w:tcPr>
          <w:p>
            <w:pPr>
              <w:jc w:val="right"/>
              <w:ind w:right="1070"/>
              <w:spacing w:after="0" w:line="213" w:lineRule="exact"/>
              <w:rPr>
                <w:sz w:val="20"/>
                <w:szCs w:val="20"/>
                <w:color w:val="auto"/>
              </w:rPr>
            </w:pPr>
            <w:r>
              <w:rPr>
                <w:rFonts w:ascii="Calibri" w:cs="Calibri" w:eastAsia="Calibri" w:hAnsi="Calibri"/>
                <w:sz w:val="18"/>
                <w:szCs w:val="18"/>
                <w:b w:val="1"/>
                <w:bCs w:val="1"/>
                <w:color w:val="auto"/>
                <w:w w:val="87"/>
              </w:rPr>
              <w:t>$</w:t>
            </w:r>
          </w:p>
        </w:tc>
        <w:tc>
          <w:tcPr>
            <w:tcW w:w="1000" w:type="dxa"/>
            <w:vAlign w:val="bottom"/>
            <w:gridSpan w:val="2"/>
          </w:tcPr>
          <w:p>
            <w:pPr>
              <w:jc w:val="right"/>
              <w:ind w:right="210"/>
              <w:spacing w:after="0" w:line="213" w:lineRule="exact"/>
              <w:rPr>
                <w:sz w:val="20"/>
                <w:szCs w:val="20"/>
                <w:color w:val="auto"/>
              </w:rPr>
            </w:pPr>
            <w:r>
              <w:rPr>
                <w:rFonts w:ascii="Calibri" w:cs="Calibri" w:eastAsia="Calibri" w:hAnsi="Calibri"/>
                <w:sz w:val="18"/>
                <w:szCs w:val="18"/>
                <w:b w:val="1"/>
                <w:bCs w:val="1"/>
                <w:color w:val="auto"/>
              </w:rPr>
              <w:t>(1,590 )</w:t>
            </w:r>
          </w:p>
        </w:tc>
        <w:tc>
          <w:tcPr>
            <w:tcW w:w="500" w:type="dxa"/>
            <w:vAlign w:val="bottom"/>
          </w:tcPr>
          <w:p>
            <w:pPr>
              <w:jc w:val="right"/>
              <w:ind w:right="310"/>
              <w:spacing w:after="0" w:line="213" w:lineRule="exact"/>
              <w:rPr>
                <w:sz w:val="20"/>
                <w:szCs w:val="20"/>
                <w:color w:val="auto"/>
              </w:rPr>
            </w:pPr>
            <w:r>
              <w:rPr>
                <w:rFonts w:ascii="Calibri" w:cs="Calibri" w:eastAsia="Calibri" w:hAnsi="Calibri"/>
                <w:sz w:val="18"/>
                <w:szCs w:val="18"/>
                <w:b w:val="1"/>
                <w:bCs w:val="1"/>
                <w:color w:val="auto"/>
                <w:w w:val="87"/>
              </w:rPr>
              <w:t>$</w:t>
            </w:r>
          </w:p>
        </w:tc>
        <w:tc>
          <w:tcPr>
            <w:tcW w:w="1640" w:type="dxa"/>
            <w:vAlign w:val="bottom"/>
          </w:tcPr>
          <w:p>
            <w:pPr>
              <w:jc w:val="right"/>
              <w:spacing w:after="0" w:line="213" w:lineRule="exact"/>
              <w:rPr>
                <w:sz w:val="20"/>
                <w:szCs w:val="20"/>
                <w:color w:val="auto"/>
              </w:rPr>
            </w:pPr>
            <w:r>
              <w:rPr>
                <w:rFonts w:ascii="Calibri" w:cs="Calibri" w:eastAsia="Calibri" w:hAnsi="Calibri"/>
                <w:sz w:val="18"/>
                <w:szCs w:val="18"/>
                <w:b w:val="1"/>
                <w:bCs w:val="1"/>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-1139825</wp:posOffset>
            </wp:positionV>
            <wp:extent cx="6858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-1139825</wp:posOffset>
            </wp:positionV>
            <wp:extent cx="68580"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68580" cy="1885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06"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A reconciliaton of income taxes computed at the U.S. federal statutory income tax rate of 21% for 2022 and 2021 to our income tax (expense) beneft was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00" w:type="dxa"/>
            <w:vAlign w:val="bottom"/>
          </w:tcPr>
          <w:p>
            <w:pPr>
              <w:spacing w:after="0"/>
              <w:rPr>
                <w:sz w:val="19"/>
                <w:szCs w:val="19"/>
                <w:color w:val="auto"/>
              </w:rPr>
            </w:pPr>
          </w:p>
        </w:tc>
        <w:tc>
          <w:tcPr>
            <w:tcW w:w="330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2022</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ind w:right="83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4600" w:type="dxa"/>
            <w:vAlign w:val="bottom"/>
            <w:vMerge w:val="restart"/>
          </w:tcPr>
          <w:p>
            <w:pPr>
              <w:ind w:left="20"/>
              <w:spacing w:after="0"/>
              <w:rPr>
                <w:sz w:val="20"/>
                <w:szCs w:val="20"/>
                <w:color w:val="auto"/>
              </w:rPr>
            </w:pPr>
            <w:r>
              <w:rPr>
                <w:rFonts w:ascii="Calibri" w:cs="Calibri" w:eastAsia="Calibri" w:hAnsi="Calibri"/>
                <w:sz w:val="18"/>
                <w:szCs w:val="18"/>
                <w:color w:val="auto"/>
              </w:rPr>
              <w:t>At U.S. statutory tax rate</w:t>
            </w:r>
          </w:p>
        </w:tc>
        <w:tc>
          <w:tcPr>
            <w:tcW w:w="2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00" w:type="dxa"/>
            <w:vAlign w:val="bottom"/>
            <w:gridSpan w:val="2"/>
            <w:vMerge w:val="restart"/>
          </w:tcPr>
          <w:p>
            <w:pPr>
              <w:jc w:val="right"/>
              <w:ind w:right="60"/>
              <w:spacing w:after="0"/>
              <w:rPr>
                <w:sz w:val="20"/>
                <w:szCs w:val="20"/>
                <w:color w:val="auto"/>
              </w:rPr>
            </w:pPr>
            <w:r>
              <w:rPr>
                <w:rFonts w:ascii="Calibri" w:cs="Calibri" w:eastAsia="Calibri" w:hAnsi="Calibri"/>
                <w:sz w:val="18"/>
                <w:szCs w:val="18"/>
                <w:color w:val="auto"/>
                <w:w w:val="92"/>
              </w:rPr>
              <w:t>%</w:t>
            </w:r>
          </w:p>
        </w:tc>
        <w:tc>
          <w:tcPr>
            <w:tcW w:w="0" w:type="dxa"/>
            <w:vAlign w:val="bottom"/>
          </w:tcPr>
          <w:p>
            <w:pPr>
              <w:spacing w:after="0"/>
              <w:rPr>
                <w:sz w:val="1"/>
                <w:szCs w:val="1"/>
                <w:color w:val="auto"/>
              </w:rPr>
            </w:pPr>
          </w:p>
        </w:tc>
      </w:tr>
      <w:tr>
        <w:trPr>
          <w:trHeight w:val="208"/>
        </w:trPr>
        <w:tc>
          <w:tcPr>
            <w:tcW w:w="460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21.0</w:t>
            </w:r>
          </w:p>
        </w:tc>
        <w:tc>
          <w:tcPr>
            <w:tcW w:w="340" w:type="dxa"/>
            <w:vAlign w:val="bottom"/>
            <w:gridSpan w:val="2"/>
          </w:tcPr>
          <w:p>
            <w:pPr>
              <w:jc w:val="right"/>
              <w:ind w:right="110"/>
              <w:spacing w:after="0" w:line="199" w:lineRule="exact"/>
              <w:rPr>
                <w:sz w:val="20"/>
                <w:szCs w:val="20"/>
                <w:color w:val="auto"/>
              </w:rPr>
            </w:pPr>
            <w:r>
              <w:rPr>
                <w:rFonts w:ascii="Calibri" w:cs="Calibri" w:eastAsia="Calibri" w:hAnsi="Calibri"/>
                <w:sz w:val="18"/>
                <w:szCs w:val="18"/>
                <w:color w:val="auto"/>
                <w:w w:val="92"/>
              </w:rPr>
              <w:t>%</w:t>
            </w: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21.0</w:t>
            </w: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Calibri" w:cs="Calibri" w:eastAsia="Calibri" w:hAnsi="Calibri"/>
                <w:sz w:val="18"/>
                <w:szCs w:val="18"/>
                <w:color w:val="auto"/>
              </w:rPr>
              <w:t>State income taxes</w:t>
            </w: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gridSpan w:val="3"/>
          </w:tcPr>
          <w:p>
            <w:pPr>
              <w:jc w:val="right"/>
              <w:ind w:right="110"/>
              <w:spacing w:after="0"/>
              <w:rPr>
                <w:sz w:val="20"/>
                <w:szCs w:val="20"/>
                <w:color w:val="auto"/>
              </w:rPr>
            </w:pPr>
            <w:r>
              <w:rPr>
                <w:rFonts w:ascii="Calibri" w:cs="Calibri" w:eastAsia="Calibri" w:hAnsi="Calibri"/>
                <w:sz w:val="18"/>
                <w:szCs w:val="18"/>
                <w:color w:val="auto"/>
              </w:rPr>
              <w:t>1.8 %</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60" w:type="dxa"/>
            <w:vAlign w:val="bottom"/>
            <w:gridSpan w:val="3"/>
          </w:tcPr>
          <w:p>
            <w:pPr>
              <w:jc w:val="right"/>
              <w:ind w:right="20"/>
              <w:spacing w:after="0"/>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Calibri" w:cs="Calibri" w:eastAsia="Calibri" w:hAnsi="Calibri"/>
                <w:sz w:val="18"/>
                <w:szCs w:val="18"/>
                <w:color w:val="auto"/>
              </w:rPr>
              <w:t>Foreign rate diferental</w:t>
            </w: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gridSpan w:val="3"/>
          </w:tcPr>
          <w:p>
            <w:pPr>
              <w:jc w:val="right"/>
              <w:ind w:right="110"/>
              <w:spacing w:after="0"/>
              <w:rPr>
                <w:sz w:val="20"/>
                <w:szCs w:val="20"/>
                <w:color w:val="auto"/>
              </w:rPr>
            </w:pPr>
            <w:r>
              <w:rPr>
                <w:rFonts w:ascii="Calibri" w:cs="Calibri" w:eastAsia="Calibri" w:hAnsi="Calibri"/>
                <w:sz w:val="18"/>
                <w:szCs w:val="18"/>
                <w:color w:val="auto"/>
              </w:rPr>
              <w:t>0.1 %</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60" w:type="dxa"/>
            <w:vAlign w:val="bottom"/>
            <w:gridSpan w:val="3"/>
          </w:tcPr>
          <w:p>
            <w:pPr>
              <w:jc w:val="right"/>
              <w:ind w:right="60"/>
              <w:spacing w:after="0"/>
              <w:rPr>
                <w:sz w:val="20"/>
                <w:szCs w:val="20"/>
                <w:color w:val="auto"/>
              </w:rPr>
            </w:pPr>
            <w:r>
              <w:rPr>
                <w:rFonts w:ascii="Calibri" w:cs="Calibri" w:eastAsia="Calibri" w:hAnsi="Calibri"/>
                <w:sz w:val="18"/>
                <w:szCs w:val="18"/>
                <w:color w:val="auto"/>
              </w:rPr>
              <w:t>0.3 %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Calibri" w:cs="Calibri" w:eastAsia="Calibri" w:hAnsi="Calibri"/>
                <w:sz w:val="18"/>
                <w:szCs w:val="18"/>
                <w:color w:val="auto"/>
              </w:rPr>
              <w:t>Pass-through loss / (income)</w:t>
            </w: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gridSpan w:val="3"/>
          </w:tcPr>
          <w:p>
            <w:pPr>
              <w:jc w:val="right"/>
              <w:ind w:right="110"/>
              <w:spacing w:after="0"/>
              <w:rPr>
                <w:sz w:val="20"/>
                <w:szCs w:val="20"/>
                <w:color w:val="auto"/>
              </w:rPr>
            </w:pPr>
            <w:r>
              <w:rPr>
                <w:rFonts w:ascii="Calibri" w:cs="Calibri" w:eastAsia="Calibri" w:hAnsi="Calibri"/>
                <w:sz w:val="18"/>
                <w:szCs w:val="18"/>
                <w:color w:val="auto"/>
              </w:rPr>
              <w:t>— %</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60" w:type="dxa"/>
            <w:vAlign w:val="bottom"/>
            <w:gridSpan w:val="3"/>
          </w:tcPr>
          <w:p>
            <w:pPr>
              <w:jc w:val="right"/>
              <w:ind w:right="20"/>
              <w:spacing w:after="0"/>
              <w:rPr>
                <w:sz w:val="20"/>
                <w:szCs w:val="20"/>
                <w:color w:val="auto"/>
              </w:rPr>
            </w:pPr>
            <w:r>
              <w:rPr>
                <w:rFonts w:ascii="Calibri" w:cs="Calibri" w:eastAsia="Calibri" w:hAnsi="Calibri"/>
                <w:sz w:val="18"/>
                <w:szCs w:val="18"/>
                <w:color w:val="auto"/>
              </w:rPr>
              <w:t>(14.3 )%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Calibri" w:cs="Calibri" w:eastAsia="Calibri" w:hAnsi="Calibri"/>
                <w:sz w:val="18"/>
                <w:szCs w:val="18"/>
                <w:color w:val="auto"/>
              </w:rPr>
              <w:t>Noncontrolling interest</w:t>
            </w: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gridSpan w:val="3"/>
          </w:tcPr>
          <w:p>
            <w:pPr>
              <w:jc w:val="right"/>
              <w:ind w:right="70"/>
              <w:spacing w:after="0"/>
              <w:rPr>
                <w:sz w:val="20"/>
                <w:szCs w:val="20"/>
                <w:color w:val="auto"/>
              </w:rPr>
            </w:pPr>
            <w:r>
              <w:rPr>
                <w:rFonts w:ascii="Calibri" w:cs="Calibri" w:eastAsia="Calibri" w:hAnsi="Calibri"/>
                <w:sz w:val="18"/>
                <w:szCs w:val="18"/>
                <w:color w:val="auto"/>
              </w:rPr>
              <w:t>(12.3 )%</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60" w:type="dxa"/>
            <w:vAlign w:val="bottom"/>
            <w:gridSpan w:val="3"/>
          </w:tcPr>
          <w:p>
            <w:pPr>
              <w:jc w:val="right"/>
              <w:ind w:right="20"/>
              <w:spacing w:after="0"/>
              <w:rPr>
                <w:sz w:val="20"/>
                <w:szCs w:val="20"/>
                <w:color w:val="auto"/>
              </w:rPr>
            </w:pPr>
            <w:r>
              <w:rPr>
                <w:rFonts w:ascii="Calibri" w:cs="Calibri" w:eastAsia="Calibri" w:hAnsi="Calibri"/>
                <w:sz w:val="18"/>
                <w:szCs w:val="18"/>
                <w:color w:val="auto"/>
              </w:rPr>
              <w:t>(2.7 )%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Calibri" w:cs="Calibri" w:eastAsia="Calibri" w:hAnsi="Calibri"/>
                <w:sz w:val="18"/>
                <w:szCs w:val="18"/>
                <w:color w:val="auto"/>
              </w:rPr>
              <w:t>Change in valuaton allowance</w:t>
            </w: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gridSpan w:val="3"/>
          </w:tcPr>
          <w:p>
            <w:pPr>
              <w:jc w:val="right"/>
              <w:ind w:right="70"/>
              <w:spacing w:after="0"/>
              <w:rPr>
                <w:sz w:val="20"/>
                <w:szCs w:val="20"/>
                <w:color w:val="auto"/>
              </w:rPr>
            </w:pPr>
            <w:r>
              <w:rPr>
                <w:rFonts w:ascii="Calibri" w:cs="Calibri" w:eastAsia="Calibri" w:hAnsi="Calibri"/>
                <w:sz w:val="18"/>
                <w:szCs w:val="18"/>
                <w:color w:val="auto"/>
              </w:rPr>
              <w:t>(23.1 )%</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60" w:type="dxa"/>
            <w:vAlign w:val="bottom"/>
            <w:gridSpan w:val="3"/>
          </w:tcPr>
          <w:p>
            <w:pPr>
              <w:jc w:val="right"/>
              <w:ind w:right="20"/>
              <w:spacing w:after="0"/>
              <w:rPr>
                <w:sz w:val="20"/>
                <w:szCs w:val="20"/>
                <w:color w:val="auto"/>
              </w:rPr>
            </w:pPr>
            <w:r>
              <w:rPr>
                <w:rFonts w:ascii="Calibri" w:cs="Calibri" w:eastAsia="Calibri" w:hAnsi="Calibri"/>
                <w:sz w:val="18"/>
                <w:szCs w:val="18"/>
                <w:color w:val="auto"/>
              </w:rPr>
              <w:t>(3.5 )%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Calibri" w:cs="Calibri" w:eastAsia="Calibri" w:hAnsi="Calibri"/>
                <w:sz w:val="18"/>
                <w:szCs w:val="18"/>
                <w:color w:val="auto"/>
              </w:rPr>
              <w:t>Deferred tax partnership adjustment</w:t>
            </w: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gridSpan w:val="3"/>
          </w:tcPr>
          <w:p>
            <w:pPr>
              <w:jc w:val="right"/>
              <w:ind w:right="110"/>
              <w:spacing w:after="0"/>
              <w:rPr>
                <w:sz w:val="20"/>
                <w:szCs w:val="20"/>
                <w:color w:val="auto"/>
              </w:rPr>
            </w:pPr>
            <w:r>
              <w:rPr>
                <w:rFonts w:ascii="Calibri" w:cs="Calibri" w:eastAsia="Calibri" w:hAnsi="Calibri"/>
                <w:sz w:val="18"/>
                <w:szCs w:val="18"/>
                <w:color w:val="auto"/>
              </w:rPr>
              <w:t>10.1 %</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60" w:type="dxa"/>
            <w:vAlign w:val="bottom"/>
            <w:gridSpan w:val="3"/>
          </w:tcPr>
          <w:p>
            <w:pPr>
              <w:jc w:val="right"/>
              <w:ind w:right="60"/>
              <w:spacing w:after="0"/>
              <w:rPr>
                <w:sz w:val="20"/>
                <w:szCs w:val="20"/>
                <w:color w:val="auto"/>
              </w:rPr>
            </w:pPr>
            <w:r>
              <w:rPr>
                <w:rFonts w:ascii="Calibri" w:cs="Calibri" w:eastAsia="Calibri" w:hAnsi="Calibri"/>
                <w:sz w:val="18"/>
                <w:szCs w:val="18"/>
                <w:color w:val="auto"/>
              </w:rPr>
              <w:t>—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Calibri" w:cs="Calibri" w:eastAsia="Calibri" w:hAnsi="Calibri"/>
                <w:sz w:val="18"/>
                <w:szCs w:val="18"/>
                <w:color w:val="auto"/>
              </w:rPr>
              <w:t>Warrants remeasurement</w:t>
            </w: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gridSpan w:val="3"/>
          </w:tcPr>
          <w:p>
            <w:pPr>
              <w:jc w:val="right"/>
              <w:ind w:right="110"/>
              <w:spacing w:after="0"/>
              <w:rPr>
                <w:sz w:val="20"/>
                <w:szCs w:val="20"/>
                <w:color w:val="auto"/>
              </w:rPr>
            </w:pPr>
            <w:r>
              <w:rPr>
                <w:rFonts w:ascii="Calibri" w:cs="Calibri" w:eastAsia="Calibri" w:hAnsi="Calibri"/>
                <w:sz w:val="18"/>
                <w:szCs w:val="18"/>
                <w:color w:val="auto"/>
              </w:rPr>
              <w:t>— %</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60" w:type="dxa"/>
            <w:vAlign w:val="bottom"/>
            <w:gridSpan w:val="3"/>
          </w:tcPr>
          <w:p>
            <w:pPr>
              <w:jc w:val="right"/>
              <w:ind w:right="20"/>
              <w:spacing w:after="0"/>
              <w:rPr>
                <w:sz w:val="20"/>
                <w:szCs w:val="20"/>
                <w:color w:val="auto"/>
              </w:rPr>
            </w:pPr>
            <w:r>
              <w:rPr>
                <w:rFonts w:ascii="Calibri" w:cs="Calibri" w:eastAsia="Calibri" w:hAnsi="Calibri"/>
                <w:sz w:val="18"/>
                <w:szCs w:val="18"/>
                <w:color w:val="auto"/>
              </w:rPr>
              <w:t>(1.4 )%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Calibri" w:cs="Calibri" w:eastAsia="Calibri" w:hAnsi="Calibri"/>
                <w:sz w:val="18"/>
                <w:szCs w:val="18"/>
                <w:color w:val="auto"/>
              </w:rPr>
              <w:t>Research &amp; Development Credit</w:t>
            </w: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gridSpan w:val="3"/>
          </w:tcPr>
          <w:p>
            <w:pPr>
              <w:jc w:val="right"/>
              <w:ind w:right="70"/>
              <w:spacing w:after="0"/>
              <w:rPr>
                <w:sz w:val="20"/>
                <w:szCs w:val="20"/>
                <w:color w:val="auto"/>
              </w:rPr>
            </w:pPr>
            <w:r>
              <w:rPr>
                <w:rFonts w:ascii="Calibri" w:cs="Calibri" w:eastAsia="Calibri" w:hAnsi="Calibri"/>
                <w:sz w:val="18"/>
                <w:szCs w:val="18"/>
                <w:color w:val="auto"/>
              </w:rPr>
              <w:t>(0.5 )%</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60" w:type="dxa"/>
            <w:vAlign w:val="bottom"/>
            <w:gridSpan w:val="3"/>
          </w:tcPr>
          <w:p>
            <w:pPr>
              <w:jc w:val="right"/>
              <w:ind w:right="60"/>
              <w:spacing w:after="0"/>
              <w:rPr>
                <w:sz w:val="20"/>
                <w:szCs w:val="20"/>
                <w:color w:val="auto"/>
              </w:rPr>
            </w:pPr>
            <w:r>
              <w:rPr>
                <w:rFonts w:ascii="Calibri" w:cs="Calibri" w:eastAsia="Calibri" w:hAnsi="Calibri"/>
                <w:sz w:val="18"/>
                <w:szCs w:val="18"/>
                <w:color w:val="auto"/>
              </w:rPr>
              <w:t>—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Calibri" w:cs="Calibri" w:eastAsia="Calibri" w:hAnsi="Calibri"/>
                <w:sz w:val="18"/>
                <w:szCs w:val="18"/>
                <w:color w:val="auto"/>
              </w:rPr>
              <w:t>Other</w:t>
            </w: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gridSpan w:val="3"/>
          </w:tcPr>
          <w:p>
            <w:pPr>
              <w:jc w:val="right"/>
              <w:ind w:right="110"/>
              <w:spacing w:after="0"/>
              <w:rPr>
                <w:sz w:val="20"/>
                <w:szCs w:val="20"/>
                <w:color w:val="auto"/>
              </w:rPr>
            </w:pPr>
            <w:r>
              <w:rPr>
                <w:rFonts w:ascii="Calibri" w:cs="Calibri" w:eastAsia="Calibri" w:hAnsi="Calibri"/>
                <w:sz w:val="18"/>
                <w:szCs w:val="18"/>
                <w:color w:val="auto"/>
              </w:rPr>
              <w:t>0.6 %</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60" w:type="dxa"/>
            <w:vAlign w:val="bottom"/>
            <w:gridSpan w:val="3"/>
          </w:tcPr>
          <w:p>
            <w:pPr>
              <w:jc w:val="right"/>
              <w:ind w:right="60"/>
              <w:spacing w:after="0"/>
              <w:rPr>
                <w:sz w:val="20"/>
                <w:szCs w:val="20"/>
                <w:color w:val="auto"/>
              </w:rPr>
            </w:pPr>
            <w:r>
              <w:rPr>
                <w:rFonts w:ascii="Calibri" w:cs="Calibri" w:eastAsia="Calibri" w:hAnsi="Calibri"/>
                <w:sz w:val="18"/>
                <w:szCs w:val="18"/>
                <w:color w:val="auto"/>
              </w:rPr>
              <w:t>0.1 %</w:t>
            </w:r>
          </w:p>
        </w:tc>
        <w:tc>
          <w:tcPr>
            <w:tcW w:w="0" w:type="dxa"/>
            <w:vAlign w:val="bottom"/>
          </w:tcPr>
          <w:p>
            <w:pPr>
              <w:spacing w:after="0"/>
              <w:rPr>
                <w:sz w:val="1"/>
                <w:szCs w:val="1"/>
                <w:color w:val="auto"/>
              </w:rPr>
            </w:pPr>
          </w:p>
        </w:tc>
      </w:tr>
      <w:tr>
        <w:trPr>
          <w:trHeight w:val="37"/>
        </w:trPr>
        <w:tc>
          <w:tcPr>
            <w:tcW w:w="46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line="213" w:lineRule="exact"/>
              <w:rPr>
                <w:sz w:val="20"/>
                <w:szCs w:val="20"/>
                <w:color w:val="auto"/>
              </w:rPr>
            </w:pPr>
            <w:r>
              <w:rPr>
                <w:rFonts w:ascii="Calibri" w:cs="Calibri" w:eastAsia="Calibri" w:hAnsi="Calibri"/>
                <w:sz w:val="18"/>
                <w:szCs w:val="18"/>
                <w:b w:val="1"/>
                <w:bCs w:val="1"/>
                <w:color w:val="auto"/>
              </w:rPr>
              <w:t>Total income tax expense (beneft)</w:t>
            </w:r>
          </w:p>
        </w:tc>
        <w:tc>
          <w:tcPr>
            <w:tcW w:w="20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(2.3</w:t>
            </w:r>
          </w:p>
        </w:tc>
        <w:tc>
          <w:tcPr>
            <w:tcW w:w="340" w:type="dxa"/>
            <w:vAlign w:val="bottom"/>
            <w:gridSpan w:val="2"/>
          </w:tcPr>
          <w:p>
            <w:pPr>
              <w:jc w:val="right"/>
              <w:ind w:right="50"/>
              <w:spacing w:after="0" w:line="213" w:lineRule="exact"/>
              <w:rPr>
                <w:sz w:val="20"/>
                <w:szCs w:val="20"/>
                <w:color w:val="auto"/>
              </w:rPr>
            </w:pPr>
            <w:r>
              <w:rPr>
                <w:rFonts w:ascii="Calibri" w:cs="Calibri" w:eastAsia="Calibri" w:hAnsi="Calibri"/>
                <w:sz w:val="18"/>
                <w:szCs w:val="18"/>
                <w:b w:val="1"/>
                <w:bCs w:val="1"/>
                <w:color w:val="auto"/>
                <w:w w:val="95"/>
              </w:rPr>
              <w:t>)%</w:t>
            </w: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(1.6</w:t>
            </w:r>
          </w:p>
        </w:tc>
        <w:tc>
          <w:tcPr>
            <w:tcW w:w="200" w:type="dxa"/>
            <w:vAlign w:val="bottom"/>
            <w:gridSpan w:val="2"/>
          </w:tcPr>
          <w:p>
            <w:pPr>
              <w:spacing w:after="0" w:line="213" w:lineRule="exact"/>
              <w:rPr>
                <w:sz w:val="20"/>
                <w:szCs w:val="20"/>
                <w:color w:val="auto"/>
              </w:rPr>
            </w:pPr>
            <w:r>
              <w:rPr>
                <w:rFonts w:ascii="Calibri" w:cs="Calibri" w:eastAsia="Calibri" w:hAnsi="Calibri"/>
                <w:sz w:val="18"/>
                <w:szCs w:val="18"/>
                <w:b w:val="1"/>
                <w:bCs w:val="1"/>
                <w:color w:val="auto"/>
                <w:w w:val="95"/>
              </w:rPr>
              <w:t>)%</w:t>
            </w:r>
          </w:p>
        </w:tc>
        <w:tc>
          <w:tcPr>
            <w:tcW w:w="0" w:type="dxa"/>
            <w:vAlign w:val="bottom"/>
          </w:tcPr>
          <w:p>
            <w:pPr>
              <w:spacing w:after="0"/>
              <w:rPr>
                <w:sz w:val="1"/>
                <w:szCs w:val="1"/>
                <w:color w:val="auto"/>
              </w:rPr>
            </w:pPr>
          </w:p>
        </w:tc>
      </w:tr>
      <w:tr>
        <w:trPr>
          <w:trHeight w:val="23"/>
        </w:trPr>
        <w:tc>
          <w:tcPr>
            <w:tcW w:w="672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900" w:type="dxa"/>
            <w:vAlign w:val="bottom"/>
            <w:gridSpan w:val="4"/>
          </w:tcPr>
          <w:p>
            <w:pPr>
              <w:spacing w:after="0"/>
              <w:rPr>
                <w:sz w:val="20"/>
                <w:szCs w:val="20"/>
                <w:color w:val="auto"/>
              </w:rPr>
            </w:pPr>
            <w:r>
              <w:rPr>
                <w:rFonts w:ascii="Calibri" w:cs="Calibri" w:eastAsia="Calibri" w:hAnsi="Calibri"/>
                <w:sz w:val="18"/>
                <w:szCs w:val="18"/>
                <w:color w:val="auto"/>
              </w:rPr>
              <w:t>As of December 31, 2022 and 2021, our deferred tax balances consisted of the following (in thousands):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600" w:type="dxa"/>
            <w:vAlign w:val="bottom"/>
          </w:tcPr>
          <w:p>
            <w:pPr>
              <w:spacing w:after="0"/>
              <w:rPr>
                <w:sz w:val="24"/>
                <w:szCs w:val="24"/>
                <w:color w:val="auto"/>
              </w:rPr>
            </w:pPr>
          </w:p>
        </w:tc>
        <w:tc>
          <w:tcPr>
            <w:tcW w:w="330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2022</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jc w:val="right"/>
              <w:ind w:right="81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6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Deferred Tax Assets</w:t>
            </w:r>
          </w:p>
        </w:tc>
        <w:tc>
          <w:tcPr>
            <w:tcW w:w="20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140"/>
              <w:spacing w:after="0" w:line="215" w:lineRule="exact"/>
              <w:rPr>
                <w:sz w:val="20"/>
                <w:szCs w:val="20"/>
                <w:color w:val="auto"/>
              </w:rPr>
            </w:pPr>
            <w:r>
              <w:rPr>
                <w:rFonts w:ascii="Calibri" w:cs="Calibri" w:eastAsia="Calibri" w:hAnsi="Calibri"/>
                <w:sz w:val="18"/>
                <w:szCs w:val="18"/>
                <w:color w:val="auto"/>
              </w:rPr>
              <w:t>Net operatng loss</w:t>
            </w:r>
          </w:p>
        </w:tc>
        <w:tc>
          <w:tcPr>
            <w:tcW w:w="3300" w:type="dxa"/>
            <w:vAlign w:val="bottom"/>
            <w:gridSpan w:val="3"/>
          </w:tcPr>
          <w:p>
            <w:pPr>
              <w:jc w:val="right"/>
              <w:ind w:right="99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12,740</w:t>
            </w:r>
          </w:p>
        </w:tc>
        <w:tc>
          <w:tcPr>
            <w:tcW w:w="320" w:type="dxa"/>
            <w:vAlign w:val="bottom"/>
          </w:tcPr>
          <w:p>
            <w:pPr>
              <w:spacing w:after="0"/>
              <w:rPr>
                <w:sz w:val="18"/>
                <w:szCs w:val="18"/>
                <w:color w:val="auto"/>
              </w:rPr>
            </w:pPr>
          </w:p>
        </w:tc>
        <w:tc>
          <w:tcPr>
            <w:tcW w:w="540" w:type="dxa"/>
            <w:vAlign w:val="bottom"/>
            <w:gridSpan w:val="2"/>
          </w:tcPr>
          <w:p>
            <w:pPr>
              <w:jc w:val="right"/>
              <w:ind w:right="290"/>
              <w:spacing w:after="0" w:line="215" w:lineRule="exact"/>
              <w:rPr>
                <w:sz w:val="20"/>
                <w:szCs w:val="20"/>
                <w:color w:val="auto"/>
              </w:rPr>
            </w:pPr>
            <w:r>
              <w:rPr>
                <w:rFonts w:ascii="Calibri" w:cs="Calibri" w:eastAsia="Calibri" w:hAnsi="Calibri"/>
                <w:sz w:val="18"/>
                <w:szCs w:val="18"/>
                <w:color w:val="auto"/>
              </w:rPr>
              <w:t>$</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9,670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Interest carryforwards</w:t>
            </w:r>
          </w:p>
        </w:tc>
        <w:tc>
          <w:tcPr>
            <w:tcW w:w="20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15,919</w:t>
            </w:r>
          </w:p>
        </w:tc>
        <w:tc>
          <w:tcPr>
            <w:tcW w:w="3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15,206</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140"/>
              <w:spacing w:after="0" w:line="215" w:lineRule="exact"/>
              <w:rPr>
                <w:sz w:val="20"/>
                <w:szCs w:val="20"/>
                <w:color w:val="auto"/>
              </w:rPr>
            </w:pPr>
            <w:r>
              <w:rPr>
                <w:rFonts w:ascii="Calibri" w:cs="Calibri" w:eastAsia="Calibri" w:hAnsi="Calibri"/>
                <w:sz w:val="18"/>
                <w:szCs w:val="18"/>
                <w:color w:val="auto"/>
              </w:rPr>
              <w:t>Investment in partnerships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91,302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120,706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Other</w:t>
            </w:r>
          </w:p>
        </w:tc>
        <w:tc>
          <w:tcPr>
            <w:tcW w:w="20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748</w:t>
            </w:r>
          </w:p>
        </w:tc>
        <w:tc>
          <w:tcPr>
            <w:tcW w:w="3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6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deferred tax assets</w:t>
            </w:r>
          </w:p>
        </w:tc>
        <w:tc>
          <w:tcPr>
            <w:tcW w:w="20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120,709</w:t>
            </w:r>
          </w:p>
        </w:tc>
        <w:tc>
          <w:tcPr>
            <w:tcW w:w="3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145,714</w:t>
            </w:r>
          </w:p>
        </w:tc>
        <w:tc>
          <w:tcPr>
            <w:tcW w:w="10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Valuaton allowance</w:t>
            </w:r>
          </w:p>
        </w:tc>
        <w:tc>
          <w:tcPr>
            <w:tcW w:w="20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CFF0FC"/>
            </w:tcBorders>
            <w:shd w:val="clear" w:color="auto" w:fill="CFF0FC"/>
          </w:tcPr>
          <w:p>
            <w:pPr>
              <w:spacing w:after="0"/>
              <w:rPr>
                <w:sz w:val="20"/>
                <w:szCs w:val="20"/>
                <w:color w:val="auto"/>
              </w:rPr>
            </w:pPr>
          </w:p>
        </w:tc>
        <w:tc>
          <w:tcPr>
            <w:tcW w:w="720" w:type="dxa"/>
            <w:vAlign w:val="bottom"/>
            <w:tcBorders>
              <w:top w:val="single" w:sz="8" w:color="auto"/>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(118,734</w:t>
            </w:r>
          </w:p>
        </w:tc>
        <w:tc>
          <w:tcPr>
            <w:tcW w:w="320" w:type="dxa"/>
            <w:vAlign w:val="bottom"/>
            <w:tcBorders>
              <w:bottom w:val="single" w:sz="8" w:color="CFF0FC"/>
            </w:tcBorders>
            <w:shd w:val="clear" w:color="auto" w:fill="CFF0FC"/>
          </w:tcPr>
          <w:p>
            <w:pPr>
              <w:jc w:val="right"/>
              <w:ind w:right="170"/>
              <w:spacing w:after="0" w:line="208" w:lineRule="exact"/>
              <w:rPr>
                <w:sz w:val="20"/>
                <w:szCs w:val="20"/>
                <w:color w:val="auto"/>
              </w:rPr>
            </w:pPr>
            <w:r>
              <w:rPr>
                <w:rFonts w:ascii="Calibri" w:cs="Calibri" w:eastAsia="Calibri" w:hAnsi="Calibri"/>
                <w:sz w:val="18"/>
                <w:szCs w:val="18"/>
                <w:color w:val="auto"/>
                <w:w w:val="72"/>
              </w:rPr>
              <w:t>)</w:t>
            </w:r>
          </w:p>
        </w:tc>
        <w:tc>
          <w:tcPr>
            <w:tcW w:w="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(145,668</w:t>
            </w:r>
          </w:p>
        </w:tc>
        <w:tc>
          <w:tcPr>
            <w:tcW w:w="1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deferred tax assets net of valuaton allowance</w:t>
            </w:r>
          </w:p>
        </w:tc>
        <w:tc>
          <w:tcPr>
            <w:tcW w:w="20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1,975</w:t>
            </w:r>
          </w:p>
        </w:tc>
        <w:tc>
          <w:tcPr>
            <w:tcW w:w="3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46</w:t>
            </w:r>
          </w:p>
        </w:tc>
        <w:tc>
          <w:tcPr>
            <w:tcW w:w="10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Deferred Tax Liabilites</w:t>
            </w:r>
          </w:p>
        </w:tc>
        <w:tc>
          <w:tcPr>
            <w:tcW w:w="20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140"/>
              <w:spacing w:after="0" w:line="215" w:lineRule="exact"/>
              <w:rPr>
                <w:sz w:val="20"/>
                <w:szCs w:val="20"/>
                <w:color w:val="auto"/>
              </w:rPr>
            </w:pPr>
            <w:r>
              <w:rPr>
                <w:rFonts w:ascii="Calibri" w:cs="Calibri" w:eastAsia="Calibri" w:hAnsi="Calibri"/>
                <w:sz w:val="18"/>
                <w:szCs w:val="18"/>
                <w:color w:val="auto"/>
              </w:rPr>
              <w:t>Other</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122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Deferred Tax Liabilites</w:t>
            </w:r>
          </w:p>
        </w:tc>
        <w:tc>
          <w:tcPr>
            <w:tcW w:w="20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122</w:t>
            </w:r>
          </w:p>
        </w:tc>
        <w:tc>
          <w:tcPr>
            <w:tcW w:w="3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46</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60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Net Deferred Tax Assets / (Liabilites)</w:t>
            </w:r>
          </w:p>
        </w:tc>
        <w:tc>
          <w:tcPr>
            <w:tcW w:w="2120" w:type="dxa"/>
            <w:vAlign w:val="bottom"/>
            <w:tcBorders>
              <w:top w:val="single" w:sz="8" w:color="CFF0FC"/>
            </w:tcBorders>
            <w:gridSpan w:val="2"/>
          </w:tcPr>
          <w:p>
            <w:pPr>
              <w:spacing w:after="0"/>
              <w:rPr>
                <w:sz w:val="18"/>
                <w:szCs w:val="18"/>
                <w:color w:val="auto"/>
              </w:rPr>
            </w:pPr>
          </w:p>
        </w:tc>
        <w:tc>
          <w:tcPr>
            <w:tcW w:w="1180" w:type="dxa"/>
            <w:vAlign w:val="bottom"/>
            <w:tcBorders>
              <w:top w:val="single" w:sz="8" w:color="auto"/>
            </w:tcBorders>
          </w:tcPr>
          <w:p>
            <w:pPr>
              <w:jc w:val="right"/>
              <w:ind w:right="990"/>
              <w:spacing w:after="0" w:line="213" w:lineRule="exact"/>
              <w:rPr>
                <w:sz w:val="20"/>
                <w:szCs w:val="20"/>
                <w:color w:val="auto"/>
              </w:rPr>
            </w:pPr>
            <w:r>
              <w:rPr>
                <w:rFonts w:ascii="Calibri" w:cs="Calibri" w:eastAsia="Calibri" w:hAnsi="Calibri"/>
                <w:sz w:val="18"/>
                <w:szCs w:val="18"/>
                <w:b w:val="1"/>
                <w:bCs w:val="1"/>
                <w:color w:val="auto"/>
                <w:w w:val="87"/>
              </w:rPr>
              <w:t>$</w:t>
            </w:r>
          </w:p>
        </w:tc>
        <w:tc>
          <w:tcPr>
            <w:tcW w:w="720" w:type="dxa"/>
            <w:vAlign w:val="bottom"/>
            <w:tcBorders>
              <w:top w:val="single" w:sz="8" w:color="auto"/>
            </w:tcBorders>
            <w:gridSpan w:val="2"/>
          </w:tcPr>
          <w:p>
            <w:pPr>
              <w:jc w:val="right"/>
              <w:spacing w:after="0" w:line="213" w:lineRule="exact"/>
              <w:rPr>
                <w:sz w:val="20"/>
                <w:szCs w:val="20"/>
                <w:color w:val="auto"/>
              </w:rPr>
            </w:pPr>
            <w:r>
              <w:rPr>
                <w:rFonts w:ascii="Calibri" w:cs="Calibri" w:eastAsia="Calibri" w:hAnsi="Calibri"/>
                <w:sz w:val="18"/>
                <w:szCs w:val="18"/>
                <w:b w:val="1"/>
                <w:bCs w:val="1"/>
                <w:color w:val="auto"/>
              </w:rPr>
              <w:t>1,853</w:t>
            </w:r>
          </w:p>
        </w:tc>
        <w:tc>
          <w:tcPr>
            <w:tcW w:w="3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jc w:val="right"/>
              <w:ind w:right="290"/>
              <w:spacing w:after="0" w:line="213" w:lineRule="exact"/>
              <w:rPr>
                <w:sz w:val="20"/>
                <w:szCs w:val="20"/>
                <w:color w:val="auto"/>
              </w:rPr>
            </w:pPr>
            <w:r>
              <w:rPr>
                <w:rFonts w:ascii="Calibri" w:cs="Calibri" w:eastAsia="Calibri" w:hAnsi="Calibri"/>
                <w:sz w:val="18"/>
                <w:szCs w:val="18"/>
                <w:b w:val="1"/>
                <w:bCs w:val="1"/>
                <w:color w:val="auto"/>
              </w:rPr>
              <w:t>$</w:t>
            </w:r>
          </w:p>
        </w:tc>
        <w:tc>
          <w:tcPr>
            <w:tcW w:w="16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2040" w:type="dxa"/>
            <w:vAlign w:val="bottom"/>
            <w:vMerge w:val="restart"/>
          </w:tcPr>
          <w:p>
            <w:pPr>
              <w:jc w:val="right"/>
              <w:ind w:right="830"/>
              <w:spacing w:after="0"/>
              <w:rPr>
                <w:sz w:val="20"/>
                <w:szCs w:val="20"/>
                <w:color w:val="auto"/>
              </w:rPr>
            </w:pPr>
            <w:r>
              <w:rPr>
                <w:rFonts w:ascii="Calibri" w:cs="Calibri" w:eastAsia="Calibri" w:hAnsi="Calibri"/>
                <w:sz w:val="18"/>
                <w:szCs w:val="18"/>
                <w:color w:val="auto"/>
              </w:rPr>
              <w:t>94</w:t>
            </w: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6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6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-4482465</wp:posOffset>
            </wp:positionV>
            <wp:extent cx="713232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-4173855</wp:posOffset>
            </wp:positionV>
            <wp:extent cx="713232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-3865245</wp:posOffset>
            </wp:positionV>
            <wp:extent cx="713232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-3556635</wp:posOffset>
            </wp:positionV>
            <wp:extent cx="7132320" cy="154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-3248025</wp:posOffset>
            </wp:positionV>
            <wp:extent cx="71323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7132320" cy="179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-1508125</wp:posOffset>
            </wp:positionV>
            <wp:extent cx="68580" cy="1714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1714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-1182370</wp:posOffset>
            </wp:positionV>
            <wp:extent cx="68580" cy="1714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714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-539115</wp:posOffset>
            </wp:positionV>
            <wp:extent cx="68580"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112" w:right="239" w:bottom="1440" w:gutter="0" w:footer="0" w:header="0"/>
        </w:sectPr>
      </w:pPr>
    </w:p>
    <w:bookmarkStart w:id="97" w:name="page98"/>
    <w:bookmarkEnd w:id="9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recognize deferred tax assets to the extent we believe these assets are more likely than not to be realized. Valuaton allowances have been established primarily with regard to the tax benefts of certain net operatng losses, tax credits, as well as its investment in partnership. In making such a determinaton, we consider all available positve and negatve evidence, including future reversals of existng taxable temporary diferences, projected future taxable income, tax planning strategies and recent results of operatons. Afer considering all those factors, we recorded a $118.7 million valuaton allowance against our deferred tax assets, as we have determined these assets are not more likely than not to be realized as of December 31, 2022.</w:t>
      </w:r>
    </w:p>
    <w:p>
      <w:pPr>
        <w:spacing w:after="0" w:line="1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Excluded from the deferred tax asset for investment in partnerships above is a porton of the income tax basis in the partnership investment which will only reverse upon sale as a capital loss. As the Company does not expect to have sufcient sources of future capital gains to ofset this future capital loss, the Company has not recorded a deferred tax asset for this porton of the basis diference in the investment in the partnership.</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40" w:type="dxa"/>
            <w:vAlign w:val="bottom"/>
          </w:tcPr>
          <w:p>
            <w:pPr>
              <w:spacing w:after="0"/>
              <w:rPr>
                <w:sz w:val="20"/>
                <w:szCs w:val="20"/>
                <w:color w:val="auto"/>
              </w:rPr>
            </w:pPr>
            <w:r>
              <w:rPr>
                <w:rFonts w:ascii="Calibri" w:cs="Calibri" w:eastAsia="Calibri" w:hAnsi="Calibri"/>
                <w:sz w:val="18"/>
                <w:szCs w:val="18"/>
                <w:color w:val="auto"/>
              </w:rPr>
              <w:t>The deferred tax asset valuaton allowance and changes were as follows (in thousands):</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67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jc w:val="right"/>
              <w:ind w:right="81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24"/>
                <w:szCs w:val="24"/>
                <w:color w:val="auto"/>
              </w:rPr>
            </w:pPr>
          </w:p>
        </w:tc>
      </w:tr>
      <w:tr>
        <w:trPr>
          <w:trHeight w:val="50"/>
        </w:trPr>
        <w:tc>
          <w:tcPr>
            <w:tcW w:w="674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17"/>
        </w:trPr>
        <w:tc>
          <w:tcPr>
            <w:tcW w:w="67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beginning of period</w:t>
            </w:r>
          </w:p>
        </w:tc>
        <w:tc>
          <w:tcPr>
            <w:tcW w:w="1200" w:type="dxa"/>
            <w:vAlign w:val="bottom"/>
            <w:tcBorders>
              <w:bottom w:val="single" w:sz="8" w:color="CFF0FC"/>
            </w:tcBorders>
            <w:shd w:val="clear" w:color="auto" w:fill="CFF0FC"/>
          </w:tcPr>
          <w:p>
            <w:pPr>
              <w:jc w:val="right"/>
              <w:ind w:right="1010"/>
              <w:spacing w:after="0" w:line="208" w:lineRule="exact"/>
              <w:rPr>
                <w:sz w:val="20"/>
                <w:szCs w:val="20"/>
                <w:color w:val="auto"/>
              </w:rPr>
            </w:pPr>
            <w:r>
              <w:rPr>
                <w:rFonts w:ascii="Calibri" w:cs="Calibri" w:eastAsia="Calibri" w:hAnsi="Calibri"/>
                <w:sz w:val="18"/>
                <w:szCs w:val="18"/>
                <w:color w:val="auto"/>
                <w:w w:val="87"/>
              </w:rPr>
              <w:t>$</w:t>
            </w:r>
          </w:p>
        </w:tc>
        <w:tc>
          <w:tcPr>
            <w:tcW w:w="6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145,668</w:t>
            </w:r>
          </w:p>
        </w:tc>
        <w:tc>
          <w:tcPr>
            <w:tcW w:w="3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ind w:right="310"/>
              <w:spacing w:after="0" w:line="208" w:lineRule="exact"/>
              <w:rPr>
                <w:sz w:val="20"/>
                <w:szCs w:val="20"/>
                <w:color w:val="auto"/>
              </w:rPr>
            </w:pPr>
            <w:r>
              <w:rPr>
                <w:rFonts w:ascii="Calibri" w:cs="Calibri" w:eastAsia="Calibri" w:hAnsi="Calibri"/>
                <w:sz w:val="18"/>
                <w:szCs w:val="18"/>
                <w:color w:val="auto"/>
                <w:w w:val="87"/>
              </w:rPr>
              <w:t>$</w:t>
            </w:r>
          </w:p>
        </w:tc>
        <w:tc>
          <w:tcPr>
            <w:tcW w:w="16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1,828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43"/>
        </w:trPr>
        <w:tc>
          <w:tcPr>
            <w:tcW w:w="6740" w:type="dxa"/>
            <w:vAlign w:val="bottom"/>
          </w:tcPr>
          <w:p>
            <w:pPr>
              <w:ind w:left="20"/>
              <w:spacing w:after="0" w:line="243" w:lineRule="exact"/>
              <w:rPr>
                <w:sz w:val="20"/>
                <w:szCs w:val="20"/>
                <w:color w:val="auto"/>
              </w:rPr>
            </w:pPr>
            <w:r>
              <w:rPr>
                <w:rFonts w:ascii="Calibri" w:cs="Calibri" w:eastAsia="Calibri" w:hAnsi="Calibri"/>
                <w:sz w:val="18"/>
                <w:szCs w:val="18"/>
                <w:color w:val="auto"/>
              </w:rPr>
              <w:t>Other</w:t>
            </w:r>
            <w:r>
              <w:rPr>
                <w:rFonts w:ascii="Calibri" w:cs="Calibri" w:eastAsia="Calibri" w:hAnsi="Calibri"/>
                <w:sz w:val="24"/>
                <w:szCs w:val="24"/>
                <w:color w:val="auto"/>
                <w:vertAlign w:val="superscript"/>
              </w:rPr>
              <w:t>(1)</w:t>
            </w:r>
          </w:p>
        </w:tc>
        <w:tc>
          <w:tcPr>
            <w:tcW w:w="1200" w:type="dxa"/>
            <w:vAlign w:val="bottom"/>
          </w:tcPr>
          <w:p>
            <w:pPr>
              <w:spacing w:after="0"/>
              <w:rPr>
                <w:sz w:val="21"/>
                <w:szCs w:val="21"/>
                <w:color w:val="auto"/>
              </w:rPr>
            </w:pPr>
          </w:p>
        </w:tc>
        <w:tc>
          <w:tcPr>
            <w:tcW w:w="106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(6,154 )</w:t>
            </w:r>
          </w:p>
        </w:tc>
        <w:tc>
          <w:tcPr>
            <w:tcW w:w="500" w:type="dxa"/>
            <w:vAlign w:val="bottom"/>
          </w:tcPr>
          <w:p>
            <w:pPr>
              <w:spacing w:after="0"/>
              <w:rPr>
                <w:sz w:val="21"/>
                <w:szCs w:val="21"/>
                <w:color w:val="auto"/>
              </w:rPr>
            </w:pP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1"/>
                <w:szCs w:val="21"/>
                <w:color w:val="auto"/>
              </w:rPr>
            </w:pPr>
          </w:p>
        </w:tc>
      </w:tr>
      <w:tr>
        <w:trPr>
          <w:trHeight w:val="223"/>
        </w:trPr>
        <w:tc>
          <w:tcPr>
            <w:tcW w:w="67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Charged to costs and expenses</w:t>
            </w:r>
          </w:p>
        </w:tc>
        <w:tc>
          <w:tcPr>
            <w:tcW w:w="1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320"/>
              <w:spacing w:after="0" w:line="215" w:lineRule="exact"/>
              <w:rPr>
                <w:sz w:val="20"/>
                <w:szCs w:val="20"/>
                <w:color w:val="auto"/>
              </w:rPr>
            </w:pPr>
            <w:r>
              <w:rPr>
                <w:rFonts w:ascii="Calibri" w:cs="Calibri" w:eastAsia="Calibri" w:hAnsi="Calibri"/>
                <w:sz w:val="18"/>
                <w:szCs w:val="18"/>
                <w:color w:val="auto"/>
              </w:rPr>
              <w:t>(15,961 )</w:t>
            </w:r>
          </w:p>
        </w:tc>
        <w:tc>
          <w:tcPr>
            <w:tcW w:w="5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(Credited) charged to other accounts</w:t>
            </w:r>
          </w:p>
        </w:tc>
        <w:tc>
          <w:tcPr>
            <w:tcW w:w="1200" w:type="dxa"/>
            <w:vAlign w:val="bottom"/>
          </w:tcPr>
          <w:p>
            <w:pPr>
              <w:spacing w:after="0"/>
              <w:rPr>
                <w:sz w:val="18"/>
                <w:szCs w:val="18"/>
                <w:color w:val="auto"/>
              </w:rPr>
            </w:pPr>
          </w:p>
        </w:tc>
        <w:tc>
          <w:tcPr>
            <w:tcW w:w="106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(4,819 )</w:t>
            </w:r>
          </w:p>
        </w:tc>
        <w:tc>
          <w:tcPr>
            <w:tcW w:w="500" w:type="dxa"/>
            <w:vAlign w:val="bottom"/>
          </w:tcPr>
          <w:p>
            <w:pPr>
              <w:spacing w:after="0"/>
              <w:rPr>
                <w:sz w:val="18"/>
                <w:szCs w:val="18"/>
                <w:color w:val="auto"/>
              </w:rPr>
            </w:pP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143,194</w:t>
            </w:r>
          </w:p>
        </w:tc>
        <w:tc>
          <w:tcPr>
            <w:tcW w:w="100" w:type="dxa"/>
            <w:vAlign w:val="bottom"/>
          </w:tcPr>
          <w:p>
            <w:pPr>
              <w:spacing w:after="0"/>
              <w:rPr>
                <w:sz w:val="18"/>
                <w:szCs w:val="18"/>
                <w:color w:val="auto"/>
              </w:rPr>
            </w:pPr>
          </w:p>
        </w:tc>
      </w:tr>
      <w:tr>
        <w:trPr>
          <w:trHeight w:val="28"/>
        </w:trPr>
        <w:tc>
          <w:tcPr>
            <w:tcW w:w="6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7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Deductons</w:t>
            </w:r>
          </w:p>
        </w:tc>
        <w:tc>
          <w:tcPr>
            <w:tcW w:w="1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674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Ending balance</w:t>
            </w:r>
          </w:p>
        </w:tc>
        <w:tc>
          <w:tcPr>
            <w:tcW w:w="1200" w:type="dxa"/>
            <w:vAlign w:val="bottom"/>
            <w:tcBorders>
              <w:top w:val="single" w:sz="8" w:color="auto"/>
            </w:tcBorders>
          </w:tcPr>
          <w:p>
            <w:pPr>
              <w:jc w:val="right"/>
              <w:ind w:right="1010"/>
              <w:spacing w:after="0" w:line="213" w:lineRule="exact"/>
              <w:rPr>
                <w:sz w:val="20"/>
                <w:szCs w:val="20"/>
                <w:color w:val="auto"/>
              </w:rPr>
            </w:pPr>
            <w:r>
              <w:rPr>
                <w:rFonts w:ascii="Calibri" w:cs="Calibri" w:eastAsia="Calibri" w:hAnsi="Calibri"/>
                <w:sz w:val="18"/>
                <w:szCs w:val="18"/>
                <w:b w:val="1"/>
                <w:bCs w:val="1"/>
                <w:color w:val="auto"/>
                <w:w w:val="87"/>
              </w:rPr>
              <w:t>$</w:t>
            </w:r>
          </w:p>
        </w:tc>
        <w:tc>
          <w:tcPr>
            <w:tcW w:w="6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118,734</w:t>
            </w:r>
          </w:p>
        </w:tc>
        <w:tc>
          <w:tcPr>
            <w:tcW w:w="38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jc w:val="right"/>
              <w:ind w:right="310"/>
              <w:spacing w:after="0" w:line="213" w:lineRule="exact"/>
              <w:rPr>
                <w:sz w:val="20"/>
                <w:szCs w:val="20"/>
                <w:color w:val="auto"/>
              </w:rPr>
            </w:pPr>
            <w:r>
              <w:rPr>
                <w:rFonts w:ascii="Calibri" w:cs="Calibri" w:eastAsia="Calibri" w:hAnsi="Calibri"/>
                <w:sz w:val="18"/>
                <w:szCs w:val="18"/>
                <w:b w:val="1"/>
                <w:bCs w:val="1"/>
                <w:color w:val="auto"/>
                <w:w w:val="87"/>
              </w:rPr>
              <w:t>$</w:t>
            </w:r>
          </w:p>
        </w:tc>
        <w:tc>
          <w:tcPr>
            <w:tcW w:w="16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145,668</w:t>
            </w:r>
          </w:p>
        </w:tc>
        <w:tc>
          <w:tcPr>
            <w:tcW w:w="100" w:type="dxa"/>
            <w:vAlign w:val="bottom"/>
            <w:tcBorders>
              <w:top w:val="single" w:sz="8" w:color="CFF0FC"/>
            </w:tcBorders>
          </w:tcPr>
          <w:p>
            <w:pPr>
              <w:spacing w:after="0"/>
              <w:rPr>
                <w:sz w:val="18"/>
                <w:szCs w:val="18"/>
                <w:color w:val="auto"/>
              </w:rPr>
            </w:pPr>
          </w:p>
        </w:tc>
      </w:tr>
      <w:tr>
        <w:trPr>
          <w:trHeight w:val="23"/>
        </w:trPr>
        <w:tc>
          <w:tcPr>
            <w:tcW w:w="67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-187960</wp:posOffset>
            </wp:positionV>
            <wp:extent cx="68580" cy="1885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06" w:lineRule="exact"/>
        <w:rPr>
          <w:sz w:val="20"/>
          <w:szCs w:val="20"/>
          <w:color w:val="auto"/>
        </w:rPr>
      </w:pPr>
    </w:p>
    <w:p>
      <w:pPr>
        <w:ind w:firstLine="8"/>
        <w:spacing w:after="0" w:line="235" w:lineRule="auto"/>
        <w:tabs>
          <w:tab w:leader="none" w:pos="239"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This relates to a true-up of the investment in partnership deferred tax asset and related valuaton allowance which has been updated to remove the basis that will only reverse upon sale as a capital loss.</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we determined that there is sufcient positve evidence to conclude that it is more likely than not that our Canadian deferred taxes of $1.9 million are realizable. We therefore reduced the valuaton allowance accordingly. We expect to contnue maintaining a full valuaton allowance on our U.S. net deferred tax asset untl there is sufcient positve evidence to support the reversal of a porton of this allowance. However, given our current earnings and antcipated future earnings, we believe that there is a reasonable possibility that within the next 3-6 months, sufcient positve evidence may become available to allow us to reach a conclusion that a signifcant porton or the entrety of the valuaton allowance will no longer be necessary to be recorded against our U.S. net deferred tax assets. Release of the valuaton allowance would result in the recogniton of previously unrecognized deferred tax assets and an income tax beneft in the period in which the release of the valuaton allowance is recorded. However, the exact tming and amount of the valuaton allowance release are subject to change on the basis of the level of positve evidence becoming available.</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2022, we had U.S. state operatng loss carryforwards totaling $23.0 million, U.S. federal operatng loss carryforwards totaling $45.5 million. The U.S. federal and state operatng loss carryforwards begin to expire in 2029 with $46.4 million of the operatng loss carryforwards having no expiraton date.</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2022, with respect to our operatons outside the U.S., we had foreign operatng loss carryforwards totaling $5.3 million. The foreign operatng loss carryforwards begin to expire in 2037.</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2022, we were not indefnitely reinvested on undistributed earnings from our foreign operatons and the deferred tax liability associated with the future repatriaton of these earnings is expected to be immaterial.</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ASC 740, Income Taxes, prescribes a recogniton threshold of more-likely-than not to be sustained upon examinaton as it relates to the accountng for uncertainty in income tax benefts recognized in an enterprise’s fnancial statements. Our unrecognized tax benefts which relate to a tax refund are as follows:</w:t>
      </w:r>
    </w:p>
    <w:p>
      <w:pPr>
        <w:spacing w:after="0" w:line="1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0"/>
        </w:trPr>
        <w:tc>
          <w:tcPr>
            <w:tcW w:w="3080" w:type="dxa"/>
            <w:vAlign w:val="bottom"/>
          </w:tcPr>
          <w:p>
            <w:pPr>
              <w:spacing w:after="0"/>
              <w:rPr>
                <w:sz w:val="19"/>
                <w:szCs w:val="19"/>
                <w:color w:val="auto"/>
              </w:rPr>
            </w:pPr>
          </w:p>
        </w:tc>
        <w:tc>
          <w:tcPr>
            <w:tcW w:w="6200" w:type="dxa"/>
            <w:vAlign w:val="bottom"/>
            <w:gridSpan w:val="2"/>
          </w:tcPr>
          <w:p>
            <w:pPr>
              <w:jc w:val="right"/>
              <w:ind w:right="2950"/>
              <w:spacing w:after="0"/>
              <w:rPr>
                <w:sz w:val="20"/>
                <w:szCs w:val="20"/>
                <w:color w:val="auto"/>
              </w:rPr>
            </w:pPr>
            <w:r>
              <w:rPr>
                <w:rFonts w:ascii="Calibri" w:cs="Calibri" w:eastAsia="Calibri" w:hAnsi="Calibri"/>
                <w:sz w:val="18"/>
                <w:szCs w:val="18"/>
                <w:b w:val="1"/>
                <w:bCs w:val="1"/>
                <w:color w:val="auto"/>
              </w:rPr>
              <w:t>VIVID SEATS INC.</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80" w:type="dxa"/>
            <w:vAlign w:val="bottom"/>
          </w:tcPr>
          <w:p>
            <w:pPr>
              <w:spacing w:after="0"/>
              <w:rPr>
                <w:sz w:val="18"/>
                <w:szCs w:val="18"/>
                <w:color w:val="auto"/>
              </w:rPr>
            </w:pPr>
          </w:p>
        </w:tc>
        <w:tc>
          <w:tcPr>
            <w:tcW w:w="6200" w:type="dxa"/>
            <w:vAlign w:val="bottom"/>
            <w:gridSpan w:val="2"/>
          </w:tcPr>
          <w:p>
            <w:pPr>
              <w:jc w:val="right"/>
              <w:ind w:right="1550"/>
              <w:spacing w:after="0" w:line="216" w:lineRule="exact"/>
              <w:rPr>
                <w:sz w:val="20"/>
                <w:szCs w:val="20"/>
                <w:color w:val="auto"/>
              </w:rPr>
            </w:pPr>
            <w:r>
              <w:rPr>
                <w:rFonts w:ascii="Calibri" w:cs="Calibri" w:eastAsia="Calibri" w:hAnsi="Calibri"/>
                <w:sz w:val="18"/>
                <w:szCs w:val="18"/>
                <w:b w:val="1"/>
                <w:bCs w:val="1"/>
                <w:color w:val="auto"/>
              </w:rPr>
              <w:t>NOTES TO THE CONSOLIDATED FINANCIAL STATEMENTS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715"/>
        </w:trPr>
        <w:tc>
          <w:tcPr>
            <w:tcW w:w="30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jc w:val="right"/>
              <w:ind w:right="950"/>
              <w:spacing w:after="0"/>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24"/>
                <w:szCs w:val="24"/>
                <w:color w:val="auto"/>
              </w:rPr>
            </w:pPr>
          </w:p>
        </w:tc>
      </w:tr>
      <w:tr>
        <w:trPr>
          <w:trHeight w:val="37"/>
        </w:trPr>
        <w:tc>
          <w:tcPr>
            <w:tcW w:w="3080" w:type="dxa"/>
            <w:vAlign w:val="bottom"/>
          </w:tcPr>
          <w:p>
            <w:pPr>
              <w:spacing w:after="0"/>
              <w:rPr>
                <w:sz w:val="3"/>
                <w:szCs w:val="3"/>
                <w:color w:val="auto"/>
              </w:rPr>
            </w:pPr>
          </w:p>
        </w:tc>
        <w:tc>
          <w:tcPr>
            <w:tcW w:w="6200" w:type="dxa"/>
            <w:vAlign w:val="bottom"/>
            <w:gridSpan w:val="2"/>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30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beginning of the year</w:t>
            </w:r>
          </w:p>
        </w:tc>
        <w:tc>
          <w:tcPr>
            <w:tcW w:w="56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CFF0FC"/>
            </w:tcBorders>
            <w:shd w:val="clear" w:color="auto" w:fill="CFF0FC"/>
          </w:tcPr>
          <w:p>
            <w:pPr>
              <w:jc w:val="right"/>
              <w:ind w:right="390"/>
              <w:spacing w:after="0" w:line="208" w:lineRule="exact"/>
              <w:rPr>
                <w:sz w:val="20"/>
                <w:szCs w:val="20"/>
                <w:color w:val="auto"/>
              </w:rPr>
            </w:pPr>
            <w:r>
              <w:rPr>
                <w:rFonts w:ascii="Calibri" w:cs="Calibri" w:eastAsia="Calibri" w:hAnsi="Calibri"/>
                <w:sz w:val="18"/>
                <w:szCs w:val="18"/>
                <w:color w:val="auto"/>
                <w:w w:val="87"/>
              </w:rPr>
              <w:t>$</w:t>
            </w:r>
          </w:p>
        </w:tc>
        <w:tc>
          <w:tcPr>
            <w:tcW w:w="18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3080" w:type="dxa"/>
            <w:vAlign w:val="bottom"/>
          </w:tcPr>
          <w:p>
            <w:pPr>
              <w:ind w:left="20"/>
              <w:spacing w:after="0" w:line="215" w:lineRule="exact"/>
              <w:rPr>
                <w:sz w:val="20"/>
                <w:szCs w:val="20"/>
                <w:color w:val="auto"/>
              </w:rPr>
            </w:pPr>
            <w:r>
              <w:rPr>
                <w:rFonts w:ascii="Calibri" w:cs="Calibri" w:eastAsia="Calibri" w:hAnsi="Calibri"/>
                <w:sz w:val="18"/>
                <w:szCs w:val="18"/>
                <w:color w:val="auto"/>
              </w:rPr>
              <w:t>Tax positons taken in the prior year</w:t>
            </w:r>
          </w:p>
        </w:tc>
        <w:tc>
          <w:tcPr>
            <w:tcW w:w="5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jc w:val="right"/>
              <w:spacing w:after="0" w:line="215" w:lineRule="exact"/>
              <w:rPr>
                <w:sz w:val="20"/>
                <w:szCs w:val="20"/>
                <w:color w:val="auto"/>
              </w:rPr>
            </w:pPr>
            <w:r>
              <w:rPr>
                <w:rFonts w:ascii="Calibri" w:cs="Calibri" w:eastAsia="Calibri" w:hAnsi="Calibri"/>
                <w:sz w:val="18"/>
                <w:szCs w:val="18"/>
                <w:color w:val="auto"/>
              </w:rPr>
              <w:t>7,500</w:t>
            </w:r>
          </w:p>
        </w:tc>
        <w:tc>
          <w:tcPr>
            <w:tcW w:w="100" w:type="dxa"/>
            <w:vAlign w:val="bottom"/>
          </w:tcPr>
          <w:p>
            <w:pPr>
              <w:spacing w:after="0"/>
              <w:rPr>
                <w:sz w:val="18"/>
                <w:szCs w:val="18"/>
                <w:color w:val="auto"/>
              </w:rPr>
            </w:pPr>
          </w:p>
        </w:tc>
      </w:tr>
      <w:tr>
        <w:trPr>
          <w:trHeight w:val="28"/>
        </w:trPr>
        <w:tc>
          <w:tcPr>
            <w:tcW w:w="3080" w:type="dxa"/>
            <w:vAlign w:val="bottom"/>
          </w:tcPr>
          <w:p>
            <w:pPr>
              <w:spacing w:after="0"/>
              <w:rPr>
                <w:sz w:val="2"/>
                <w:szCs w:val="2"/>
                <w:color w:val="auto"/>
              </w:rPr>
            </w:pPr>
          </w:p>
        </w:tc>
        <w:tc>
          <w:tcPr>
            <w:tcW w:w="620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308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Balance at end of the year</w:t>
            </w:r>
          </w:p>
        </w:tc>
        <w:tc>
          <w:tcPr>
            <w:tcW w:w="562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top w:val="single" w:sz="8" w:color="auto"/>
              <w:bottom w:val="single" w:sz="8" w:color="CFF0FC"/>
            </w:tcBorders>
            <w:shd w:val="clear" w:color="auto" w:fill="CFF0FC"/>
          </w:tcPr>
          <w:p>
            <w:pPr>
              <w:jc w:val="right"/>
              <w:ind w:right="390"/>
              <w:spacing w:after="0" w:line="213" w:lineRule="exact"/>
              <w:rPr>
                <w:sz w:val="20"/>
                <w:szCs w:val="20"/>
                <w:color w:val="auto"/>
              </w:rPr>
            </w:pPr>
            <w:r>
              <w:rPr>
                <w:rFonts w:ascii="Calibri" w:cs="Calibri" w:eastAsia="Calibri" w:hAnsi="Calibri"/>
                <w:sz w:val="18"/>
                <w:szCs w:val="18"/>
                <w:b w:val="1"/>
                <w:bCs w:val="1"/>
                <w:color w:val="auto"/>
                <w:w w:val="87"/>
              </w:rPr>
              <w:t>$</w:t>
            </w:r>
          </w:p>
        </w:tc>
        <w:tc>
          <w:tcPr>
            <w:tcW w:w="186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7,500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56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classifed interest and penaltes associated with income taxes in income tax expense (beneft) within the consolidated statements of operatons. We did not recognize any interest and penaltes during 2022. There was no liability recognized related to interest and penaltes as of December 31, 2022. The total amount of gross unrecognized tax benefts that, if recognized, would impact the efectve tax rate is $7.5 million as of December 31, 2022.</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routne audits by taxing jurisdictons. The periods subject to tax audits are 2018 through 2022. There are currently no audits for any tax periods in progress.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 Equity-Based Compensation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2021 Incentve Award Plan ("2021 Plan") was approved and adopted to facilitate the grant of equity incentve awards to our employees, directors and consultants. The 2021 Plan became efectve on October 18, 2021 upon closing of the Merger Transacton.</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RSUs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award RSUs to our employees, directors and consultants. RSUs vest generally over periods from one to three years from issuance. We account for forfeitures of outstanding, but unvested grants, in the period they occur.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60" w:type="dxa"/>
            <w:vAlign w:val="bottom"/>
            <w:gridSpan w:val="2"/>
          </w:tcPr>
          <w:p>
            <w:pPr>
              <w:spacing w:after="0"/>
              <w:rPr>
                <w:sz w:val="20"/>
                <w:szCs w:val="20"/>
                <w:color w:val="auto"/>
              </w:rPr>
            </w:pPr>
            <w:r>
              <w:rPr>
                <w:rFonts w:ascii="Calibri" w:cs="Calibri" w:eastAsia="Calibri" w:hAnsi="Calibri"/>
                <w:sz w:val="18"/>
                <w:szCs w:val="18"/>
                <w:color w:val="auto"/>
              </w:rPr>
              <w:t>A summary of actvity for RSUs is as follows (in thousands):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6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ind w:left="40"/>
              <w:spacing w:after="0"/>
              <w:rPr>
                <w:sz w:val="20"/>
                <w:szCs w:val="20"/>
                <w:color w:val="auto"/>
              </w:rPr>
            </w:pPr>
            <w:r>
              <w:rPr>
                <w:rFonts w:ascii="Calibri" w:cs="Calibri" w:eastAsia="Calibri" w:hAnsi="Calibri"/>
                <w:sz w:val="18"/>
                <w:szCs w:val="18"/>
                <w:b w:val="1"/>
                <w:bCs w:val="1"/>
                <w:color w:val="auto"/>
              </w:rPr>
              <w:t>Weighted-Average Grant</w:t>
            </w:r>
          </w:p>
        </w:tc>
        <w:tc>
          <w:tcPr>
            <w:tcW w:w="10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540" w:type="dxa"/>
            <w:vAlign w:val="bottom"/>
          </w:tcPr>
          <w:p>
            <w:pPr>
              <w:ind w:left="840"/>
              <w:spacing w:after="0" w:line="216" w:lineRule="exact"/>
              <w:rPr>
                <w:sz w:val="20"/>
                <w:szCs w:val="20"/>
                <w:color w:val="auto"/>
              </w:rPr>
            </w:pPr>
            <w:r>
              <w:rPr>
                <w:rFonts w:ascii="Calibri" w:cs="Calibri" w:eastAsia="Calibri" w:hAnsi="Calibri"/>
                <w:sz w:val="18"/>
                <w:szCs w:val="18"/>
                <w:b w:val="1"/>
                <w:bCs w:val="1"/>
                <w:color w:val="auto"/>
              </w:rPr>
              <w:t>Shares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ind w:left="40"/>
              <w:spacing w:after="0" w:line="216" w:lineRule="exact"/>
              <w:rPr>
                <w:sz w:val="20"/>
                <w:szCs w:val="20"/>
                <w:color w:val="auto"/>
              </w:rPr>
            </w:pPr>
            <w:r>
              <w:rPr>
                <w:rFonts w:ascii="Calibri" w:cs="Calibri" w:eastAsia="Calibri" w:hAnsi="Calibri"/>
                <w:sz w:val="18"/>
                <w:szCs w:val="18"/>
                <w:b w:val="1"/>
                <w:bCs w:val="1"/>
                <w:color w:val="auto"/>
              </w:rPr>
              <w:t>Date Fair Value Per Share</w:t>
            </w:r>
          </w:p>
        </w:tc>
        <w:tc>
          <w:tcPr>
            <w:tcW w:w="100" w:type="dxa"/>
            <w:vAlign w:val="bottom"/>
          </w:tcPr>
          <w:p>
            <w:pPr>
              <w:spacing w:after="0"/>
              <w:rPr>
                <w:sz w:val="18"/>
                <w:szCs w:val="18"/>
                <w:color w:val="auto"/>
              </w:rPr>
            </w:pPr>
          </w:p>
        </w:tc>
      </w:tr>
      <w:tr>
        <w:trPr>
          <w:trHeight w:val="37"/>
        </w:trPr>
        <w:tc>
          <w:tcPr>
            <w:tcW w:w="806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5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Unvested at December 31, 2021</w:t>
            </w:r>
          </w:p>
        </w:tc>
        <w:tc>
          <w:tcPr>
            <w:tcW w:w="1540" w:type="dxa"/>
            <w:vAlign w:val="bottom"/>
            <w:tcBorders>
              <w:top w:val="single" w:sz="8" w:color="auto"/>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1,378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20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0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Granted</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1,787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color w:val="auto"/>
              </w:rPr>
              <w:t>9.92</w:t>
            </w:r>
          </w:p>
        </w:tc>
        <w:tc>
          <w:tcPr>
            <w:tcW w:w="100" w:type="dxa"/>
            <w:vAlign w:val="bottom"/>
          </w:tcPr>
          <w:p>
            <w:pPr>
              <w:spacing w:after="0"/>
              <w:rPr>
                <w:sz w:val="18"/>
                <w:szCs w:val="18"/>
                <w:color w:val="auto"/>
              </w:rPr>
            </w:pPr>
          </w:p>
        </w:tc>
      </w:tr>
      <w:tr>
        <w:trPr>
          <w:trHeight w:val="28"/>
        </w:trPr>
        <w:tc>
          <w:tcPr>
            <w:tcW w:w="806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060" w:type="dxa"/>
            <w:vAlign w:val="bottom"/>
            <w:tcBorders>
              <w:bottom w:val="single" w:sz="8" w:color="CFF0FC"/>
            </w:tcBorders>
            <w:gridSpan w:val="2"/>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Forfeited</w:t>
            </w:r>
          </w:p>
        </w:tc>
        <w:tc>
          <w:tcPr>
            <w:tcW w:w="90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(290 )</w:t>
            </w:r>
          </w:p>
        </w:tc>
        <w:tc>
          <w:tcPr>
            <w:tcW w:w="140" w:type="dxa"/>
            <w:vAlign w:val="bottom"/>
            <w:tcBorders>
              <w:bottom w:val="single" w:sz="8" w:color="CFF0FC"/>
            </w:tcBorders>
            <w:shd w:val="clear" w:color="auto" w:fill="CFF0FC"/>
          </w:tcPr>
          <w:p>
            <w:pPr>
              <w:spacing w:after="0"/>
              <w:rPr>
                <w:sz w:val="19"/>
                <w:szCs w:val="19"/>
                <w:color w:val="auto"/>
              </w:rPr>
            </w:pPr>
          </w:p>
        </w:tc>
        <w:tc>
          <w:tcPr>
            <w:tcW w:w="2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80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Vested</w:t>
            </w:r>
          </w:p>
        </w:tc>
        <w:tc>
          <w:tcPr>
            <w:tcW w:w="9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(324 )</w:t>
            </w: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Calibri" w:cs="Calibri" w:eastAsia="Calibri" w:hAnsi="Calibri"/>
                <w:sz w:val="18"/>
                <w:szCs w:val="18"/>
                <w:color w:val="auto"/>
              </w:rPr>
              <w:t>12.86</w:t>
            </w:r>
          </w:p>
        </w:tc>
        <w:tc>
          <w:tcPr>
            <w:tcW w:w="100" w:type="dxa"/>
            <w:vAlign w:val="bottom"/>
          </w:tcPr>
          <w:p>
            <w:pPr>
              <w:spacing w:after="0"/>
              <w:rPr>
                <w:sz w:val="19"/>
                <w:szCs w:val="19"/>
                <w:color w:val="auto"/>
              </w:rPr>
            </w:pPr>
          </w:p>
        </w:tc>
      </w:tr>
      <w:tr>
        <w:trPr>
          <w:trHeight w:val="23"/>
        </w:trPr>
        <w:tc>
          <w:tcPr>
            <w:tcW w:w="65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6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Unvested at December 31, 2022</w:t>
            </w:r>
          </w:p>
        </w:tc>
        <w:tc>
          <w:tcPr>
            <w:tcW w:w="154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2,551</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b w:val="1"/>
                <w:bCs w:val="1"/>
                <w:color w:val="auto"/>
                <w:w w:val="87"/>
              </w:rPr>
              <w:t>$</w:t>
            </w:r>
          </w:p>
        </w:tc>
        <w:tc>
          <w:tcPr>
            <w:tcW w:w="20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b w:val="1"/>
                <w:bCs w:val="1"/>
                <w:color w:val="auto"/>
              </w:rPr>
              <w:t>10.99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optons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October 19, 2021, we granted 3.1 million stock optons at an exercise price of $13.09 and 1.0 million stock optons at an exercise price of $15.00 to certain employees. The fair value of stock optons granted during 2021 is estmated on the grant date using the Hull-White model. On March 11 ,2022, we granted 2.6 million stock optons at an exercise price of $10.26 and grant fair value of $3.99 per opton, and on November 11, 2022, we granted 0.1 million stock optons at an exercise price of $8.22 and grant fair value of $3.66, to certain employees. The fair value of stock optons granted during 2022 is estmated on the grant date using the Black-Scholes model.</w:t>
      </w:r>
    </w:p>
    <w:p>
      <w:pPr>
        <w:spacing w:after="0" w:line="15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Stock optons provide for the purchase of shares of our Class A common stock in the future at an exercise price set on the grant date. These stock optons vest over three years, with one-third vestng upon the one-year anniversary of the grant date and the remaining porton vestng on a quarterly basis thereafer. The stock optons have a contractual term of ten years from the date of the grant, subject to the employee’s contnued service through the applicable vestng date.</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assumptons were used to calculate the fair value of our stock awards:</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9" w:name="page100"/>
    <w:bookmarkEnd w:id="99"/>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80" w:type="dxa"/>
            <w:vAlign w:val="bottom"/>
            <w:gridSpan w:val="5"/>
          </w:tcPr>
          <w:p>
            <w:pPr>
              <w:jc w:val="right"/>
              <w:ind w:right="270"/>
              <w:spacing w:after="0"/>
              <w:rPr>
                <w:sz w:val="20"/>
                <w:szCs w:val="20"/>
                <w:color w:val="auto"/>
              </w:rPr>
            </w:pPr>
            <w:r>
              <w:rPr>
                <w:rFonts w:ascii="Calibri" w:cs="Calibri" w:eastAsia="Calibri" w:hAnsi="Calibri"/>
                <w:sz w:val="18"/>
                <w:szCs w:val="18"/>
                <w:b w:val="1"/>
                <w:bCs w:val="1"/>
                <w:color w:val="auto"/>
              </w:rPr>
              <w:t>November 11, 2022</w:t>
            </w:r>
          </w:p>
        </w:tc>
        <w:tc>
          <w:tcPr>
            <w:tcW w:w="60" w:type="dxa"/>
            <w:vAlign w:val="bottom"/>
          </w:tcPr>
          <w:p>
            <w:pPr>
              <w:spacing w:after="0"/>
              <w:rPr>
                <w:sz w:val="19"/>
                <w:szCs w:val="19"/>
                <w:color w:val="auto"/>
              </w:rPr>
            </w:pPr>
          </w:p>
        </w:tc>
        <w:tc>
          <w:tcPr>
            <w:tcW w:w="2060" w:type="dxa"/>
            <w:vAlign w:val="bottom"/>
            <w:gridSpan w:val="5"/>
          </w:tcPr>
          <w:p>
            <w:pPr>
              <w:jc w:val="right"/>
              <w:ind w:right="600"/>
              <w:spacing w:after="0"/>
              <w:rPr>
                <w:sz w:val="20"/>
                <w:szCs w:val="20"/>
                <w:color w:val="auto"/>
              </w:rPr>
            </w:pPr>
            <w:r>
              <w:rPr>
                <w:rFonts w:ascii="Calibri" w:cs="Calibri" w:eastAsia="Calibri" w:hAnsi="Calibri"/>
                <w:sz w:val="18"/>
                <w:szCs w:val="18"/>
                <w:b w:val="1"/>
                <w:bCs w:val="1"/>
                <w:color w:val="auto"/>
              </w:rPr>
              <w:t>March 11, 2022</w:t>
            </w:r>
          </w:p>
        </w:tc>
        <w:tc>
          <w:tcPr>
            <w:tcW w:w="220" w:type="dxa"/>
            <w:vAlign w:val="bottom"/>
          </w:tcPr>
          <w:p>
            <w:pPr>
              <w:spacing w:after="0"/>
              <w:rPr>
                <w:sz w:val="19"/>
                <w:szCs w:val="19"/>
                <w:color w:val="auto"/>
              </w:rPr>
            </w:pPr>
          </w:p>
        </w:tc>
        <w:tc>
          <w:tcPr>
            <w:tcW w:w="1680" w:type="dxa"/>
            <w:vAlign w:val="bottom"/>
            <w:gridSpan w:val="4"/>
          </w:tcPr>
          <w:p>
            <w:pPr>
              <w:spacing w:after="0"/>
              <w:rPr>
                <w:sz w:val="20"/>
                <w:szCs w:val="20"/>
                <w:color w:val="auto"/>
              </w:rPr>
            </w:pPr>
            <w:r>
              <w:rPr>
                <w:rFonts w:ascii="Calibri" w:cs="Calibri" w:eastAsia="Calibri" w:hAnsi="Calibri"/>
                <w:sz w:val="18"/>
                <w:szCs w:val="18"/>
                <w:b w:val="1"/>
                <w:bCs w:val="1"/>
                <w:color w:val="auto"/>
              </w:rPr>
              <w:t>October 19, 2021</w:t>
            </w:r>
          </w:p>
        </w:tc>
      </w:tr>
      <w:tr>
        <w:trPr>
          <w:trHeight w:val="37"/>
        </w:trPr>
        <w:tc>
          <w:tcPr>
            <w:tcW w:w="444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08"/>
        </w:trPr>
        <w:tc>
          <w:tcPr>
            <w:tcW w:w="5280" w:type="dxa"/>
            <w:vAlign w:val="bottom"/>
            <w:gridSpan w:val="2"/>
          </w:tcPr>
          <w:p>
            <w:pPr>
              <w:ind w:left="20"/>
              <w:spacing w:after="0" w:line="199" w:lineRule="exact"/>
              <w:rPr>
                <w:sz w:val="20"/>
                <w:szCs w:val="20"/>
                <w:color w:val="auto"/>
              </w:rPr>
            </w:pPr>
            <w:r>
              <w:rPr>
                <w:rFonts w:ascii="Calibri" w:cs="Calibri" w:eastAsia="Calibri" w:hAnsi="Calibri"/>
                <w:sz w:val="18"/>
                <w:szCs w:val="18"/>
                <w:color w:val="auto"/>
              </w:rPr>
              <w:t>Estmated volatlity</w:t>
            </w: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40.0</w:t>
            </w:r>
          </w:p>
        </w:tc>
        <w:tc>
          <w:tcPr>
            <w:tcW w:w="160" w:type="dxa"/>
            <w:vAlign w:val="bottom"/>
          </w:tcPr>
          <w:p>
            <w:pPr>
              <w:jc w:val="right"/>
              <w:spacing w:after="0" w:line="199" w:lineRule="exact"/>
              <w:rPr>
                <w:sz w:val="20"/>
                <w:szCs w:val="20"/>
                <w:color w:val="auto"/>
              </w:rPr>
            </w:pPr>
            <w:r>
              <w:rPr>
                <w:rFonts w:ascii="Calibri" w:cs="Calibri" w:eastAsia="Calibri" w:hAnsi="Calibri"/>
                <w:sz w:val="18"/>
                <w:szCs w:val="18"/>
                <w:color w:val="auto"/>
                <w:w w:val="92"/>
              </w:rPr>
              <w:t>%</w:t>
            </w: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37.5</w:t>
            </w:r>
          </w:p>
        </w:tc>
        <w:tc>
          <w:tcPr>
            <w:tcW w:w="220" w:type="dxa"/>
            <w:vAlign w:val="bottom"/>
          </w:tcPr>
          <w:p>
            <w:pPr>
              <w:jc w:val="right"/>
              <w:spacing w:after="0" w:line="199" w:lineRule="exact"/>
              <w:rPr>
                <w:sz w:val="20"/>
                <w:szCs w:val="20"/>
                <w:color w:val="auto"/>
              </w:rPr>
            </w:pPr>
            <w:r>
              <w:rPr>
                <w:rFonts w:ascii="Calibri" w:cs="Calibri" w:eastAsia="Calibri" w:hAnsi="Calibri"/>
                <w:sz w:val="18"/>
                <w:szCs w:val="18"/>
                <w:color w:val="auto"/>
                <w:w w:val="92"/>
              </w:rPr>
              <w:t>%</w:t>
            </w: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28.0</w:t>
            </w:r>
          </w:p>
        </w:tc>
        <w:tc>
          <w:tcPr>
            <w:tcW w:w="140" w:type="dxa"/>
            <w:vAlign w:val="bottom"/>
            <w:gridSpan w:val="2"/>
          </w:tcPr>
          <w:p>
            <w:pPr>
              <w:jc w:val="right"/>
              <w:spacing w:after="0" w:line="199" w:lineRule="exact"/>
              <w:rPr>
                <w:sz w:val="20"/>
                <w:szCs w:val="20"/>
                <w:color w:val="auto"/>
              </w:rPr>
            </w:pPr>
            <w:r>
              <w:rPr>
                <w:rFonts w:ascii="Calibri" w:cs="Calibri" w:eastAsia="Calibri" w:hAnsi="Calibri"/>
                <w:sz w:val="18"/>
                <w:szCs w:val="18"/>
                <w:color w:val="auto"/>
                <w:w w:val="92"/>
              </w:rPr>
              <w:t>%</w:t>
            </w:r>
          </w:p>
        </w:tc>
      </w:tr>
      <w:tr>
        <w:trPr>
          <w:trHeight w:val="28"/>
        </w:trPr>
        <w:tc>
          <w:tcPr>
            <w:tcW w:w="44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5640" w:type="dxa"/>
            <w:vAlign w:val="bottom"/>
            <w:tcBorders>
              <w:bottom w:val="single" w:sz="8" w:color="CFF0FC"/>
            </w:tcBorders>
            <w:gridSpan w:val="3"/>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Expected term (years)</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w:t>
            </w:r>
          </w:p>
        </w:tc>
        <w:tc>
          <w:tcPr>
            <w:tcW w:w="1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564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Risk-free rate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3.9 %</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2.0 %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1.7 %</w:t>
            </w:r>
          </w:p>
        </w:tc>
      </w:tr>
      <w:tr>
        <w:trPr>
          <w:trHeight w:val="234"/>
        </w:trPr>
        <w:tc>
          <w:tcPr>
            <w:tcW w:w="5640" w:type="dxa"/>
            <w:vAlign w:val="bottom"/>
            <w:gridSpan w:val="3"/>
          </w:tcPr>
          <w:p>
            <w:pPr>
              <w:ind w:left="20"/>
              <w:spacing w:after="0"/>
              <w:rPr>
                <w:sz w:val="20"/>
                <w:szCs w:val="20"/>
                <w:color w:val="auto"/>
              </w:rPr>
            </w:pPr>
            <w:r>
              <w:rPr>
                <w:rFonts w:ascii="Calibri" w:cs="Calibri" w:eastAsia="Calibri" w:hAnsi="Calibri"/>
                <w:sz w:val="18"/>
                <w:szCs w:val="18"/>
                <w:color w:val="auto"/>
              </w:rPr>
              <w:t>Expected dividend yield</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Calibri" w:cs="Calibri" w:eastAsia="Calibri" w:hAnsi="Calibri"/>
                <w:sz w:val="18"/>
                <w:szCs w:val="18"/>
                <w:color w:val="auto"/>
              </w:rPr>
              <w:t>0.0 %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Calibri" w:cs="Calibri" w:eastAsia="Calibri" w:hAnsi="Calibri"/>
                <w:sz w:val="18"/>
                <w:szCs w:val="18"/>
                <w:color w:val="auto"/>
              </w:rPr>
              <w:t>0.0 %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Calibri" w:cs="Calibri" w:eastAsia="Calibri" w:hAnsi="Calibri"/>
                <w:sz w:val="18"/>
                <w:szCs w:val="18"/>
                <w:color w:val="auto"/>
              </w:rPr>
              <w:t>0.0 %</w:t>
            </w:r>
          </w:p>
        </w:tc>
      </w:tr>
      <w:tr>
        <w:trPr>
          <w:trHeight w:val="378"/>
        </w:trPr>
        <w:tc>
          <w:tcPr>
            <w:tcW w:w="5640" w:type="dxa"/>
            <w:vAlign w:val="bottom"/>
            <w:gridSpan w:val="3"/>
          </w:tcPr>
          <w:p>
            <w:pPr>
              <w:spacing w:after="0"/>
              <w:rPr>
                <w:sz w:val="20"/>
                <w:szCs w:val="20"/>
                <w:color w:val="auto"/>
              </w:rPr>
            </w:pPr>
            <w:r>
              <w:rPr>
                <w:rFonts w:ascii="Calibri" w:cs="Calibri" w:eastAsia="Calibri" w:hAnsi="Calibri"/>
                <w:sz w:val="18"/>
                <w:szCs w:val="18"/>
                <w:color w:val="auto"/>
              </w:rPr>
              <w:t>A summary of actvity for stock optons is as follows (in thousands):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4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center"/>
              <w:ind w:right="40"/>
              <w:spacing w:after="0"/>
              <w:rPr>
                <w:sz w:val="20"/>
                <w:szCs w:val="20"/>
                <w:color w:val="auto"/>
              </w:rPr>
            </w:pPr>
            <w:r>
              <w:rPr>
                <w:rFonts w:ascii="Calibri" w:cs="Calibri" w:eastAsia="Calibri" w:hAnsi="Calibri"/>
                <w:sz w:val="18"/>
                <w:szCs w:val="18"/>
                <w:b w:val="1"/>
                <w:bCs w:val="1"/>
                <w:color w:val="auto"/>
                <w:w w:val="95"/>
              </w:rPr>
              <w:t>Weighted Average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spacing w:after="0" w:line="216" w:lineRule="exact"/>
              <w:rPr>
                <w:sz w:val="20"/>
                <w:szCs w:val="20"/>
                <w:color w:val="auto"/>
              </w:rPr>
            </w:pPr>
            <w:r>
              <w:rPr>
                <w:rFonts w:ascii="Calibri" w:cs="Calibri" w:eastAsia="Calibri" w:hAnsi="Calibri"/>
                <w:sz w:val="18"/>
                <w:szCs w:val="18"/>
                <w:b w:val="1"/>
                <w:bCs w:val="1"/>
                <w:color w:val="auto"/>
                <w:w w:val="95"/>
              </w:rPr>
              <w:t>Weighted Average</w:t>
            </w:r>
          </w:p>
        </w:tc>
        <w:tc>
          <w:tcPr>
            <w:tcW w:w="220" w:type="dxa"/>
            <w:vAlign w:val="bottom"/>
          </w:tcPr>
          <w:p>
            <w:pPr>
              <w:spacing w:after="0"/>
              <w:rPr>
                <w:sz w:val="18"/>
                <w:szCs w:val="18"/>
                <w:color w:val="auto"/>
              </w:rPr>
            </w:pPr>
          </w:p>
        </w:tc>
        <w:tc>
          <w:tcPr>
            <w:tcW w:w="1480" w:type="dxa"/>
            <w:vAlign w:val="bottom"/>
            <w:gridSpan w:val="3"/>
          </w:tcPr>
          <w:p>
            <w:pPr>
              <w:jc w:val="center"/>
              <w:ind w:right="40"/>
              <w:spacing w:after="0" w:line="216" w:lineRule="exact"/>
              <w:rPr>
                <w:sz w:val="20"/>
                <w:szCs w:val="20"/>
                <w:color w:val="auto"/>
              </w:rPr>
            </w:pPr>
            <w:r>
              <w:rPr>
                <w:rFonts w:ascii="Calibri" w:cs="Calibri" w:eastAsia="Calibri" w:hAnsi="Calibri"/>
                <w:sz w:val="18"/>
                <w:szCs w:val="18"/>
                <w:b w:val="1"/>
                <w:bCs w:val="1"/>
                <w:color w:val="auto"/>
                <w:w w:val="95"/>
              </w:rPr>
              <w:t>Remaining</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1200" w:type="dxa"/>
            <w:vAlign w:val="bottom"/>
            <w:gridSpan w:val="2"/>
          </w:tcPr>
          <w:p>
            <w:pPr>
              <w:jc w:val="center"/>
              <w:ind w:left="170"/>
              <w:spacing w:after="0" w:line="216" w:lineRule="exact"/>
              <w:rPr>
                <w:sz w:val="20"/>
                <w:szCs w:val="20"/>
                <w:color w:val="auto"/>
              </w:rPr>
            </w:pPr>
            <w:r>
              <w:rPr>
                <w:rFonts w:ascii="Calibri" w:cs="Calibri" w:eastAsia="Calibri" w:hAnsi="Calibri"/>
                <w:sz w:val="18"/>
                <w:szCs w:val="18"/>
                <w:b w:val="1"/>
                <w:bCs w:val="1"/>
                <w:color w:val="auto"/>
                <w:w w:val="97"/>
              </w:rPr>
              <w:t>Outstanding</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spacing w:after="0" w:line="216" w:lineRule="exact"/>
              <w:rPr>
                <w:sz w:val="20"/>
                <w:szCs w:val="20"/>
                <w:color w:val="auto"/>
              </w:rPr>
            </w:pPr>
            <w:r>
              <w:rPr>
                <w:rFonts w:ascii="Calibri" w:cs="Calibri" w:eastAsia="Calibri" w:hAnsi="Calibri"/>
                <w:sz w:val="18"/>
                <w:szCs w:val="18"/>
                <w:b w:val="1"/>
                <w:bCs w:val="1"/>
                <w:color w:val="auto"/>
                <w:w w:val="96"/>
              </w:rPr>
              <w:t>Exercise Price Per</w:t>
            </w:r>
          </w:p>
        </w:tc>
        <w:tc>
          <w:tcPr>
            <w:tcW w:w="220" w:type="dxa"/>
            <w:vAlign w:val="bottom"/>
          </w:tcPr>
          <w:p>
            <w:pPr>
              <w:spacing w:after="0"/>
              <w:rPr>
                <w:sz w:val="18"/>
                <w:szCs w:val="18"/>
                <w:color w:val="auto"/>
              </w:rPr>
            </w:pPr>
          </w:p>
        </w:tc>
        <w:tc>
          <w:tcPr>
            <w:tcW w:w="1480" w:type="dxa"/>
            <w:vAlign w:val="bottom"/>
            <w:gridSpan w:val="3"/>
          </w:tcPr>
          <w:p>
            <w:pPr>
              <w:jc w:val="center"/>
              <w:ind w:right="20"/>
              <w:spacing w:after="0" w:line="216" w:lineRule="exact"/>
              <w:rPr>
                <w:sz w:val="20"/>
                <w:szCs w:val="20"/>
                <w:color w:val="auto"/>
              </w:rPr>
            </w:pPr>
            <w:r>
              <w:rPr>
                <w:rFonts w:ascii="Calibri" w:cs="Calibri" w:eastAsia="Calibri" w:hAnsi="Calibri"/>
                <w:sz w:val="18"/>
                <w:szCs w:val="18"/>
                <w:b w:val="1"/>
                <w:bCs w:val="1"/>
                <w:color w:val="auto"/>
                <w:w w:val="97"/>
              </w:rPr>
              <w:t>Contractual Life (in</w:t>
            </w:r>
          </w:p>
        </w:tc>
        <w:tc>
          <w:tcPr>
            <w:tcW w:w="220" w:type="dxa"/>
            <w:vAlign w:val="bottom"/>
          </w:tcPr>
          <w:p>
            <w:pPr>
              <w:spacing w:after="0"/>
              <w:rPr>
                <w:sz w:val="18"/>
                <w:szCs w:val="18"/>
                <w:color w:val="auto"/>
              </w:rPr>
            </w:pPr>
          </w:p>
        </w:tc>
        <w:tc>
          <w:tcPr>
            <w:tcW w:w="1680" w:type="dxa"/>
            <w:vAlign w:val="bottom"/>
            <w:gridSpan w:val="4"/>
          </w:tcPr>
          <w:p>
            <w:pPr>
              <w:jc w:val="right"/>
              <w:ind w:right="260"/>
              <w:spacing w:after="0" w:line="216" w:lineRule="exact"/>
              <w:rPr>
                <w:sz w:val="20"/>
                <w:szCs w:val="20"/>
                <w:color w:val="auto"/>
              </w:rPr>
            </w:pPr>
            <w:r>
              <w:rPr>
                <w:rFonts w:ascii="Calibri" w:cs="Calibri" w:eastAsia="Calibri" w:hAnsi="Calibri"/>
                <w:sz w:val="18"/>
                <w:szCs w:val="18"/>
                <w:b w:val="1"/>
                <w:bCs w:val="1"/>
                <w:color w:val="auto"/>
                <w:w w:val="99"/>
              </w:rPr>
              <w:t>Aggregate Intrinsic</w:t>
            </w:r>
          </w:p>
        </w:tc>
      </w:tr>
      <w:tr>
        <w:trPr>
          <w:trHeight w:val="216"/>
        </w:trPr>
        <w:tc>
          <w:tcPr>
            <w:tcW w:w="4440" w:type="dxa"/>
            <w:vAlign w:val="bottom"/>
          </w:tcPr>
          <w:p>
            <w:pPr>
              <w:spacing w:after="0"/>
              <w:rPr>
                <w:sz w:val="18"/>
                <w:szCs w:val="18"/>
                <w:color w:val="auto"/>
              </w:rPr>
            </w:pPr>
          </w:p>
        </w:tc>
        <w:tc>
          <w:tcPr>
            <w:tcW w:w="1200" w:type="dxa"/>
            <w:vAlign w:val="bottom"/>
            <w:gridSpan w:val="2"/>
          </w:tcPr>
          <w:p>
            <w:pPr>
              <w:jc w:val="center"/>
              <w:ind w:left="210"/>
              <w:spacing w:after="0" w:line="216" w:lineRule="exact"/>
              <w:rPr>
                <w:sz w:val="20"/>
                <w:szCs w:val="20"/>
                <w:color w:val="auto"/>
              </w:rPr>
            </w:pPr>
            <w:r>
              <w:rPr>
                <w:rFonts w:ascii="Calibri" w:cs="Calibri" w:eastAsia="Calibri" w:hAnsi="Calibri"/>
                <w:sz w:val="18"/>
                <w:szCs w:val="18"/>
                <w:b w:val="1"/>
                <w:bCs w:val="1"/>
                <w:color w:val="auto"/>
              </w:rPr>
              <w:t>Optons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left="330"/>
              <w:spacing w:after="0" w:line="216" w:lineRule="exact"/>
              <w:rPr>
                <w:sz w:val="20"/>
                <w:szCs w:val="20"/>
                <w:color w:val="auto"/>
              </w:rPr>
            </w:pPr>
            <w:r>
              <w:rPr>
                <w:rFonts w:ascii="Calibri" w:cs="Calibri" w:eastAsia="Calibri" w:hAnsi="Calibri"/>
                <w:sz w:val="18"/>
                <w:szCs w:val="18"/>
                <w:b w:val="1"/>
                <w:bCs w:val="1"/>
                <w:color w:val="auto"/>
              </w:rPr>
              <w:t>Opton</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spacing w:after="0" w:line="216" w:lineRule="exact"/>
              <w:rPr>
                <w:sz w:val="20"/>
                <w:szCs w:val="20"/>
                <w:color w:val="auto"/>
              </w:rPr>
            </w:pPr>
            <w:r>
              <w:rPr>
                <w:rFonts w:ascii="Calibri" w:cs="Calibri" w:eastAsia="Calibri" w:hAnsi="Calibri"/>
                <w:sz w:val="18"/>
                <w:szCs w:val="18"/>
                <w:b w:val="1"/>
                <w:bCs w:val="1"/>
                <w:color w:val="auto"/>
                <w:w w:val="94"/>
              </w:rPr>
              <w:t>Years)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jc w:val="right"/>
              <w:ind w:right="720"/>
              <w:spacing w:after="0" w:line="216" w:lineRule="exact"/>
              <w:rPr>
                <w:sz w:val="20"/>
                <w:szCs w:val="20"/>
                <w:color w:val="auto"/>
              </w:rPr>
            </w:pPr>
            <w:r>
              <w:rPr>
                <w:rFonts w:ascii="Calibri" w:cs="Calibri" w:eastAsia="Calibri" w:hAnsi="Calibri"/>
                <w:sz w:val="18"/>
                <w:szCs w:val="18"/>
                <w:b w:val="1"/>
                <w:bCs w:val="1"/>
                <w:color w:val="auto"/>
              </w:rPr>
              <w:t>Value</w:t>
            </w:r>
          </w:p>
        </w:tc>
      </w:tr>
      <w:tr>
        <w:trPr>
          <w:trHeight w:val="37"/>
        </w:trPr>
        <w:tc>
          <w:tcPr>
            <w:tcW w:w="5640" w:type="dxa"/>
            <w:vAlign w:val="bottom"/>
            <w:gridSpan w:val="3"/>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17"/>
        </w:trPr>
        <w:tc>
          <w:tcPr>
            <w:tcW w:w="44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Outstanding at December 31, 2021</w:t>
            </w:r>
          </w:p>
        </w:tc>
        <w:tc>
          <w:tcPr>
            <w:tcW w:w="1200" w:type="dxa"/>
            <w:vAlign w:val="bottom"/>
            <w:tcBorders>
              <w:top w:val="single" w:sz="8" w:color="auto"/>
              <w:bottom w:val="single" w:sz="8" w:color="CFF0FC"/>
            </w:tcBorders>
            <w:gridSpan w:val="2"/>
            <w:shd w:val="clear" w:color="auto" w:fill="CFF0FC"/>
          </w:tcPr>
          <w:p>
            <w:pPr>
              <w:spacing w:after="0"/>
              <w:rPr>
                <w:sz w:val="18"/>
                <w:szCs w:val="18"/>
                <w:color w:val="auto"/>
              </w:rPr>
            </w:pPr>
          </w:p>
        </w:tc>
        <w:tc>
          <w:tcPr>
            <w:tcW w:w="3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4.1</w:t>
            </w: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jc w:val="right"/>
              <w:ind w:right="730"/>
              <w:spacing w:after="0" w:line="208" w:lineRule="exact"/>
              <w:rPr>
                <w:sz w:val="20"/>
                <w:szCs w:val="20"/>
                <w:color w:val="auto"/>
              </w:rPr>
            </w:pPr>
            <w:r>
              <w:rPr>
                <w:rFonts w:ascii="Calibri" w:cs="Calibri" w:eastAsia="Calibri" w:hAnsi="Calibri"/>
                <w:sz w:val="18"/>
                <w:szCs w:val="18"/>
                <w:color w:val="auto"/>
                <w:w w:val="87"/>
              </w:rPr>
              <w:t>$</w:t>
            </w: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7"/>
              </w:rPr>
              <w:t>13.39</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640" w:type="dxa"/>
            <w:vAlign w:val="bottom"/>
            <w:gridSpan w:val="3"/>
          </w:tcPr>
          <w:p>
            <w:pPr>
              <w:ind w:left="120"/>
              <w:spacing w:after="0" w:line="215" w:lineRule="exact"/>
              <w:rPr>
                <w:sz w:val="20"/>
                <w:szCs w:val="20"/>
                <w:color w:val="auto"/>
              </w:rPr>
            </w:pPr>
            <w:r>
              <w:rPr>
                <w:rFonts w:ascii="Calibri" w:cs="Calibri" w:eastAsia="Calibri" w:hAnsi="Calibri"/>
                <w:sz w:val="18"/>
                <w:szCs w:val="18"/>
                <w:color w:val="auto"/>
              </w:rPr>
              <w:t>Granted</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2.7</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w w:val="97"/>
              </w:rPr>
              <w:t>10.17</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5640" w:type="dxa"/>
            <w:vAlign w:val="bottom"/>
            <w:gridSpan w:val="3"/>
          </w:tcPr>
          <w:p>
            <w:pPr>
              <w:spacing w:after="0"/>
              <w:rPr>
                <w:sz w:val="2"/>
                <w:szCs w:val="2"/>
                <w:color w:val="auto"/>
              </w:rPr>
            </w:pPr>
          </w:p>
        </w:tc>
        <w:tc>
          <w:tcPr>
            <w:tcW w:w="5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5640" w:type="dxa"/>
            <w:vAlign w:val="bottom"/>
            <w:tcBorders>
              <w:bottom w:val="single" w:sz="8" w:color="CFF0FC"/>
            </w:tcBorders>
            <w:gridSpan w:val="3"/>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Forfeited</w:t>
            </w:r>
          </w:p>
        </w:tc>
        <w:tc>
          <w:tcPr>
            <w:tcW w:w="54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w w:val="89"/>
              </w:rPr>
              <w:t>(0.6 )</w:t>
            </w: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12.03</w:t>
            </w:r>
          </w:p>
        </w:tc>
        <w:tc>
          <w:tcPr>
            <w:tcW w:w="2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5640" w:type="dxa"/>
            <w:vAlign w:val="bottom"/>
            <w:gridSpan w:val="3"/>
          </w:tcPr>
          <w:p>
            <w:pPr>
              <w:ind w:left="120"/>
              <w:spacing w:after="0" w:line="215" w:lineRule="exact"/>
              <w:rPr>
                <w:sz w:val="20"/>
                <w:szCs w:val="20"/>
                <w:color w:val="auto"/>
              </w:rPr>
            </w:pPr>
            <w:r>
              <w:rPr>
                <w:rFonts w:ascii="Calibri" w:cs="Calibri" w:eastAsia="Calibri" w:hAnsi="Calibri"/>
                <w:sz w:val="18"/>
                <w:szCs w:val="18"/>
                <w:color w:val="auto"/>
              </w:rPr>
              <w:t>Expired</w:t>
            </w:r>
          </w:p>
        </w:tc>
        <w:tc>
          <w:tcPr>
            <w:tcW w:w="5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w w:val="89"/>
              </w:rPr>
              <w:t>(0.1 )</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Calibri" w:cs="Calibri" w:eastAsia="Calibri" w:hAnsi="Calibri"/>
                <w:sz w:val="18"/>
                <w:szCs w:val="18"/>
                <w:color w:val="auto"/>
                <w:w w:val="97"/>
              </w:rPr>
              <w:t>13.39</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
        </w:trPr>
        <w:tc>
          <w:tcPr>
            <w:tcW w:w="564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700" w:type="dxa"/>
            <w:vAlign w:val="bottom"/>
            <w:gridSpan w:val="4"/>
          </w:tcPr>
          <w:p>
            <w:pPr>
              <w:spacing w:after="0"/>
              <w:rPr>
                <w:sz w:val="2"/>
                <w:szCs w:val="2"/>
                <w:color w:val="auto"/>
              </w:rPr>
            </w:pPr>
          </w:p>
        </w:tc>
        <w:tc>
          <w:tcPr>
            <w:tcW w:w="540" w:type="dxa"/>
            <w:vAlign w:val="bottom"/>
            <w:gridSpan w:val="2"/>
          </w:tcPr>
          <w:p>
            <w:pPr>
              <w:spacing w:after="0"/>
              <w:rPr>
                <w:sz w:val="2"/>
                <w:szCs w:val="2"/>
                <w:color w:val="auto"/>
              </w:rPr>
            </w:pPr>
          </w:p>
        </w:tc>
        <w:tc>
          <w:tcPr>
            <w:tcW w:w="1360" w:type="dxa"/>
            <w:vAlign w:val="bottom"/>
            <w:gridSpan w:val="3"/>
          </w:tcPr>
          <w:p>
            <w:pPr>
              <w:spacing w:after="0"/>
              <w:rPr>
                <w:sz w:val="2"/>
                <w:szCs w:val="2"/>
                <w:color w:val="auto"/>
              </w:rPr>
            </w:pPr>
          </w:p>
        </w:tc>
      </w:tr>
      <w:tr>
        <w:trPr>
          <w:trHeight w:val="242"/>
        </w:trPr>
        <w:tc>
          <w:tcPr>
            <w:tcW w:w="444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Outstanding at December 31, 2022</w:t>
            </w:r>
          </w:p>
        </w:tc>
        <w:tc>
          <w:tcPr>
            <w:tcW w:w="1200" w:type="dxa"/>
            <w:vAlign w:val="bottom"/>
            <w:tcBorders>
              <w:top w:val="single" w:sz="8" w:color="auto"/>
              <w:bottom w:val="single" w:sz="8" w:color="CFF0FC"/>
            </w:tcBorders>
            <w:gridSpan w:val="2"/>
            <w:shd w:val="clear" w:color="auto" w:fill="CFF0FC"/>
          </w:tcPr>
          <w:p>
            <w:pPr>
              <w:spacing w:after="0"/>
              <w:rPr>
                <w:sz w:val="20"/>
                <w:szCs w:val="20"/>
                <w:color w:val="auto"/>
              </w:rPr>
            </w:pPr>
          </w:p>
        </w:tc>
        <w:tc>
          <w:tcPr>
            <w:tcW w:w="30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6.1</w:t>
            </w:r>
          </w:p>
        </w:tc>
        <w:tc>
          <w:tcPr>
            <w:tcW w:w="2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ind w:right="730"/>
              <w:spacing w:after="0" w:line="213" w:lineRule="exact"/>
              <w:rPr>
                <w:sz w:val="20"/>
                <w:szCs w:val="20"/>
                <w:color w:val="auto"/>
              </w:rPr>
            </w:pPr>
            <w:r>
              <w:rPr>
                <w:rFonts w:ascii="Calibri" w:cs="Calibri" w:eastAsia="Calibri" w:hAnsi="Calibri"/>
                <w:sz w:val="18"/>
                <w:szCs w:val="18"/>
                <w:b w:val="1"/>
                <w:bCs w:val="1"/>
                <w:color w:val="auto"/>
                <w:w w:val="87"/>
              </w:rPr>
              <w:t>$</w:t>
            </w: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gridSpan w:val="2"/>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w w:val="96"/>
              </w:rPr>
              <w:t>12.09</w:t>
            </w:r>
          </w:p>
        </w:tc>
        <w:tc>
          <w:tcPr>
            <w:tcW w:w="1700" w:type="dxa"/>
            <w:vAlign w:val="bottom"/>
            <w:tcBorders>
              <w:bottom w:val="single" w:sz="8" w:color="CFF0FC"/>
            </w:tcBorders>
            <w:gridSpan w:val="4"/>
            <w:shd w:val="clear" w:color="auto" w:fill="CFF0FC"/>
          </w:tcPr>
          <w:p>
            <w:pPr>
              <w:jc w:val="right"/>
              <w:ind w:right="20"/>
              <w:spacing w:after="0" w:line="213" w:lineRule="exact"/>
              <w:rPr>
                <w:sz w:val="20"/>
                <w:szCs w:val="20"/>
                <w:color w:val="auto"/>
              </w:rPr>
            </w:pPr>
            <w:r>
              <w:rPr>
                <w:rFonts w:ascii="Calibri" w:cs="Calibri" w:eastAsia="Calibri" w:hAnsi="Calibri"/>
                <w:sz w:val="18"/>
                <w:szCs w:val="18"/>
                <w:color w:val="auto"/>
              </w:rPr>
              <w:t>9</w:t>
            </w:r>
          </w:p>
        </w:tc>
        <w:tc>
          <w:tcPr>
            <w:tcW w:w="540" w:type="dxa"/>
            <w:vAlign w:val="bottom"/>
            <w:tcBorders>
              <w:bottom w:val="single" w:sz="8" w:color="CFF0FC"/>
            </w:tcBorders>
            <w:gridSpan w:val="2"/>
            <w:shd w:val="clear" w:color="auto" w:fill="CFF0FC"/>
          </w:tcPr>
          <w:p>
            <w:pPr>
              <w:ind w:left="220"/>
              <w:spacing w:after="0" w:line="213"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CFF0FC"/>
            </w:tcBorders>
            <w:gridSpan w:val="2"/>
            <w:shd w:val="clear" w:color="auto" w:fill="CFF0FC"/>
          </w:tcPr>
          <w:p>
            <w:pPr>
              <w:jc w:val="right"/>
              <w:ind w:right="30"/>
              <w:spacing w:after="0" w:line="213" w:lineRule="exact"/>
              <w:rPr>
                <w:sz w:val="20"/>
                <w:szCs w:val="20"/>
                <w:color w:val="auto"/>
              </w:rPr>
            </w:pPr>
            <w:r>
              <w:rPr>
                <w:rFonts w:ascii="Calibri" w:cs="Calibri" w:eastAsia="Calibri" w:hAnsi="Calibri"/>
                <w:sz w:val="18"/>
                <w:szCs w:val="18"/>
                <w:b w:val="1"/>
                <w:bCs w:val="1"/>
                <w:color w:val="auto"/>
              </w:rPr>
              <w:t>—</w:t>
            </w:r>
          </w:p>
        </w:tc>
        <w:tc>
          <w:tcPr>
            <w:tcW w:w="40" w:type="dxa"/>
            <w:vAlign w:val="bottom"/>
          </w:tcPr>
          <w:p>
            <w:pPr>
              <w:spacing w:after="0"/>
              <w:rPr>
                <w:sz w:val="20"/>
                <w:szCs w:val="20"/>
                <w:color w:val="auto"/>
              </w:rPr>
            </w:pPr>
          </w:p>
        </w:tc>
      </w:tr>
      <w:tr>
        <w:trPr>
          <w:trHeight w:val="237"/>
        </w:trPr>
        <w:tc>
          <w:tcPr>
            <w:tcW w:w="4440" w:type="dxa"/>
            <w:vAlign w:val="bottom"/>
            <w:tcBorders>
              <w:top w:val="single" w:sz="8" w:color="CFF0FC"/>
            </w:tcBorders>
          </w:tcPr>
          <w:p>
            <w:pPr>
              <w:ind w:left="20"/>
              <w:spacing w:after="0" w:line="215" w:lineRule="exact"/>
              <w:rPr>
                <w:sz w:val="20"/>
                <w:szCs w:val="20"/>
                <w:color w:val="auto"/>
              </w:rPr>
            </w:pPr>
            <w:r>
              <w:rPr>
                <w:rFonts w:ascii="Calibri" w:cs="Calibri" w:eastAsia="Calibri" w:hAnsi="Calibri"/>
                <w:sz w:val="18"/>
                <w:szCs w:val="18"/>
                <w:b w:val="1"/>
                <w:bCs w:val="1"/>
                <w:color w:val="auto"/>
              </w:rPr>
              <w:t>Vested and exercisable at December 31, 2022</w:t>
            </w:r>
          </w:p>
        </w:tc>
        <w:tc>
          <w:tcPr>
            <w:tcW w:w="1200" w:type="dxa"/>
            <w:vAlign w:val="bottom"/>
            <w:tcBorders>
              <w:top w:val="single" w:sz="8" w:color="auto"/>
              <w:bottom w:val="single" w:sz="8" w:color="auto"/>
            </w:tcBorders>
            <w:gridSpan w:val="2"/>
          </w:tcPr>
          <w:p>
            <w:pPr>
              <w:spacing w:after="0"/>
              <w:rPr>
                <w:sz w:val="20"/>
                <w:szCs w:val="20"/>
                <w:color w:val="auto"/>
              </w:rPr>
            </w:pPr>
          </w:p>
        </w:tc>
        <w:tc>
          <w:tcPr>
            <w:tcW w:w="3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1.0</w:t>
            </w:r>
          </w:p>
        </w:tc>
        <w:tc>
          <w:tcPr>
            <w:tcW w:w="240" w:type="dxa"/>
            <w:vAlign w:val="bottom"/>
            <w:tcBorders>
              <w:top w:val="single" w:sz="8" w:color="CFF0FC"/>
            </w:tcBorders>
          </w:tcPr>
          <w:p>
            <w:pPr>
              <w:spacing w:after="0"/>
              <w:rPr>
                <w:sz w:val="20"/>
                <w:szCs w:val="20"/>
                <w:color w:val="auto"/>
              </w:rPr>
            </w:pPr>
          </w:p>
        </w:tc>
        <w:tc>
          <w:tcPr>
            <w:tcW w:w="920" w:type="dxa"/>
            <w:vAlign w:val="bottom"/>
            <w:tcBorders>
              <w:top w:val="single" w:sz="8" w:color="CFF0FC"/>
            </w:tcBorders>
          </w:tcPr>
          <w:p>
            <w:pPr>
              <w:jc w:val="right"/>
              <w:ind w:right="730"/>
              <w:spacing w:after="0"/>
              <w:rPr>
                <w:sz w:val="20"/>
                <w:szCs w:val="20"/>
                <w:color w:val="auto"/>
              </w:rPr>
            </w:pPr>
            <w:r>
              <w:rPr>
                <w:rFonts w:ascii="Calibri" w:cs="Calibri" w:eastAsia="Calibri" w:hAnsi="Calibri"/>
                <w:sz w:val="18"/>
                <w:szCs w:val="18"/>
                <w:b w:val="1"/>
                <w:bCs w:val="1"/>
                <w:color w:val="auto"/>
                <w:w w:val="87"/>
              </w:rPr>
              <w:t>$</w:t>
            </w:r>
          </w:p>
        </w:tc>
        <w:tc>
          <w:tcPr>
            <w:tcW w:w="16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gridSpan w:val="2"/>
          </w:tcPr>
          <w:p>
            <w:pPr>
              <w:jc w:val="right"/>
              <w:spacing w:after="0"/>
              <w:rPr>
                <w:sz w:val="20"/>
                <w:szCs w:val="20"/>
                <w:color w:val="auto"/>
              </w:rPr>
            </w:pPr>
            <w:r>
              <w:rPr>
                <w:rFonts w:ascii="Calibri" w:cs="Calibri" w:eastAsia="Calibri" w:hAnsi="Calibri"/>
                <w:sz w:val="18"/>
                <w:szCs w:val="18"/>
                <w:b w:val="1"/>
                <w:bCs w:val="1"/>
                <w:color w:val="auto"/>
                <w:w w:val="96"/>
              </w:rPr>
              <w:t>13.38</w:t>
            </w:r>
          </w:p>
        </w:tc>
        <w:tc>
          <w:tcPr>
            <w:tcW w:w="1700" w:type="dxa"/>
            <w:vAlign w:val="bottom"/>
            <w:tcBorders>
              <w:top w:val="single" w:sz="8" w:color="CFF0FC"/>
            </w:tcBorders>
            <w:gridSpan w:val="4"/>
          </w:tcPr>
          <w:p>
            <w:pPr>
              <w:jc w:val="right"/>
              <w:ind w:right="20"/>
              <w:spacing w:after="0"/>
              <w:rPr>
                <w:sz w:val="20"/>
                <w:szCs w:val="20"/>
                <w:color w:val="auto"/>
              </w:rPr>
            </w:pPr>
            <w:r>
              <w:rPr>
                <w:rFonts w:ascii="Calibri" w:cs="Calibri" w:eastAsia="Calibri" w:hAnsi="Calibri"/>
                <w:sz w:val="18"/>
                <w:szCs w:val="18"/>
                <w:b w:val="1"/>
                <w:bCs w:val="1"/>
                <w:color w:val="auto"/>
              </w:rPr>
              <w:t>9</w:t>
            </w:r>
          </w:p>
        </w:tc>
        <w:tc>
          <w:tcPr>
            <w:tcW w:w="540" w:type="dxa"/>
            <w:vAlign w:val="bottom"/>
            <w:tcBorders>
              <w:top w:val="single" w:sz="8" w:color="CFF0FC"/>
            </w:tcBorders>
            <w:gridSpan w:val="2"/>
          </w:tcPr>
          <w:p>
            <w:pPr>
              <w:ind w:left="220"/>
              <w:spacing w:after="0"/>
              <w:rPr>
                <w:sz w:val="20"/>
                <w:szCs w:val="20"/>
                <w:color w:val="auto"/>
              </w:rPr>
            </w:pPr>
            <w:r>
              <w:rPr>
                <w:rFonts w:ascii="Calibri" w:cs="Calibri" w:eastAsia="Calibri" w:hAnsi="Calibri"/>
                <w:sz w:val="18"/>
                <w:szCs w:val="18"/>
                <w:b w:val="1"/>
                <w:bCs w:val="1"/>
                <w:color w:val="auto"/>
              </w:rPr>
              <w:t>$</w:t>
            </w:r>
          </w:p>
        </w:tc>
        <w:tc>
          <w:tcPr>
            <w:tcW w:w="1320" w:type="dxa"/>
            <w:vAlign w:val="bottom"/>
            <w:tcBorders>
              <w:top w:val="single" w:sz="8" w:color="CFF0FC"/>
            </w:tcBorders>
            <w:gridSpan w:val="2"/>
          </w:tcPr>
          <w:p>
            <w:pPr>
              <w:jc w:val="right"/>
              <w:ind w:right="30"/>
              <w:spacing w:after="0"/>
              <w:rPr>
                <w:sz w:val="20"/>
                <w:szCs w:val="20"/>
                <w:color w:val="auto"/>
              </w:rPr>
            </w:pPr>
            <w:r>
              <w:rPr>
                <w:rFonts w:ascii="Calibri" w:cs="Calibri" w:eastAsia="Calibri" w:hAnsi="Calibri"/>
                <w:sz w:val="18"/>
                <w:szCs w:val="18"/>
                <w:b w:val="1"/>
                <w:bCs w:val="1"/>
                <w:color w:val="auto"/>
              </w:rPr>
              <w:t>—</w:t>
            </w:r>
          </w:p>
        </w:tc>
        <w:tc>
          <w:tcPr>
            <w:tcW w:w="4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-1997075</wp:posOffset>
            </wp:positionV>
            <wp:extent cx="713232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-187960</wp:posOffset>
            </wp:positionV>
            <wp:extent cx="76835" cy="1885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9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No optons were vested and exercisable as of December 31, 2021. The weighted-average grant-date fair value per stock optons outstanding as of December 31, 2022 and 2021 was $3.82 and $3.71, respectvely. The weighted-average grant-date fair value for stock optons forfeited was $3.83 during the year ended December 31, 2022. The weighted-average grant-date fair value for stock optons vested was $3.71 during the year ended December 31, 2022. During 2022, the total fair value of optons vested was $3.5 million.</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Profts interest and Phantom Units</w:t>
      </w:r>
    </w:p>
    <w:p>
      <w:pPr>
        <w:spacing w:after="0" w:line="15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Prior to the Merger Transacton, certain members of management received equity-based compensaton awards for profts interest in Hoya Topco in the form of Incentve Units, Phantom Units, Class D Units, and Class E Units. Each incentve unit vests ratably over fve years and accelerates upon a change in control of Hoya Topco. We do not expect any future profts interest to be granted afer the Merger Transacton. The fair value of the incentve units granted is estmated using the Black-Scholes opton-pricing model.</w:t>
      </w:r>
    </w:p>
    <w:p>
      <w:pPr>
        <w:spacing w:after="0" w:line="138"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Black-Scholes opton-pricing model requires certain subjectve inputs and assumptons, including the fair value Hoya Topco's equity, the expected term, risk-free interest rates, and expected equity volatlity. The fair value of incentve units is recognized as equity-based compensaton expense on a straight-line basis over the requisite service period. We account for forfeitures as they occur. Changes in assumptons made on expected term, the risk-free rate of interest, and expected volatlity can materially impact the estmate of fair value and ultmately how much share-based compensaton expense is recognized. The expected term is estmated based on the tming and probabilites untl a major liquidity event. The risk-free interest rate is based on the U.S. Treasury yield curve in efect at the tme of grant and corresponds to the expected term. The expected volatlity is estmated on the date of grant based on the average historical stock price volatlity of comparable publicly-traded companies.</w:t>
      </w:r>
    </w:p>
    <w:p>
      <w:pPr>
        <w:spacing w:after="0" w:line="10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2" w:right="299" w:bottom="1440" w:gutter="0" w:footer="0" w:header="0"/>
        </w:sectPr>
      </w:pPr>
    </w:p>
    <w:bookmarkStart w:id="100" w:name="page101"/>
    <w:bookmarkEnd w:id="10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Hoya Topco Incentve Units, Class D Units, and Class E Units for the years ended December 31, 2022, 2021, and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2740" w:type="dxa"/>
            <w:vAlign w:val="bottom"/>
            <w:gridSpan w:val="4"/>
          </w:tcPr>
          <w:p>
            <w:pPr>
              <w:jc w:val="right"/>
              <w:ind w:right="799"/>
              <w:spacing w:after="0"/>
              <w:rPr>
                <w:sz w:val="20"/>
                <w:szCs w:val="20"/>
                <w:color w:val="auto"/>
              </w:rPr>
            </w:pPr>
            <w:r>
              <w:rPr>
                <w:rFonts w:ascii="Calibri" w:cs="Calibri" w:eastAsia="Calibri" w:hAnsi="Calibri"/>
                <w:sz w:val="16"/>
                <w:szCs w:val="16"/>
                <w:b w:val="1"/>
                <w:bCs w:val="1"/>
                <w:color w:val="auto"/>
              </w:rPr>
              <w:t>Class B-1 Units</w:t>
            </w:r>
          </w:p>
        </w:tc>
        <w:tc>
          <w:tcPr>
            <w:tcW w:w="200" w:type="dxa"/>
            <w:vAlign w:val="bottom"/>
          </w:tcPr>
          <w:p>
            <w:pPr>
              <w:spacing w:after="0"/>
              <w:rPr>
                <w:sz w:val="16"/>
                <w:szCs w:val="16"/>
                <w:color w:val="auto"/>
              </w:rPr>
            </w:pPr>
          </w:p>
        </w:tc>
        <w:tc>
          <w:tcPr>
            <w:tcW w:w="2700" w:type="dxa"/>
            <w:vAlign w:val="bottom"/>
            <w:gridSpan w:val="4"/>
          </w:tcPr>
          <w:p>
            <w:pPr>
              <w:jc w:val="right"/>
              <w:ind w:right="819"/>
              <w:spacing w:after="0"/>
              <w:rPr>
                <w:sz w:val="20"/>
                <w:szCs w:val="20"/>
                <w:color w:val="auto"/>
              </w:rPr>
            </w:pPr>
            <w:r>
              <w:rPr>
                <w:rFonts w:ascii="Calibri" w:cs="Calibri" w:eastAsia="Calibri" w:hAnsi="Calibri"/>
                <w:sz w:val="16"/>
                <w:szCs w:val="16"/>
                <w:b w:val="1"/>
                <w:bCs w:val="1"/>
                <w:color w:val="auto"/>
              </w:rPr>
              <w:t>Class D Units</w:t>
            </w:r>
          </w:p>
        </w:tc>
        <w:tc>
          <w:tcPr>
            <w:tcW w:w="220" w:type="dxa"/>
            <w:vAlign w:val="bottom"/>
          </w:tcPr>
          <w:p>
            <w:pPr>
              <w:spacing w:after="0"/>
              <w:rPr>
                <w:sz w:val="16"/>
                <w:szCs w:val="16"/>
                <w:color w:val="auto"/>
              </w:rPr>
            </w:pPr>
          </w:p>
        </w:tc>
        <w:tc>
          <w:tcPr>
            <w:tcW w:w="2660" w:type="dxa"/>
            <w:vAlign w:val="bottom"/>
            <w:gridSpan w:val="4"/>
          </w:tcPr>
          <w:p>
            <w:pPr>
              <w:jc w:val="right"/>
              <w:ind w:right="839"/>
              <w:spacing w:after="0"/>
              <w:rPr>
                <w:sz w:val="20"/>
                <w:szCs w:val="20"/>
                <w:color w:val="auto"/>
              </w:rPr>
            </w:pPr>
            <w:r>
              <w:rPr>
                <w:rFonts w:ascii="Calibri" w:cs="Calibri" w:eastAsia="Calibri" w:hAnsi="Calibri"/>
                <w:sz w:val="16"/>
                <w:szCs w:val="16"/>
                <w:b w:val="1"/>
                <w:bCs w:val="1"/>
                <w:color w:val="auto"/>
              </w:rPr>
              <w:t>Class E Units</w:t>
            </w:r>
          </w:p>
        </w:tc>
        <w:tc>
          <w:tcPr>
            <w:tcW w:w="100" w:type="dxa"/>
            <w:vAlign w:val="bottom"/>
          </w:tcPr>
          <w:p>
            <w:pPr>
              <w:spacing w:after="0"/>
              <w:rPr>
                <w:sz w:val="16"/>
                <w:szCs w:val="16"/>
                <w:color w:val="auto"/>
              </w:rPr>
            </w:pPr>
          </w:p>
        </w:tc>
      </w:tr>
      <w:tr>
        <w:trPr>
          <w:trHeight w:val="41"/>
        </w:trPr>
        <w:tc>
          <w:tcPr>
            <w:tcW w:w="26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r>
      <w:tr>
        <w:trPr>
          <w:trHeight w:val="187"/>
        </w:trPr>
        <w:tc>
          <w:tcPr>
            <w:tcW w:w="2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line="187" w:lineRule="exact"/>
              <w:rPr>
                <w:sz w:val="20"/>
                <w:szCs w:val="20"/>
                <w:color w:val="auto"/>
              </w:rPr>
            </w:pPr>
            <w:r>
              <w:rPr>
                <w:rFonts w:ascii="Calibri" w:cs="Calibri" w:eastAsia="Calibri" w:hAnsi="Calibri"/>
                <w:sz w:val="16"/>
                <w:szCs w:val="16"/>
                <w:b w:val="1"/>
                <w:bCs w:val="1"/>
                <w:color w:val="auto"/>
              </w:rPr>
              <w:t>Weighted Average</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0"/>
              <w:spacing w:after="0" w:line="187" w:lineRule="exact"/>
              <w:rPr>
                <w:sz w:val="20"/>
                <w:szCs w:val="20"/>
                <w:color w:val="auto"/>
              </w:rPr>
            </w:pPr>
            <w:r>
              <w:rPr>
                <w:rFonts w:ascii="Calibri" w:cs="Calibri" w:eastAsia="Calibri" w:hAnsi="Calibri"/>
                <w:sz w:val="16"/>
                <w:szCs w:val="16"/>
                <w:b w:val="1"/>
                <w:bCs w:val="1"/>
                <w:color w:val="auto"/>
                <w:w w:val="99"/>
              </w:rPr>
              <w:t>Weighted Average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line="187" w:lineRule="exact"/>
              <w:rPr>
                <w:sz w:val="20"/>
                <w:szCs w:val="20"/>
                <w:color w:val="auto"/>
              </w:rPr>
            </w:pPr>
            <w:r>
              <w:rPr>
                <w:rFonts w:ascii="Calibri" w:cs="Calibri" w:eastAsia="Calibri" w:hAnsi="Calibri"/>
                <w:sz w:val="16"/>
                <w:szCs w:val="16"/>
                <w:b w:val="1"/>
                <w:bCs w:val="1"/>
                <w:color w:val="auto"/>
              </w:rPr>
              <w:t>Weighted Average</w:t>
            </w:r>
          </w:p>
        </w:tc>
        <w:tc>
          <w:tcPr>
            <w:tcW w:w="100" w:type="dxa"/>
            <w:vAlign w:val="bottom"/>
          </w:tcPr>
          <w:p>
            <w:pPr>
              <w:spacing w:after="0"/>
              <w:rPr>
                <w:sz w:val="16"/>
                <w:szCs w:val="16"/>
                <w:color w:val="auto"/>
              </w:rPr>
            </w:pPr>
          </w:p>
        </w:tc>
      </w:tr>
      <w:tr>
        <w:trPr>
          <w:trHeight w:val="198"/>
        </w:trPr>
        <w:tc>
          <w:tcPr>
            <w:tcW w:w="262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Calibri" w:cs="Calibri" w:eastAsia="Calibri" w:hAnsi="Calibri"/>
                <w:sz w:val="16"/>
                <w:szCs w:val="16"/>
                <w:b w:val="1"/>
                <w:bCs w:val="1"/>
                <w:color w:val="auto"/>
              </w:rPr>
              <w:t>Number of</w:t>
            </w:r>
          </w:p>
        </w:tc>
        <w:tc>
          <w:tcPr>
            <w:tcW w:w="10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Grant Date Fair</w:t>
            </w:r>
          </w:p>
        </w:tc>
        <w:tc>
          <w:tcPr>
            <w:tcW w:w="20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Calibri" w:cs="Calibri" w:eastAsia="Calibri" w:hAnsi="Calibri"/>
                <w:sz w:val="16"/>
                <w:szCs w:val="16"/>
                <w:b w:val="1"/>
                <w:bCs w:val="1"/>
                <w:color w:val="auto"/>
              </w:rPr>
              <w:t>Number of</w:t>
            </w:r>
          </w:p>
        </w:tc>
        <w:tc>
          <w:tcPr>
            <w:tcW w:w="10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Calibri" w:cs="Calibri" w:eastAsia="Calibri" w:hAnsi="Calibri"/>
                <w:sz w:val="16"/>
                <w:szCs w:val="16"/>
                <w:b w:val="1"/>
                <w:bCs w:val="1"/>
                <w:color w:val="auto"/>
                <w:w w:val="98"/>
              </w:rPr>
              <w:t>Grant Date Fair</w:t>
            </w:r>
          </w:p>
        </w:tc>
        <w:tc>
          <w:tcPr>
            <w:tcW w:w="22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Grant Date Fair</w:t>
            </w:r>
          </w:p>
        </w:tc>
        <w:tc>
          <w:tcPr>
            <w:tcW w:w="1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Calibri" w:cs="Calibri" w:eastAsia="Calibri" w:hAnsi="Calibri"/>
                <w:sz w:val="16"/>
                <w:szCs w:val="16"/>
                <w:b w:val="1"/>
                <w:bCs w:val="1"/>
                <w:color w:val="auto"/>
              </w:rPr>
              <w:t>Incentve Units</w:t>
            </w:r>
          </w:p>
        </w:tc>
        <w:tc>
          <w:tcPr>
            <w:tcW w:w="10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Value</w:t>
            </w:r>
          </w:p>
        </w:tc>
        <w:tc>
          <w:tcPr>
            <w:tcW w:w="20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Calibri" w:cs="Calibri" w:eastAsia="Calibri" w:hAnsi="Calibri"/>
                <w:sz w:val="16"/>
                <w:szCs w:val="16"/>
                <w:b w:val="1"/>
                <w:bCs w:val="1"/>
                <w:color w:val="auto"/>
              </w:rPr>
              <w:t>Incentve Units</w:t>
            </w:r>
          </w:p>
        </w:tc>
        <w:tc>
          <w:tcPr>
            <w:tcW w:w="100" w:type="dxa"/>
            <w:vAlign w:val="bottom"/>
          </w:tcPr>
          <w:p>
            <w:pPr>
              <w:spacing w:after="0"/>
              <w:rPr>
                <w:sz w:val="17"/>
                <w:szCs w:val="17"/>
                <w:color w:val="auto"/>
              </w:rPr>
            </w:pPr>
          </w:p>
        </w:tc>
        <w:tc>
          <w:tcPr>
            <w:tcW w:w="11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Value</w:t>
            </w:r>
          </w:p>
        </w:tc>
        <w:tc>
          <w:tcPr>
            <w:tcW w:w="2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Incentve Units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Value</w:t>
            </w:r>
          </w:p>
        </w:tc>
        <w:tc>
          <w:tcPr>
            <w:tcW w:w="100" w:type="dxa"/>
            <w:vAlign w:val="bottom"/>
          </w:tcPr>
          <w:p>
            <w:pPr>
              <w:spacing w:after="0"/>
              <w:rPr>
                <w:sz w:val="17"/>
                <w:szCs w:val="17"/>
                <w:color w:val="auto"/>
              </w:rPr>
            </w:pPr>
          </w:p>
        </w:tc>
      </w:tr>
      <w:tr>
        <w:trPr>
          <w:trHeight w:val="41"/>
        </w:trPr>
        <w:tc>
          <w:tcPr>
            <w:tcW w:w="262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5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2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b w:val="1"/>
                <w:bCs w:val="1"/>
                <w:color w:val="auto"/>
              </w:rPr>
              <w:t>Balances at January 1, 2020</w:t>
            </w:r>
          </w:p>
        </w:tc>
        <w:tc>
          <w:tcPr>
            <w:tcW w:w="132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832,510</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w w:val="73"/>
              </w:rPr>
              <w:t>$</w:t>
            </w:r>
          </w:p>
        </w:tc>
        <w:tc>
          <w:tcPr>
            <w:tcW w:w="116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15.63</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500,765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b w:val="1"/>
                <w:bCs w:val="1"/>
                <w:color w:val="auto"/>
                <w:w w:val="97"/>
              </w:rPr>
              <w:t>$</w:t>
            </w:r>
          </w:p>
        </w:tc>
        <w:tc>
          <w:tcPr>
            <w:tcW w:w="120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25.46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7"/>
        </w:trPr>
        <w:tc>
          <w:tcPr>
            <w:tcW w:w="262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6"/>
                <w:szCs w:val="16"/>
                <w:color w:val="auto"/>
              </w:rPr>
              <w:t>Units granted</w:t>
            </w:r>
          </w:p>
        </w:tc>
        <w:tc>
          <w:tcPr>
            <w:tcW w:w="13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905,000</w:t>
            </w: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2.32</w:t>
            </w:r>
          </w:p>
        </w:tc>
        <w:tc>
          <w:tcPr>
            <w:tcW w:w="200" w:type="dxa"/>
            <w:vAlign w:val="bottom"/>
            <w:tcBorders>
              <w:top w:val="single" w:sz="8" w:color="CFF0FC"/>
            </w:tcBorders>
          </w:tcPr>
          <w:p>
            <w:pPr>
              <w:spacing w:after="0"/>
              <w:rPr>
                <w:sz w:val="16"/>
                <w:szCs w:val="16"/>
                <w:color w:val="auto"/>
              </w:rPr>
            </w:pPr>
          </w:p>
        </w:tc>
        <w:tc>
          <w:tcPr>
            <w:tcW w:w="13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1,755,000</w:t>
            </w: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0.89</w:t>
            </w:r>
          </w:p>
        </w:tc>
        <w:tc>
          <w:tcPr>
            <w:tcW w:w="220" w:type="dxa"/>
            <w:vAlign w:val="bottom"/>
            <w:tcBorders>
              <w:top w:val="single" w:sz="8" w:color="CFF0FC"/>
            </w:tcBorders>
          </w:tcPr>
          <w:p>
            <w:pPr>
              <w:spacing w:after="0"/>
              <w:rPr>
                <w:sz w:val="16"/>
                <w:szCs w:val="16"/>
                <w:color w:val="auto"/>
              </w:rPr>
            </w:pPr>
          </w:p>
        </w:tc>
        <w:tc>
          <w:tcPr>
            <w:tcW w:w="12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100" w:type="dxa"/>
            <w:vAlign w:val="bottom"/>
            <w:tcBorders>
              <w:top w:val="single" w:sz="8" w:color="CFF0FC"/>
            </w:tcBorders>
          </w:tcPr>
          <w:p>
            <w:pPr>
              <w:spacing w:after="0"/>
              <w:rPr>
                <w:sz w:val="16"/>
                <w:szCs w:val="16"/>
                <w:color w:val="auto"/>
              </w:rPr>
            </w:pPr>
          </w:p>
        </w:tc>
      </w:tr>
      <w:tr>
        <w:trPr>
          <w:trHeight w:val="36"/>
        </w:trPr>
        <w:tc>
          <w:tcPr>
            <w:tcW w:w="262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4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262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Units repurchased</w:t>
            </w:r>
          </w:p>
        </w:tc>
        <w:tc>
          <w:tcPr>
            <w:tcW w:w="1440" w:type="dxa"/>
            <w:vAlign w:val="bottom"/>
            <w:tcBorders>
              <w:bottom w:val="single" w:sz="8" w:color="CFF0FC"/>
            </w:tcBorders>
            <w:gridSpan w:val="2"/>
            <w:shd w:val="clear" w:color="auto" w:fill="CFF0FC"/>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640" w:type="dxa"/>
            <w:vAlign w:val="bottom"/>
            <w:tcBorders>
              <w:bottom w:val="single" w:sz="8" w:color="CFF0FC"/>
            </w:tcBorders>
            <w:gridSpan w:val="3"/>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(97,604 )</w:t>
            </w: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15.95</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2"/>
        </w:trPr>
        <w:tc>
          <w:tcPr>
            <w:tcW w:w="2620" w:type="dxa"/>
            <w:vAlign w:val="bottom"/>
          </w:tcPr>
          <w:p>
            <w:pPr>
              <w:ind w:left="20"/>
              <w:spacing w:after="0"/>
              <w:rPr>
                <w:sz w:val="20"/>
                <w:szCs w:val="20"/>
                <w:color w:val="auto"/>
              </w:rPr>
            </w:pPr>
            <w:r>
              <w:rPr>
                <w:rFonts w:ascii="Calibri" w:cs="Calibri" w:eastAsia="Calibri" w:hAnsi="Calibri"/>
                <w:sz w:val="16"/>
                <w:szCs w:val="16"/>
                <w:color w:val="auto"/>
              </w:rPr>
              <w:t>Units forfeited</w:t>
            </w:r>
          </w:p>
        </w:tc>
        <w:tc>
          <w:tcPr>
            <w:tcW w:w="14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(50,000 )</w:t>
            </w:r>
          </w:p>
        </w:tc>
        <w:tc>
          <w:tcPr>
            <w:tcW w:w="100" w:type="dxa"/>
            <w:vAlign w:val="bottom"/>
          </w:tcPr>
          <w:p>
            <w:pPr>
              <w:spacing w:after="0"/>
              <w:rPr>
                <w:sz w:val="17"/>
                <w:szCs w:val="17"/>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2.32</w:t>
            </w:r>
          </w:p>
        </w:tc>
        <w:tc>
          <w:tcPr>
            <w:tcW w:w="1640" w:type="dxa"/>
            <w:vAlign w:val="bottom"/>
            <w:gridSpan w:val="3"/>
          </w:tcPr>
          <w:p>
            <w:pPr>
              <w:jc w:val="right"/>
              <w:ind w:right="40"/>
              <w:spacing w:after="0" w:line="193" w:lineRule="exact"/>
              <w:rPr>
                <w:sz w:val="20"/>
                <w:szCs w:val="20"/>
                <w:color w:val="auto"/>
              </w:rPr>
            </w:pPr>
            <w:r>
              <w:rPr>
                <w:rFonts w:ascii="Calibri" w:cs="Calibri" w:eastAsia="Calibri" w:hAnsi="Calibri"/>
                <w:sz w:val="16"/>
                <w:szCs w:val="16"/>
                <w:color w:val="auto"/>
              </w:rPr>
              <w:t>(441,666 )</w:t>
            </w:r>
          </w:p>
        </w:tc>
        <w:tc>
          <w:tcPr>
            <w:tcW w:w="100" w:type="dxa"/>
            <w:vAlign w:val="bottom"/>
          </w:tcPr>
          <w:p>
            <w:pPr>
              <w:spacing w:after="0"/>
              <w:rPr>
                <w:sz w:val="17"/>
                <w:szCs w:val="17"/>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7.81</w:t>
            </w:r>
          </w:p>
        </w:tc>
        <w:tc>
          <w:tcPr>
            <w:tcW w:w="220" w:type="dxa"/>
            <w:vAlign w:val="bottom"/>
          </w:tcPr>
          <w:p>
            <w:pPr>
              <w:spacing w:after="0"/>
              <w:rPr>
                <w:sz w:val="17"/>
                <w:szCs w:val="17"/>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r>
      <w:tr>
        <w:trPr>
          <w:trHeight w:val="28"/>
        </w:trPr>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2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b w:val="1"/>
                <w:bCs w:val="1"/>
                <w:color w:val="auto"/>
              </w:rPr>
              <w:t>Balances at December 31, 2020</w:t>
            </w:r>
          </w:p>
        </w:tc>
        <w:tc>
          <w:tcPr>
            <w:tcW w:w="132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855,000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w w:val="73"/>
              </w:rPr>
              <w:t>$</w:t>
            </w:r>
          </w:p>
        </w:tc>
        <w:tc>
          <w:tcPr>
            <w:tcW w:w="120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2.32</w:t>
            </w:r>
          </w:p>
        </w:tc>
        <w:tc>
          <w:tcPr>
            <w:tcW w:w="2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2,048,240</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w w:val="73"/>
              </w:rPr>
              <w:t>$</w:t>
            </w:r>
          </w:p>
        </w:tc>
        <w:tc>
          <w:tcPr>
            <w:tcW w:w="116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4.67</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500,765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b w:val="1"/>
                <w:bCs w:val="1"/>
                <w:color w:val="auto"/>
                <w:w w:val="97"/>
              </w:rPr>
              <w:t>$</w:t>
            </w:r>
          </w:p>
        </w:tc>
        <w:tc>
          <w:tcPr>
            <w:tcW w:w="1200" w:type="dxa"/>
            <w:vAlign w:val="bottom"/>
            <w:tcBorders>
              <w:top w:val="single" w:sz="8" w:color="auto"/>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25.46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7"/>
        </w:trPr>
        <w:tc>
          <w:tcPr>
            <w:tcW w:w="262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6"/>
                <w:szCs w:val="16"/>
                <w:color w:val="auto"/>
              </w:rPr>
              <w:t>Units granted</w:t>
            </w:r>
          </w:p>
        </w:tc>
        <w:tc>
          <w:tcPr>
            <w:tcW w:w="13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200" w:type="dxa"/>
            <w:vAlign w:val="bottom"/>
            <w:tcBorders>
              <w:top w:val="single" w:sz="8" w:color="CFF0FC"/>
            </w:tcBorders>
          </w:tcPr>
          <w:p>
            <w:pPr>
              <w:spacing w:after="0"/>
              <w:rPr>
                <w:sz w:val="16"/>
                <w:szCs w:val="16"/>
                <w:color w:val="auto"/>
              </w:rPr>
            </w:pPr>
          </w:p>
        </w:tc>
        <w:tc>
          <w:tcPr>
            <w:tcW w:w="13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220" w:type="dxa"/>
            <w:vAlign w:val="bottom"/>
            <w:tcBorders>
              <w:top w:val="single" w:sz="8" w:color="CFF0FC"/>
            </w:tcBorders>
          </w:tcPr>
          <w:p>
            <w:pPr>
              <w:spacing w:after="0"/>
              <w:rPr>
                <w:sz w:val="16"/>
                <w:szCs w:val="16"/>
                <w:color w:val="auto"/>
              </w:rPr>
            </w:pPr>
          </w:p>
        </w:tc>
        <w:tc>
          <w:tcPr>
            <w:tcW w:w="12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100" w:type="dxa"/>
            <w:vAlign w:val="bottom"/>
            <w:tcBorders>
              <w:top w:val="single" w:sz="8" w:color="CFF0FC"/>
            </w:tcBorders>
          </w:tcPr>
          <w:p>
            <w:pPr>
              <w:spacing w:after="0"/>
              <w:rPr>
                <w:sz w:val="16"/>
                <w:szCs w:val="16"/>
                <w:color w:val="auto"/>
              </w:rPr>
            </w:pPr>
          </w:p>
        </w:tc>
      </w:tr>
      <w:tr>
        <w:trPr>
          <w:trHeight w:val="36"/>
        </w:trPr>
        <w:tc>
          <w:tcPr>
            <w:tcW w:w="262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262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Units repurchased</w:t>
            </w:r>
          </w:p>
        </w:tc>
        <w:tc>
          <w:tcPr>
            <w:tcW w:w="1440" w:type="dxa"/>
            <w:vAlign w:val="bottom"/>
            <w:tcBorders>
              <w:bottom w:val="single" w:sz="8" w:color="CFF0FC"/>
            </w:tcBorders>
            <w:gridSpan w:val="2"/>
            <w:shd w:val="clear" w:color="auto" w:fill="CFF0FC"/>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gridSpan w:val="2"/>
            <w:shd w:val="clear" w:color="auto" w:fill="CFF0FC"/>
          </w:tcPr>
          <w:p>
            <w:pPr>
              <w:jc w:val="right"/>
              <w:ind w:right="12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2"/>
        </w:trPr>
        <w:tc>
          <w:tcPr>
            <w:tcW w:w="2620" w:type="dxa"/>
            <w:vAlign w:val="bottom"/>
          </w:tcPr>
          <w:p>
            <w:pPr>
              <w:ind w:left="20"/>
              <w:spacing w:after="0"/>
              <w:rPr>
                <w:sz w:val="20"/>
                <w:szCs w:val="20"/>
                <w:color w:val="auto"/>
              </w:rPr>
            </w:pPr>
            <w:r>
              <w:rPr>
                <w:rFonts w:ascii="Calibri" w:cs="Calibri" w:eastAsia="Calibri" w:hAnsi="Calibri"/>
                <w:sz w:val="16"/>
                <w:szCs w:val="16"/>
                <w:color w:val="auto"/>
              </w:rPr>
              <w:t>Units forfeited</w:t>
            </w:r>
          </w:p>
        </w:tc>
        <w:tc>
          <w:tcPr>
            <w:tcW w:w="14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(10,000 )</w:t>
            </w:r>
          </w:p>
        </w:tc>
        <w:tc>
          <w:tcPr>
            <w:tcW w:w="100" w:type="dxa"/>
            <w:vAlign w:val="bottom"/>
          </w:tcPr>
          <w:p>
            <w:pPr>
              <w:spacing w:after="0"/>
              <w:rPr>
                <w:sz w:val="17"/>
                <w:szCs w:val="17"/>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2.32</w:t>
            </w:r>
          </w:p>
        </w:tc>
        <w:tc>
          <w:tcPr>
            <w:tcW w:w="1640" w:type="dxa"/>
            <w:vAlign w:val="bottom"/>
            <w:gridSpan w:val="3"/>
          </w:tcPr>
          <w:p>
            <w:pPr>
              <w:jc w:val="right"/>
              <w:ind w:right="40"/>
              <w:spacing w:after="0" w:line="193" w:lineRule="exact"/>
              <w:rPr>
                <w:sz w:val="20"/>
                <w:szCs w:val="20"/>
                <w:color w:val="auto"/>
              </w:rPr>
            </w:pPr>
            <w:r>
              <w:rPr>
                <w:rFonts w:ascii="Calibri" w:cs="Calibri" w:eastAsia="Calibri" w:hAnsi="Calibri"/>
                <w:sz w:val="16"/>
                <w:szCs w:val="16"/>
                <w:color w:val="auto"/>
              </w:rPr>
              <w:t>(60,400 )</w:t>
            </w:r>
          </w:p>
        </w:tc>
        <w:tc>
          <w:tcPr>
            <w:tcW w:w="100" w:type="dxa"/>
            <w:vAlign w:val="bottom"/>
          </w:tcPr>
          <w:p>
            <w:pPr>
              <w:spacing w:after="0"/>
              <w:rPr>
                <w:sz w:val="17"/>
                <w:szCs w:val="17"/>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7.01</w:t>
            </w:r>
          </w:p>
        </w:tc>
        <w:tc>
          <w:tcPr>
            <w:tcW w:w="220" w:type="dxa"/>
            <w:vAlign w:val="bottom"/>
          </w:tcPr>
          <w:p>
            <w:pPr>
              <w:spacing w:after="0"/>
              <w:rPr>
                <w:sz w:val="17"/>
                <w:szCs w:val="17"/>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r>
      <w:tr>
        <w:trPr>
          <w:trHeight w:val="28"/>
        </w:trPr>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2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b w:val="1"/>
                <w:bCs w:val="1"/>
                <w:color w:val="auto"/>
              </w:rPr>
              <w:t>Balances at December 31, 2021</w:t>
            </w:r>
          </w:p>
        </w:tc>
        <w:tc>
          <w:tcPr>
            <w:tcW w:w="132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845,000</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w w:val="73"/>
              </w:rPr>
              <w:t>$</w:t>
            </w:r>
          </w:p>
        </w:tc>
        <w:tc>
          <w:tcPr>
            <w:tcW w:w="120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2.32</w:t>
            </w:r>
          </w:p>
        </w:tc>
        <w:tc>
          <w:tcPr>
            <w:tcW w:w="20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1,987,840</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w w:val="73"/>
              </w:rPr>
              <w:t>$</w:t>
            </w:r>
          </w:p>
        </w:tc>
        <w:tc>
          <w:tcPr>
            <w:tcW w:w="116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4.60</w:t>
            </w:r>
          </w:p>
        </w:tc>
        <w:tc>
          <w:tcPr>
            <w:tcW w:w="2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500,765</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spacing w:after="0" w:line="193" w:lineRule="exact"/>
              <w:rPr>
                <w:sz w:val="20"/>
                <w:szCs w:val="20"/>
                <w:color w:val="auto"/>
              </w:rPr>
            </w:pPr>
            <w:r>
              <w:rPr>
                <w:rFonts w:ascii="Calibri" w:cs="Calibri" w:eastAsia="Calibri" w:hAnsi="Calibri"/>
                <w:sz w:val="16"/>
                <w:szCs w:val="16"/>
                <w:b w:val="1"/>
                <w:bCs w:val="1"/>
                <w:color w:val="auto"/>
                <w:w w:val="97"/>
              </w:rPr>
              <w:t>$</w:t>
            </w:r>
          </w:p>
        </w:tc>
        <w:tc>
          <w:tcPr>
            <w:tcW w:w="120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25.46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74"/>
        </w:trPr>
        <w:tc>
          <w:tcPr>
            <w:tcW w:w="2620" w:type="dxa"/>
            <w:vAlign w:val="bottom"/>
          </w:tcPr>
          <w:p>
            <w:pPr>
              <w:ind w:left="20"/>
              <w:spacing w:after="0" w:line="175" w:lineRule="exact"/>
              <w:rPr>
                <w:sz w:val="20"/>
                <w:szCs w:val="20"/>
                <w:color w:val="auto"/>
              </w:rPr>
            </w:pPr>
            <w:r>
              <w:rPr>
                <w:rFonts w:ascii="Calibri" w:cs="Calibri" w:eastAsia="Calibri" w:hAnsi="Calibri"/>
                <w:sz w:val="16"/>
                <w:szCs w:val="16"/>
                <w:color w:val="auto"/>
              </w:rPr>
              <w:t>Units granted</w:t>
            </w:r>
          </w:p>
        </w:tc>
        <w:tc>
          <w:tcPr>
            <w:tcW w:w="1440" w:type="dxa"/>
            <w:vAlign w:val="bottom"/>
            <w:gridSpan w:val="2"/>
          </w:tcPr>
          <w:p>
            <w:pPr>
              <w:jc w:val="right"/>
              <w:ind w:right="140"/>
              <w:spacing w:after="0" w:line="175"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5"/>
                <w:szCs w:val="15"/>
                <w:color w:val="auto"/>
              </w:rPr>
            </w:pPr>
          </w:p>
        </w:tc>
        <w:tc>
          <w:tcPr>
            <w:tcW w:w="1440" w:type="dxa"/>
            <w:vAlign w:val="bottom"/>
            <w:gridSpan w:val="2"/>
          </w:tcPr>
          <w:p>
            <w:pPr>
              <w:jc w:val="right"/>
              <w:ind w:right="120"/>
              <w:spacing w:after="0" w:line="175"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5"/>
                <w:szCs w:val="15"/>
                <w:color w:val="auto"/>
              </w:rPr>
            </w:pPr>
          </w:p>
        </w:tc>
        <w:tc>
          <w:tcPr>
            <w:tcW w:w="1240" w:type="dxa"/>
            <w:vAlign w:val="bottom"/>
          </w:tcPr>
          <w:p>
            <w:pPr>
              <w:jc w:val="right"/>
              <w:spacing w:after="0" w:line="175"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5"/>
                <w:szCs w:val="15"/>
                <w:color w:val="auto"/>
              </w:rPr>
            </w:pPr>
          </w:p>
        </w:tc>
      </w:tr>
      <w:tr>
        <w:trPr>
          <w:trHeight w:val="36"/>
        </w:trPr>
        <w:tc>
          <w:tcPr>
            <w:tcW w:w="262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262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Units repurchased</w:t>
            </w:r>
          </w:p>
        </w:tc>
        <w:tc>
          <w:tcPr>
            <w:tcW w:w="1440" w:type="dxa"/>
            <w:vAlign w:val="bottom"/>
            <w:tcBorders>
              <w:bottom w:val="single" w:sz="8" w:color="CFF0FC"/>
            </w:tcBorders>
            <w:gridSpan w:val="2"/>
            <w:shd w:val="clear" w:color="auto" w:fill="CFF0FC"/>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gridSpan w:val="2"/>
            <w:shd w:val="clear" w:color="auto" w:fill="CFF0FC"/>
          </w:tcPr>
          <w:p>
            <w:pPr>
              <w:jc w:val="right"/>
              <w:ind w:right="12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2"/>
        </w:trPr>
        <w:tc>
          <w:tcPr>
            <w:tcW w:w="2620" w:type="dxa"/>
            <w:vAlign w:val="bottom"/>
          </w:tcPr>
          <w:p>
            <w:pPr>
              <w:ind w:left="20"/>
              <w:spacing w:after="0"/>
              <w:rPr>
                <w:sz w:val="20"/>
                <w:szCs w:val="20"/>
                <w:color w:val="auto"/>
              </w:rPr>
            </w:pPr>
            <w:r>
              <w:rPr>
                <w:rFonts w:ascii="Calibri" w:cs="Calibri" w:eastAsia="Calibri" w:hAnsi="Calibri"/>
                <w:sz w:val="16"/>
                <w:szCs w:val="16"/>
                <w:color w:val="auto"/>
              </w:rPr>
              <w:t>Units forfeited</w:t>
            </w:r>
          </w:p>
        </w:tc>
        <w:tc>
          <w:tcPr>
            <w:tcW w:w="14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(9,000 )</w:t>
            </w:r>
          </w:p>
        </w:tc>
        <w:tc>
          <w:tcPr>
            <w:tcW w:w="100" w:type="dxa"/>
            <w:vAlign w:val="bottom"/>
          </w:tcPr>
          <w:p>
            <w:pPr>
              <w:spacing w:after="0"/>
              <w:rPr>
                <w:sz w:val="17"/>
                <w:szCs w:val="17"/>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2.32</w:t>
            </w:r>
          </w:p>
        </w:tc>
        <w:tc>
          <w:tcPr>
            <w:tcW w:w="1640" w:type="dxa"/>
            <w:vAlign w:val="bottom"/>
            <w:gridSpan w:val="3"/>
          </w:tcPr>
          <w:p>
            <w:pPr>
              <w:jc w:val="right"/>
              <w:ind w:right="40"/>
              <w:spacing w:after="0" w:line="193" w:lineRule="exact"/>
              <w:rPr>
                <w:sz w:val="20"/>
                <w:szCs w:val="20"/>
                <w:color w:val="auto"/>
              </w:rPr>
            </w:pPr>
            <w:r>
              <w:rPr>
                <w:rFonts w:ascii="Calibri" w:cs="Calibri" w:eastAsia="Calibri" w:hAnsi="Calibri"/>
                <w:sz w:val="16"/>
                <w:szCs w:val="16"/>
                <w:color w:val="auto"/>
              </w:rPr>
              <w:t>(35,510 )</w:t>
            </w:r>
          </w:p>
        </w:tc>
        <w:tc>
          <w:tcPr>
            <w:tcW w:w="100" w:type="dxa"/>
            <w:vAlign w:val="bottom"/>
          </w:tcPr>
          <w:p>
            <w:pPr>
              <w:spacing w:after="0"/>
              <w:rPr>
                <w:sz w:val="17"/>
                <w:szCs w:val="17"/>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2.91</w:t>
            </w:r>
          </w:p>
        </w:tc>
        <w:tc>
          <w:tcPr>
            <w:tcW w:w="220" w:type="dxa"/>
            <w:vAlign w:val="bottom"/>
          </w:tcPr>
          <w:p>
            <w:pPr>
              <w:spacing w:after="0"/>
              <w:rPr>
                <w:sz w:val="17"/>
                <w:szCs w:val="17"/>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r>
      <w:tr>
        <w:trPr>
          <w:trHeight w:val="28"/>
        </w:trPr>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2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b w:val="1"/>
                <w:bCs w:val="1"/>
                <w:color w:val="auto"/>
              </w:rPr>
              <w:t>Balances at December 31, 2022</w:t>
            </w:r>
          </w:p>
        </w:tc>
        <w:tc>
          <w:tcPr>
            <w:tcW w:w="132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836,000</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w w:val="73"/>
              </w:rPr>
              <w:t>$</w:t>
            </w:r>
          </w:p>
        </w:tc>
        <w:tc>
          <w:tcPr>
            <w:tcW w:w="120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2.32</w:t>
            </w:r>
          </w:p>
        </w:tc>
        <w:tc>
          <w:tcPr>
            <w:tcW w:w="20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1,952,330</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w w:val="73"/>
              </w:rPr>
              <w:t>$</w:t>
            </w:r>
          </w:p>
        </w:tc>
        <w:tc>
          <w:tcPr>
            <w:tcW w:w="116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4.60</w:t>
            </w:r>
          </w:p>
        </w:tc>
        <w:tc>
          <w:tcPr>
            <w:tcW w:w="2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500,765</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spacing w:after="0" w:line="193" w:lineRule="exact"/>
              <w:rPr>
                <w:sz w:val="20"/>
                <w:szCs w:val="20"/>
                <w:color w:val="auto"/>
              </w:rPr>
            </w:pPr>
            <w:r>
              <w:rPr>
                <w:rFonts w:ascii="Calibri" w:cs="Calibri" w:eastAsia="Calibri" w:hAnsi="Calibri"/>
                <w:sz w:val="16"/>
                <w:szCs w:val="16"/>
                <w:b w:val="1"/>
                <w:bCs w:val="1"/>
                <w:color w:val="auto"/>
                <w:w w:val="97"/>
              </w:rPr>
              <w:t>$</w:t>
            </w:r>
          </w:p>
        </w:tc>
        <w:tc>
          <w:tcPr>
            <w:tcW w:w="1200" w:type="dxa"/>
            <w:vAlign w:val="bottom"/>
            <w:tcBorders>
              <w:top w:val="single" w:sz="8" w:color="auto"/>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b w:val="1"/>
                <w:bCs w:val="1"/>
                <w:color w:val="auto"/>
              </w:rPr>
              <w:t>25.46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-1842770</wp:posOffset>
            </wp:positionV>
            <wp:extent cx="76835"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-1842770</wp:posOffset>
            </wp:positionV>
            <wp:extent cx="76835"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-1842770</wp:posOffset>
            </wp:positionV>
            <wp:extent cx="68580"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-1842770</wp:posOffset>
            </wp:positionV>
            <wp:extent cx="68580"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-1842770</wp:posOffset>
            </wp:positionV>
            <wp:extent cx="6858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-1242695</wp:posOffset>
            </wp:positionV>
            <wp:extent cx="76835"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-1242695</wp:posOffset>
            </wp:positionV>
            <wp:extent cx="76835"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-1242695</wp:posOffset>
            </wp:positionV>
            <wp:extent cx="6858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-1242695</wp:posOffset>
            </wp:positionV>
            <wp:extent cx="68580"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-1242695</wp:posOffset>
            </wp:positionV>
            <wp:extent cx="6858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154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-642620</wp:posOffset>
            </wp:positionV>
            <wp:extent cx="4637405" cy="1714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637405" cy="17145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-25400</wp:posOffset>
            </wp:positionV>
            <wp:extent cx="768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768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Compensaton expense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years ended December 31, 2022, 2021 and 2020, equity-based compensaton expense related to RSUs was $8.4 million, $0.8 million and zero, respectvely. Unrecognized compensaton expense relatng to unvested RSUs as of December 31, 2022, was approximately $26.6 million, which is expected to be recognized over a weighted average period of approximately three years.</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years ended December 31, 2022, 2021 and 2020, equity-based compensaton expense related to stock optons was $6.2 million, $0.8 million and zero, respectvely. Unrecognized compensaton expense relatng to unvested stock optons as of December 31, 2022, was approximately $19.1 million, which is expected to be recognized over a weighted average period of approximately three years.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years ended December 31, 2022, 2021 and 2020, equity-based compensaton expense related to proft interests was $4.5 million, $4.4 million and $4.3 million, respectvely. Unrecognized compensaton expense as of December 31, 2022 related to these incentve units was $4.5 million, which is expected to be recognized over a weighted average period of approximately two years.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For the year ended December 31, 2022, equity-based compensaton expense excludes $0.1 million related to capitalized development costs.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declared a special dividend of $0.23 per share to holders of Class A common stock on October 18, 2021, which we paid on November 2, 2021. On November 2, 2021, the exercise price of outstanding optons was modifed and reduced by the same $0.23 per share. The amount recognized in the compensaton expense relatng to stock opton modifcatons for the year ended December 31, 2021 is immaterial.</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21. Earnings Per Share</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calculate basic and diluted net income (loss) per share of Class A common stock in accordance with ASC 260, </w:t>
      </w:r>
      <w:r>
        <w:rPr>
          <w:rFonts w:ascii="Calibri" w:cs="Calibri" w:eastAsia="Calibri" w:hAnsi="Calibri"/>
          <w:sz w:val="18"/>
          <w:szCs w:val="18"/>
          <w:i w:val="1"/>
          <w:iCs w:val="1"/>
          <w:color w:val="auto"/>
        </w:rPr>
        <w:t>Earnings per Share.</w:t>
      </w:r>
      <w:r>
        <w:rPr>
          <w:rFonts w:ascii="Calibri" w:cs="Calibri" w:eastAsia="Calibri" w:hAnsi="Calibri"/>
          <w:sz w:val="18"/>
          <w:szCs w:val="18"/>
          <w:color w:val="auto"/>
        </w:rPr>
        <w:t xml:space="preserve"> Class B common stock does not have economic rights in VSI and as a result, is not considered a</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1" w:name="page102"/>
    <w:bookmarkEnd w:id="101"/>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partcipatng security for basic and diluted income (loss) per share. As such, basic and diluted income (loss) per share of Class B common stock has not been presented. However, holders of Class B common stock are allocated income in Hoya Intermediate (our operatng entty) according to their weighted average percentage ownership of Intermediate Units during each quarter.</w:t>
      </w:r>
    </w:p>
    <w:p>
      <w:pPr>
        <w:spacing w:after="0" w:line="138"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Net loss atributable to redeemable noncontrolling interests is calculated by multplying Hoya Intermediate's net income (loss) incurred in each quarterly period by Hoya Topco's weighted average percentage ownership of Intermediate Units during the period.</w:t>
      </w:r>
    </w:p>
    <w:p>
      <w:pPr>
        <w:spacing w:after="0" w:line="15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following table provides the net income (loss) atributable to Hoya Topco's redeemable noncontrolling interest for the year ended December 31, 2022 and the period from October 18, 2021 to December 31,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80" w:type="dxa"/>
            <w:vAlign w:val="bottom"/>
          </w:tcPr>
          <w:p>
            <w:pPr>
              <w:spacing w:after="0"/>
              <w:rPr>
                <w:sz w:val="19"/>
                <w:szCs w:val="19"/>
                <w:color w:val="auto"/>
              </w:rPr>
            </w:pPr>
          </w:p>
        </w:tc>
        <w:tc>
          <w:tcPr>
            <w:tcW w:w="1600" w:type="dxa"/>
            <w:vAlign w:val="bottom"/>
          </w:tcPr>
          <w:p>
            <w:pPr>
              <w:jc w:val="right"/>
              <w:ind w:right="170"/>
              <w:spacing w:after="0"/>
              <w:rPr>
                <w:sz w:val="20"/>
                <w:szCs w:val="20"/>
                <w:color w:val="auto"/>
              </w:rPr>
            </w:pPr>
            <w:r>
              <w:rPr>
                <w:rFonts w:ascii="Calibri" w:cs="Calibri" w:eastAsia="Calibri" w:hAnsi="Calibri"/>
                <w:sz w:val="18"/>
                <w:szCs w:val="18"/>
                <w:b w:val="1"/>
                <w:bCs w:val="1"/>
                <w:color w:val="auto"/>
              </w:rPr>
              <w:t>2022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jc w:val="right"/>
              <w:ind w:right="89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
        </w:trPr>
        <w:tc>
          <w:tcPr>
            <w:tcW w:w="63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16"/>
        </w:trPr>
        <w:tc>
          <w:tcPr>
            <w:tcW w:w="63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income (loss)—Hoya Intermediate</w:t>
            </w:r>
          </w:p>
        </w:tc>
        <w:tc>
          <w:tcPr>
            <w:tcW w:w="1600" w:type="dxa"/>
            <w:vAlign w:val="bottom"/>
            <w:tcBorders>
              <w:bottom w:val="single" w:sz="8" w:color="CFF0FC"/>
            </w:tcBorders>
            <w:shd w:val="clear" w:color="auto" w:fill="CFF0FC"/>
          </w:tcPr>
          <w:p>
            <w:pPr>
              <w:jc w:val="right"/>
              <w:ind w:right="1410"/>
              <w:spacing w:after="0" w:line="208" w:lineRule="exact"/>
              <w:rPr>
                <w:sz w:val="20"/>
                <w:szCs w:val="20"/>
                <w:color w:val="auto"/>
              </w:rPr>
            </w:pPr>
            <w:r>
              <w:rPr>
                <w:rFonts w:ascii="Calibri" w:cs="Calibri" w:eastAsia="Calibri" w:hAnsi="Calibri"/>
                <w:sz w:val="18"/>
                <w:szCs w:val="18"/>
                <w:color w:val="auto"/>
                <w:w w:val="87"/>
              </w:rPr>
              <w:t>$</w:t>
            </w:r>
          </w:p>
        </w:tc>
        <w:tc>
          <w:tcPr>
            <w:tcW w:w="7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70,794</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ind w:right="350"/>
              <w:spacing w:after="0" w:line="208" w:lineRule="exact"/>
              <w:rPr>
                <w:sz w:val="20"/>
                <w:szCs w:val="20"/>
                <w:color w:val="auto"/>
              </w:rPr>
            </w:pPr>
            <w:r>
              <w:rPr>
                <w:rFonts w:ascii="Calibri" w:cs="Calibri" w:eastAsia="Calibri" w:hAnsi="Calibri"/>
                <w:sz w:val="18"/>
                <w:szCs w:val="18"/>
                <w:color w:val="auto"/>
                <w:w w:val="87"/>
              </w:rPr>
              <w:t>$</w:t>
            </w:r>
          </w:p>
        </w:tc>
        <w:tc>
          <w:tcPr>
            <w:tcW w:w="1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(5,024</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72"/>
              </w:rPr>
              <w:t>)</w:t>
            </w:r>
          </w:p>
        </w:tc>
        <w:tc>
          <w:tcPr>
            <w:tcW w:w="40" w:type="dxa"/>
            <w:vAlign w:val="bottom"/>
          </w:tcPr>
          <w:p>
            <w:pPr>
              <w:spacing w:after="0"/>
              <w:rPr>
                <w:sz w:val="18"/>
                <w:szCs w:val="18"/>
                <w:color w:val="auto"/>
              </w:rPr>
            </w:pPr>
          </w:p>
        </w:tc>
      </w:tr>
      <w:tr>
        <w:trPr>
          <w:trHeight w:val="220"/>
        </w:trPr>
        <w:tc>
          <w:tcPr>
            <w:tcW w:w="6380" w:type="dxa"/>
            <w:vAlign w:val="bottom"/>
          </w:tcPr>
          <w:p>
            <w:pPr>
              <w:ind w:left="20"/>
              <w:spacing w:after="0"/>
              <w:rPr>
                <w:sz w:val="20"/>
                <w:szCs w:val="20"/>
                <w:color w:val="auto"/>
              </w:rPr>
            </w:pPr>
            <w:r>
              <w:rPr>
                <w:rFonts w:ascii="Calibri" w:cs="Calibri" w:eastAsia="Calibri" w:hAnsi="Calibri"/>
                <w:sz w:val="18"/>
                <w:szCs w:val="18"/>
                <w:color w:val="auto"/>
              </w:rPr>
              <w:t>Hoya Topco’s weighted average % allocaton of Hoya Intermediate's net income (loss)</w:t>
            </w:r>
          </w:p>
        </w:tc>
        <w:tc>
          <w:tcPr>
            <w:tcW w:w="1600" w:type="dxa"/>
            <w:vAlign w:val="bottom"/>
          </w:tcPr>
          <w:p>
            <w:pPr>
              <w:spacing w:after="0"/>
              <w:rPr>
                <w:sz w:val="19"/>
                <w:szCs w:val="19"/>
                <w:color w:val="auto"/>
              </w:rPr>
            </w:pPr>
          </w:p>
        </w:tc>
        <w:tc>
          <w:tcPr>
            <w:tcW w:w="1380" w:type="dxa"/>
            <w:vAlign w:val="bottom"/>
            <w:gridSpan w:val="3"/>
          </w:tcPr>
          <w:p>
            <w:pPr>
              <w:jc w:val="right"/>
              <w:ind w:right="410"/>
              <w:spacing w:after="0" w:line="215" w:lineRule="exact"/>
              <w:rPr>
                <w:sz w:val="20"/>
                <w:szCs w:val="20"/>
                <w:color w:val="auto"/>
              </w:rPr>
            </w:pPr>
            <w:r>
              <w:rPr>
                <w:rFonts w:ascii="Calibri" w:cs="Calibri" w:eastAsia="Calibri" w:hAnsi="Calibri"/>
                <w:sz w:val="18"/>
                <w:szCs w:val="18"/>
                <w:color w:val="auto"/>
              </w:rPr>
              <w:t>59.5 %</w:t>
            </w:r>
          </w:p>
        </w:tc>
        <w:tc>
          <w:tcPr>
            <w:tcW w:w="1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59.9 %</w:t>
            </w:r>
          </w:p>
        </w:tc>
      </w:tr>
      <w:tr>
        <w:trPr>
          <w:trHeight w:val="23"/>
        </w:trPr>
        <w:tc>
          <w:tcPr>
            <w:tcW w:w="6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62"/>
        </w:trPr>
        <w:tc>
          <w:tcPr>
            <w:tcW w:w="6380" w:type="dxa"/>
            <w:vAlign w:val="bottom"/>
            <w:tcBorders>
              <w:bottom w:val="single" w:sz="8" w:color="CFF0FC"/>
            </w:tcBorders>
            <w:shd w:val="clear" w:color="auto" w:fill="CFF0FC"/>
          </w:tcPr>
          <w:p>
            <w:pPr>
              <w:ind w:left="120"/>
              <w:spacing w:after="0" w:line="213" w:lineRule="exact"/>
              <w:rPr>
                <w:sz w:val="20"/>
                <w:szCs w:val="20"/>
                <w:color w:val="auto"/>
              </w:rPr>
            </w:pPr>
            <w:r>
              <w:rPr>
                <w:rFonts w:ascii="Calibri" w:cs="Calibri" w:eastAsia="Calibri" w:hAnsi="Calibri"/>
                <w:sz w:val="18"/>
                <w:szCs w:val="18"/>
                <w:color w:val="auto"/>
              </w:rPr>
              <w:t>Net income (loss) atributable to Hoya Topco's redeemable noncontrolling interests</w:t>
            </w:r>
          </w:p>
        </w:tc>
        <w:tc>
          <w:tcPr>
            <w:tcW w:w="1600" w:type="dxa"/>
            <w:vAlign w:val="bottom"/>
            <w:tcBorders>
              <w:top w:val="single" w:sz="8" w:color="auto"/>
              <w:bottom w:val="single" w:sz="8" w:color="CFF0FC"/>
            </w:tcBorders>
            <w:shd w:val="clear" w:color="auto" w:fill="CFF0FC"/>
          </w:tcPr>
          <w:p>
            <w:pPr>
              <w:jc w:val="right"/>
              <w:ind w:right="1410"/>
              <w:spacing w:after="0" w:line="213" w:lineRule="exact"/>
              <w:rPr>
                <w:sz w:val="20"/>
                <w:szCs w:val="20"/>
                <w:color w:val="auto"/>
              </w:rPr>
            </w:pPr>
            <w:r>
              <w:rPr>
                <w:rFonts w:ascii="Calibri" w:cs="Calibri" w:eastAsia="Calibri" w:hAnsi="Calibri"/>
                <w:sz w:val="18"/>
                <w:szCs w:val="18"/>
                <w:color w:val="auto"/>
                <w:w w:val="87"/>
              </w:rPr>
              <w:t>$</w:t>
            </w:r>
          </w:p>
        </w:tc>
        <w:tc>
          <w:tcPr>
            <w:tcW w:w="74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42,117</w:t>
            </w:r>
          </w:p>
        </w:tc>
        <w:tc>
          <w:tcPr>
            <w:tcW w:w="1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top w:val="single" w:sz="8" w:color="auto"/>
              <w:bottom w:val="single" w:sz="8" w:color="CFF0FC"/>
            </w:tcBorders>
            <w:shd w:val="clear" w:color="auto" w:fill="CFF0FC"/>
          </w:tcPr>
          <w:p>
            <w:pPr>
              <w:jc w:val="right"/>
              <w:ind w:right="350"/>
              <w:spacing w:after="0" w:line="213" w:lineRule="exact"/>
              <w:rPr>
                <w:sz w:val="20"/>
                <w:szCs w:val="20"/>
                <w:color w:val="auto"/>
              </w:rPr>
            </w:pPr>
            <w:r>
              <w:rPr>
                <w:rFonts w:ascii="Calibri" w:cs="Calibri" w:eastAsia="Calibri" w:hAnsi="Calibri"/>
                <w:sz w:val="18"/>
                <w:szCs w:val="18"/>
                <w:color w:val="auto"/>
                <w:w w:val="87"/>
              </w:rPr>
              <w:t>$</w:t>
            </w:r>
          </w:p>
        </w:tc>
        <w:tc>
          <w:tcPr>
            <w:tcW w:w="178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(3,010</w:t>
            </w:r>
          </w:p>
        </w:tc>
        <w:tc>
          <w:tcPr>
            <w:tcW w:w="1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w w:val="72"/>
              </w:rPr>
              <w:t>)</w:t>
            </w:r>
          </w:p>
        </w:tc>
        <w:tc>
          <w:tcPr>
            <w:tcW w:w="40" w:type="dxa"/>
            <w:vAlign w:val="bottom"/>
          </w:tcPr>
          <w:p>
            <w:pPr>
              <w:spacing w:after="0"/>
              <w:rPr>
                <w:sz w:val="22"/>
                <w:szCs w:val="22"/>
                <w:color w:val="auto"/>
              </w:rPr>
            </w:pPr>
          </w:p>
        </w:tc>
      </w:tr>
      <w:tr>
        <w:trPr>
          <w:trHeight w:val="20"/>
        </w:trPr>
        <w:tc>
          <w:tcPr>
            <w:tcW w:w="638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Net income (loss) to Class A common stock–basic is calculated by subtractng the porton of Hoya Intermediate's net loss atributable to redeemable noncontrolling interests from our total net loss, which includes our net loss for actvites outside of our investment in Hoya Intermediate as well as the full results of Hoya Intermediate on a consolidated basis.</w:t>
      </w:r>
    </w:p>
    <w:p>
      <w:pPr>
        <w:spacing w:after="0" w:line="138"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Net income (loss) per Class A common stock–diluted is based on the average number of shares of Class A common stock used for the basic earnings per share calculaton, adjusted for the weighted-average number of common share equivalents outstanding for the period determined using the treasury stock method and if-converted method, as applicable. Net income (loss) atributable to Class A common stockholders–diluted is adjusted for our share of Hoya Intermediate’s consolidated net loss afer giving efect to Intermediate Units that convert into potental shares of Class A common stock, to the extent it is dilutve. In additon, Net income (loss) atributable to Class A common stockholders–diluted is adjusted for the impact of changes in the fair value of Hoya Intermediate Warrants, to the extent they are dilutve.</w:t>
      </w:r>
    </w:p>
    <w:p>
      <w:pPr>
        <w:spacing w:after="0" w:line="154"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following tables set forth the computaton of basic and diluted net income (loss) per share of Class A common stock for the year ended December 31, 2022 and the period from October 18, 2021 to December 31, 2021 where we had Class A and Class B common stock outstanding (in thousands, except share and per share data):</w:t>
      </w:r>
    </w:p>
    <w:p>
      <w:pPr>
        <w:spacing w:after="0" w:line="106"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2" w:right="299" w:bottom="1440" w:gutter="0" w:footer="0" w:header="0"/>
        </w:sectPr>
      </w:pPr>
    </w:p>
    <w:bookmarkStart w:id="102" w:name="page103"/>
    <w:bookmarkEnd w:id="10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tcPr>
          <w:p>
            <w:pPr>
              <w:jc w:val="right"/>
              <w:ind w:right="87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44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Numerator—basic:</w:t>
            </w:r>
          </w:p>
        </w:tc>
        <w:tc>
          <w:tcPr>
            <w:tcW w:w="1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64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income (loss)</w:t>
            </w:r>
          </w:p>
        </w:tc>
        <w:tc>
          <w:tcPr>
            <w:tcW w:w="1360" w:type="dxa"/>
            <w:vAlign w:val="bottom"/>
            <w:tcBorders>
              <w:bottom w:val="single" w:sz="8" w:color="CFF0FC"/>
            </w:tcBorders>
            <w:shd w:val="clear" w:color="auto" w:fill="CFF0FC"/>
          </w:tcPr>
          <w:p>
            <w:pPr>
              <w:jc w:val="right"/>
              <w:ind w:right="11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70,779</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ind w:right="330"/>
              <w:spacing w:after="0" w:line="215" w:lineRule="exact"/>
              <w:rPr>
                <w:sz w:val="20"/>
                <w:szCs w:val="20"/>
                <w:color w:val="auto"/>
              </w:rPr>
            </w:pPr>
            <w:r>
              <w:rPr>
                <w:rFonts w:ascii="Calibri" w:cs="Calibri" w:eastAsia="Calibri" w:hAnsi="Calibri"/>
                <w:sz w:val="18"/>
                <w:szCs w:val="18"/>
                <w:color w:val="auto"/>
                <w:w w:val="87"/>
              </w:rPr>
              <w:t>$</w:t>
            </w:r>
          </w:p>
        </w:tc>
        <w:tc>
          <w:tcPr>
            <w:tcW w:w="18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(6,293 )</w:t>
            </w:r>
          </w:p>
        </w:tc>
        <w:tc>
          <w:tcPr>
            <w:tcW w:w="0" w:type="dxa"/>
            <w:vAlign w:val="bottom"/>
          </w:tcPr>
          <w:p>
            <w:pPr>
              <w:spacing w:after="0"/>
              <w:rPr>
                <w:sz w:val="1"/>
                <w:szCs w:val="1"/>
                <w:color w:val="auto"/>
              </w:rPr>
            </w:pPr>
          </w:p>
        </w:tc>
      </w:tr>
      <w:tr>
        <w:trPr>
          <w:trHeight w:val="215"/>
        </w:trPr>
        <w:tc>
          <w:tcPr>
            <w:tcW w:w="6440" w:type="dxa"/>
            <w:vAlign w:val="bottom"/>
          </w:tcPr>
          <w:p>
            <w:pPr>
              <w:ind w:left="120"/>
              <w:spacing w:after="0" w:line="215" w:lineRule="exact"/>
              <w:rPr>
                <w:sz w:val="20"/>
                <w:szCs w:val="20"/>
                <w:color w:val="auto"/>
              </w:rPr>
            </w:pPr>
            <w:r>
              <w:rPr>
                <w:rFonts w:ascii="Calibri" w:cs="Calibri" w:eastAsia="Calibri" w:hAnsi="Calibri"/>
                <w:sz w:val="18"/>
                <w:szCs w:val="18"/>
                <w:color w:val="auto"/>
              </w:rPr>
              <w:t>Less: (Income) loss atributable to redeemable noncontrolling interests</w:t>
            </w:r>
          </w:p>
        </w:tc>
        <w:tc>
          <w:tcPr>
            <w:tcW w:w="1360" w:type="dxa"/>
            <w:vAlign w:val="bottom"/>
          </w:tcPr>
          <w:p>
            <w:pPr>
              <w:spacing w:after="0"/>
              <w:rPr>
                <w:sz w:val="18"/>
                <w:szCs w:val="18"/>
                <w:color w:val="auto"/>
              </w:rPr>
            </w:pPr>
          </w:p>
        </w:tc>
        <w:tc>
          <w:tcPr>
            <w:tcW w:w="10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(42,117 )</w:t>
            </w:r>
          </w:p>
        </w:tc>
        <w:tc>
          <w:tcPr>
            <w:tcW w:w="520" w:type="dxa"/>
            <w:vAlign w:val="bottom"/>
          </w:tcPr>
          <w:p>
            <w:pPr>
              <w:spacing w:after="0"/>
              <w:rPr>
                <w:sz w:val="18"/>
                <w:szCs w:val="18"/>
                <w:color w:val="auto"/>
              </w:rPr>
            </w:pPr>
          </w:p>
        </w:tc>
        <w:tc>
          <w:tcPr>
            <w:tcW w:w="1760" w:type="dxa"/>
            <w:vAlign w:val="bottom"/>
          </w:tcPr>
          <w:p>
            <w:pPr>
              <w:jc w:val="right"/>
              <w:spacing w:after="0" w:line="215" w:lineRule="exact"/>
              <w:rPr>
                <w:sz w:val="20"/>
                <w:szCs w:val="20"/>
                <w:color w:val="auto"/>
              </w:rPr>
            </w:pPr>
            <w:r>
              <w:rPr>
                <w:rFonts w:ascii="Calibri" w:cs="Calibri" w:eastAsia="Calibri" w:hAnsi="Calibri"/>
                <w:sz w:val="18"/>
                <w:szCs w:val="18"/>
                <w:color w:val="auto"/>
              </w:rPr>
              <w:t>3,010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440" w:type="dxa"/>
            <w:vAlign w:val="bottom"/>
            <w:tcBorders>
              <w:bottom w:val="single" w:sz="8" w:color="CFF0FC"/>
            </w:tcBorders>
            <w:shd w:val="clear" w:color="auto" w:fill="CFF0FC"/>
          </w:tcPr>
          <w:p>
            <w:pPr>
              <w:ind w:left="120"/>
              <w:spacing w:after="0" w:line="208" w:lineRule="exact"/>
              <w:rPr>
                <w:sz w:val="20"/>
                <w:szCs w:val="20"/>
                <w:color w:val="auto"/>
              </w:rPr>
            </w:pPr>
            <w:r>
              <w:rPr>
                <w:rFonts w:ascii="Calibri" w:cs="Calibri" w:eastAsia="Calibri" w:hAnsi="Calibri"/>
                <w:sz w:val="18"/>
                <w:szCs w:val="18"/>
                <w:color w:val="auto"/>
              </w:rPr>
              <w:t>Net income (loss) atributable to Class A Common Stockholders—basic</w:t>
            </w:r>
          </w:p>
        </w:tc>
        <w:tc>
          <w:tcPr>
            <w:tcW w:w="1360" w:type="dxa"/>
            <w:vAlign w:val="bottom"/>
            <w:tcBorders>
              <w:top w:val="single" w:sz="8" w:color="auto"/>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28,662</w:t>
            </w:r>
          </w:p>
        </w:tc>
        <w:tc>
          <w:tcPr>
            <w:tcW w:w="1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CFF0FC"/>
            </w:tcBorders>
            <w:shd w:val="clear" w:color="auto" w:fill="CFF0FC"/>
          </w:tcPr>
          <w:p>
            <w:pPr>
              <w:spacing w:after="0"/>
              <w:rPr>
                <w:sz w:val="20"/>
                <w:szCs w:val="20"/>
                <w:color w:val="auto"/>
              </w:rPr>
            </w:pPr>
          </w:p>
        </w:tc>
        <w:tc>
          <w:tcPr>
            <w:tcW w:w="17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(3,283</w:t>
            </w: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08"/>
        </w:trPr>
        <w:tc>
          <w:tcPr>
            <w:tcW w:w="64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Denominator—basic:</w:t>
            </w:r>
          </w:p>
        </w:tc>
        <w:tc>
          <w:tcPr>
            <w:tcW w:w="1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Weighted average Class A common stock outstanding—basic</w:t>
            </w:r>
          </w:p>
        </w:tc>
        <w:tc>
          <w:tcPr>
            <w:tcW w:w="13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80,257,247</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77,498,775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40" w:type="dxa"/>
            <w:vAlign w:val="bottom"/>
          </w:tcPr>
          <w:p>
            <w:pPr>
              <w:ind w:left="20"/>
              <w:spacing w:after="0" w:line="213" w:lineRule="exact"/>
              <w:rPr>
                <w:sz w:val="20"/>
                <w:szCs w:val="20"/>
                <w:color w:val="auto"/>
              </w:rPr>
            </w:pPr>
            <w:r>
              <w:rPr>
                <w:rFonts w:ascii="Calibri" w:cs="Calibri" w:eastAsia="Calibri" w:hAnsi="Calibri"/>
                <w:sz w:val="18"/>
                <w:szCs w:val="18"/>
                <w:b w:val="1"/>
                <w:bCs w:val="1"/>
                <w:color w:val="auto"/>
              </w:rPr>
              <w:t>Net income (loss) per Class A common stock—basic</w:t>
            </w:r>
          </w:p>
        </w:tc>
        <w:tc>
          <w:tcPr>
            <w:tcW w:w="1360" w:type="dxa"/>
            <w:vAlign w:val="bottom"/>
          </w:tcPr>
          <w:p>
            <w:pPr>
              <w:jc w:val="right"/>
              <w:ind w:right="1150"/>
              <w:spacing w:after="0" w:line="213" w:lineRule="exact"/>
              <w:rPr>
                <w:sz w:val="20"/>
                <w:szCs w:val="20"/>
                <w:color w:val="auto"/>
              </w:rPr>
            </w:pPr>
            <w:r>
              <w:rPr>
                <w:rFonts w:ascii="Calibri" w:cs="Calibri" w:eastAsia="Calibri" w:hAnsi="Calibri"/>
                <w:sz w:val="18"/>
                <w:szCs w:val="18"/>
                <w:b w:val="1"/>
                <w:bCs w:val="1"/>
                <w:color w:val="auto"/>
              </w:rPr>
              <w:t>$</w:t>
            </w:r>
          </w:p>
        </w:tc>
        <w:tc>
          <w:tcPr>
            <w:tcW w:w="940" w:type="dxa"/>
            <w:vAlign w:val="bottom"/>
          </w:tcPr>
          <w:p>
            <w:pPr>
              <w:jc w:val="right"/>
              <w:spacing w:after="0" w:line="213" w:lineRule="exact"/>
              <w:rPr>
                <w:sz w:val="20"/>
                <w:szCs w:val="20"/>
                <w:color w:val="auto"/>
              </w:rPr>
            </w:pPr>
            <w:r>
              <w:rPr>
                <w:rFonts w:ascii="Calibri" w:cs="Calibri" w:eastAsia="Calibri" w:hAnsi="Calibri"/>
                <w:sz w:val="18"/>
                <w:szCs w:val="18"/>
                <w:b w:val="1"/>
                <w:bCs w:val="1"/>
                <w:color w:val="auto"/>
              </w:rPr>
              <w:t>0.36</w:t>
            </w:r>
          </w:p>
        </w:tc>
        <w:tc>
          <w:tcPr>
            <w:tcW w:w="120" w:type="dxa"/>
            <w:vAlign w:val="bottom"/>
          </w:tcPr>
          <w:p>
            <w:pPr>
              <w:spacing w:after="0"/>
              <w:rPr>
                <w:sz w:val="18"/>
                <w:szCs w:val="18"/>
                <w:color w:val="auto"/>
              </w:rPr>
            </w:pPr>
          </w:p>
        </w:tc>
        <w:tc>
          <w:tcPr>
            <w:tcW w:w="520" w:type="dxa"/>
            <w:vAlign w:val="bottom"/>
          </w:tcPr>
          <w:p>
            <w:pPr>
              <w:jc w:val="right"/>
              <w:ind w:right="330"/>
              <w:spacing w:after="0" w:line="213" w:lineRule="exact"/>
              <w:rPr>
                <w:sz w:val="20"/>
                <w:szCs w:val="20"/>
                <w:color w:val="auto"/>
              </w:rPr>
            </w:pPr>
            <w:r>
              <w:rPr>
                <w:rFonts w:ascii="Calibri" w:cs="Calibri" w:eastAsia="Calibri" w:hAnsi="Calibri"/>
                <w:sz w:val="18"/>
                <w:szCs w:val="18"/>
                <w:b w:val="1"/>
                <w:bCs w:val="1"/>
                <w:color w:val="auto"/>
                <w:w w:val="87"/>
              </w:rPr>
              <w:t>$</w:t>
            </w:r>
          </w:p>
        </w:tc>
        <w:tc>
          <w:tcPr>
            <w:tcW w:w="1860" w:type="dxa"/>
            <w:vAlign w:val="bottom"/>
            <w:gridSpan w:val="2"/>
          </w:tcPr>
          <w:p>
            <w:pPr>
              <w:jc w:val="right"/>
              <w:spacing w:after="0" w:line="213" w:lineRule="exact"/>
              <w:rPr>
                <w:sz w:val="20"/>
                <w:szCs w:val="20"/>
                <w:color w:val="auto"/>
              </w:rPr>
            </w:pPr>
            <w:r>
              <w:rPr>
                <w:rFonts w:ascii="Calibri" w:cs="Calibri" w:eastAsia="Calibri" w:hAnsi="Calibri"/>
                <w:sz w:val="18"/>
                <w:szCs w:val="18"/>
                <w:b w:val="1"/>
                <w:bCs w:val="1"/>
                <w:color w:val="auto"/>
              </w:rPr>
              <w:t>(0.04 )</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Numerator—diluted:</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income (loss) atributable to Class A Common Stockholders—basic</w:t>
            </w:r>
          </w:p>
        </w:tc>
        <w:tc>
          <w:tcPr>
            <w:tcW w:w="1360" w:type="dxa"/>
            <w:vAlign w:val="bottom"/>
            <w:tcBorders>
              <w:bottom w:val="single" w:sz="8" w:color="CFF0FC"/>
            </w:tcBorders>
            <w:shd w:val="clear" w:color="auto" w:fill="CFF0FC"/>
          </w:tcPr>
          <w:p>
            <w:pPr>
              <w:jc w:val="right"/>
              <w:ind w:right="11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28,662</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ind w:right="330"/>
              <w:spacing w:after="0" w:line="215" w:lineRule="exact"/>
              <w:rPr>
                <w:sz w:val="20"/>
                <w:szCs w:val="20"/>
                <w:color w:val="auto"/>
              </w:rPr>
            </w:pPr>
            <w:r>
              <w:rPr>
                <w:rFonts w:ascii="Calibri" w:cs="Calibri" w:eastAsia="Calibri" w:hAnsi="Calibri"/>
                <w:sz w:val="18"/>
                <w:szCs w:val="18"/>
                <w:color w:val="auto"/>
                <w:w w:val="87"/>
              </w:rPr>
              <w:t>$</w:t>
            </w:r>
          </w:p>
        </w:tc>
        <w:tc>
          <w:tcPr>
            <w:tcW w:w="18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(3,283 )</w:t>
            </w:r>
          </w:p>
        </w:tc>
        <w:tc>
          <w:tcPr>
            <w:tcW w:w="0" w:type="dxa"/>
            <w:vAlign w:val="bottom"/>
          </w:tcPr>
          <w:p>
            <w:pPr>
              <w:spacing w:after="0"/>
              <w:rPr>
                <w:sz w:val="1"/>
                <w:szCs w:val="1"/>
                <w:color w:val="auto"/>
              </w:rPr>
            </w:pPr>
          </w:p>
        </w:tc>
      </w:tr>
      <w:tr>
        <w:trPr>
          <w:trHeight w:val="215"/>
        </w:trPr>
        <w:tc>
          <w:tcPr>
            <w:tcW w:w="644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(loss) efect of dilutve securites:</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Efect of dilutve Exercise Warrants</w:t>
            </w:r>
          </w:p>
        </w:tc>
        <w:tc>
          <w:tcPr>
            <w:tcW w:w="13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644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dilutve RSUs</w:t>
            </w:r>
          </w:p>
        </w:tc>
        <w:tc>
          <w:tcPr>
            <w:tcW w:w="13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Efect of dilutve noncontrolling interests</w:t>
            </w:r>
          </w:p>
        </w:tc>
        <w:tc>
          <w:tcPr>
            <w:tcW w:w="13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42,056</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644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dilutve Hoya Intermediate Warrants</w:t>
            </w:r>
          </w:p>
        </w:tc>
        <w:tc>
          <w:tcPr>
            <w:tcW w:w="1360" w:type="dxa"/>
            <w:vAlign w:val="bottom"/>
          </w:tcPr>
          <w:p>
            <w:pPr>
              <w:spacing w:after="0"/>
              <w:rPr>
                <w:sz w:val="18"/>
                <w:szCs w:val="18"/>
                <w:color w:val="auto"/>
              </w:rPr>
            </w:pPr>
          </w:p>
        </w:tc>
        <w:tc>
          <w:tcPr>
            <w:tcW w:w="10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spacing w:after="0"/>
              <w:rPr>
                <w:sz w:val="18"/>
                <w:szCs w:val="18"/>
                <w:color w:val="auto"/>
              </w:rPr>
            </w:pPr>
          </w:p>
        </w:tc>
        <w:tc>
          <w:tcPr>
            <w:tcW w:w="18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(123 )</w:t>
            </w: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440" w:type="dxa"/>
            <w:vAlign w:val="bottom"/>
            <w:tcBorders>
              <w:bottom w:val="single" w:sz="8" w:color="CFF0FC"/>
            </w:tcBorders>
            <w:shd w:val="clear" w:color="auto" w:fill="CFF0FC"/>
          </w:tcPr>
          <w:p>
            <w:pPr>
              <w:ind w:left="120"/>
              <w:spacing w:after="0" w:line="213" w:lineRule="exact"/>
              <w:rPr>
                <w:sz w:val="20"/>
                <w:szCs w:val="20"/>
                <w:color w:val="auto"/>
              </w:rPr>
            </w:pPr>
            <w:r>
              <w:rPr>
                <w:rFonts w:ascii="Calibri" w:cs="Calibri" w:eastAsia="Calibri" w:hAnsi="Calibri"/>
                <w:sz w:val="18"/>
                <w:szCs w:val="18"/>
                <w:color w:val="auto"/>
              </w:rPr>
              <w:t>Net income (loss) atributable to Class A Common Stockholders—diluted</w:t>
            </w:r>
          </w:p>
        </w:tc>
        <w:tc>
          <w:tcPr>
            <w:tcW w:w="1360" w:type="dxa"/>
            <w:vAlign w:val="bottom"/>
            <w:tcBorders>
              <w:top w:val="single" w:sz="8" w:color="auto"/>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70,779</w:t>
            </w:r>
          </w:p>
        </w:tc>
        <w:tc>
          <w:tcPr>
            <w:tcW w:w="1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CFF0FC"/>
            </w:tcBorders>
            <w:shd w:val="clear" w:color="auto" w:fill="CFF0FC"/>
          </w:tcPr>
          <w:p>
            <w:pPr>
              <w:spacing w:after="0"/>
              <w:rPr>
                <w:sz w:val="20"/>
                <w:szCs w:val="20"/>
                <w:color w:val="auto"/>
              </w:rPr>
            </w:pPr>
          </w:p>
        </w:tc>
        <w:tc>
          <w:tcPr>
            <w:tcW w:w="1760" w:type="dxa"/>
            <w:vAlign w:val="bottom"/>
            <w:tcBorders>
              <w:top w:val="single" w:sz="8" w:color="auto"/>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(3,406</w:t>
            </w:r>
          </w:p>
        </w:tc>
        <w:tc>
          <w:tcPr>
            <w:tcW w:w="1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08"/>
        </w:trPr>
        <w:tc>
          <w:tcPr>
            <w:tcW w:w="64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Denominator—diluted:</w:t>
            </w:r>
          </w:p>
        </w:tc>
        <w:tc>
          <w:tcPr>
            <w:tcW w:w="1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Weighted average Class A common stock outstanding—basic</w:t>
            </w:r>
          </w:p>
        </w:tc>
        <w:tc>
          <w:tcPr>
            <w:tcW w:w="13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80,257,247</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77,498,775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120"/>
              <w:spacing w:after="0" w:line="215" w:lineRule="exact"/>
              <w:rPr>
                <w:sz w:val="20"/>
                <w:szCs w:val="20"/>
                <w:color w:val="auto"/>
              </w:rPr>
            </w:pPr>
            <w:r>
              <w:rPr>
                <w:rFonts w:ascii="Calibri" w:cs="Calibri" w:eastAsia="Calibri" w:hAnsi="Calibri"/>
                <w:sz w:val="18"/>
                <w:szCs w:val="18"/>
                <w:color w:val="auto"/>
              </w:rPr>
              <w:t>Weighted average efect of dilutve securites:</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Efect of dilutve Exercise Warrants</w:t>
            </w:r>
          </w:p>
        </w:tc>
        <w:tc>
          <w:tcPr>
            <w:tcW w:w="13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258,906</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644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dilutve RSUs</w:t>
            </w:r>
          </w:p>
        </w:tc>
        <w:tc>
          <w:tcPr>
            <w:tcW w:w="13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28,228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44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Efect of dilutve noncontrolling interests</w:t>
            </w:r>
          </w:p>
        </w:tc>
        <w:tc>
          <w:tcPr>
            <w:tcW w:w="1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118,200,000</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3"/>
        </w:trPr>
        <w:tc>
          <w:tcPr>
            <w:tcW w:w="6440" w:type="dxa"/>
            <w:vAlign w:val="bottom"/>
            <w:tcBorders>
              <w:top w:val="single" w:sz="8" w:color="CFF0FC"/>
            </w:tcBorders>
          </w:tcPr>
          <w:p>
            <w:pPr>
              <w:ind w:left="120"/>
              <w:spacing w:after="0" w:line="213" w:lineRule="exact"/>
              <w:rPr>
                <w:sz w:val="20"/>
                <w:szCs w:val="20"/>
                <w:color w:val="auto"/>
              </w:rPr>
            </w:pPr>
            <w:r>
              <w:rPr>
                <w:rFonts w:ascii="Calibri" w:cs="Calibri" w:eastAsia="Calibri" w:hAnsi="Calibri"/>
                <w:sz w:val="18"/>
                <w:szCs w:val="18"/>
                <w:color w:val="auto"/>
              </w:rPr>
              <w:t>Weighted average Class A common stock outstanding—diluted</w:t>
            </w:r>
          </w:p>
        </w:tc>
        <w:tc>
          <w:tcPr>
            <w:tcW w:w="1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198,744,381</w:t>
            </w:r>
          </w:p>
        </w:tc>
        <w:tc>
          <w:tcPr>
            <w:tcW w:w="12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77,498,775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4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Net income (loss) per Class A common stock—diluted</w:t>
            </w:r>
          </w:p>
        </w:tc>
        <w:tc>
          <w:tcPr>
            <w:tcW w:w="1360" w:type="dxa"/>
            <w:vAlign w:val="bottom"/>
            <w:tcBorders>
              <w:top w:val="single" w:sz="8" w:color="auto"/>
              <w:bottom w:val="single" w:sz="8" w:color="auto"/>
            </w:tcBorders>
            <w:shd w:val="clear" w:color="auto" w:fill="CFF0FC"/>
          </w:tcPr>
          <w:p>
            <w:pPr>
              <w:jc w:val="right"/>
              <w:ind w:right="1150"/>
              <w:spacing w:after="0" w:line="215" w:lineRule="exact"/>
              <w:rPr>
                <w:sz w:val="20"/>
                <w:szCs w:val="20"/>
                <w:color w:val="auto"/>
              </w:rPr>
            </w:pPr>
            <w:r>
              <w:rPr>
                <w:rFonts w:ascii="Calibri" w:cs="Calibri" w:eastAsia="Calibri" w:hAnsi="Calibri"/>
                <w:sz w:val="18"/>
                <w:szCs w:val="18"/>
                <w:b w:val="1"/>
                <w:bCs w:val="1"/>
                <w:color w:val="auto"/>
              </w:rPr>
              <w:t>$</w:t>
            </w:r>
          </w:p>
        </w:tc>
        <w:tc>
          <w:tcPr>
            <w:tcW w:w="9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0.36</w:t>
            </w:r>
          </w:p>
        </w:tc>
        <w:tc>
          <w:tcPr>
            <w:tcW w:w="1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30"/>
              <w:spacing w:after="0" w:line="215" w:lineRule="exact"/>
              <w:rPr>
                <w:sz w:val="20"/>
                <w:szCs w:val="20"/>
                <w:color w:val="auto"/>
              </w:rPr>
            </w:pPr>
            <w:r>
              <w:rPr>
                <w:rFonts w:ascii="Calibri" w:cs="Calibri" w:eastAsia="Calibri" w:hAnsi="Calibri"/>
                <w:sz w:val="18"/>
                <w:szCs w:val="18"/>
                <w:b w:val="1"/>
                <w:bCs w:val="1"/>
                <w:color w:val="auto"/>
                <w:w w:val="87"/>
              </w:rPr>
              <w:t>$</w:t>
            </w:r>
          </w:p>
        </w:tc>
        <w:tc>
          <w:tcPr>
            <w:tcW w:w="17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(0.04</w:t>
            </w:r>
          </w:p>
        </w:tc>
        <w:tc>
          <w:tcPr>
            <w:tcW w:w="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7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-3188335</wp:posOffset>
            </wp:positionV>
            <wp:extent cx="68580" cy="1631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1631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-2871470</wp:posOffset>
            </wp:positionV>
            <wp:extent cx="68580" cy="1885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-2871470</wp:posOffset>
            </wp:positionV>
            <wp:extent cx="68580" cy="1885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-1285240</wp:posOffset>
            </wp:positionV>
            <wp:extent cx="68580" cy="1631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1631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-350520</wp:posOffset>
            </wp:positionV>
            <wp:extent cx="68580" cy="1714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Potental shares of common stock are excluded from the computaton of diluted net income per share if their efect would have been ant-dilutve for the period presented or if the issuance of shares is contngent upon events that did not occur by the end of the period.</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tables present potentally dilutve securites excluded from the computaton of diluted net income per share for the periods presented that could potentally dilute earnings per share in the future: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60" w:type="dxa"/>
            <w:vAlign w:val="bottom"/>
            <w:gridSpan w:val="2"/>
          </w:tcPr>
          <w:p>
            <w:pPr>
              <w:ind w:left="7440"/>
              <w:spacing w:after="0"/>
              <w:rPr>
                <w:sz w:val="20"/>
                <w:szCs w:val="20"/>
                <w:color w:val="auto"/>
              </w:rPr>
            </w:pPr>
            <w:r>
              <w:rPr>
                <w:rFonts w:ascii="Calibri" w:cs="Calibri" w:eastAsia="Calibri" w:hAnsi="Calibri"/>
                <w:sz w:val="18"/>
                <w:szCs w:val="18"/>
                <w:b w:val="1"/>
                <w:bCs w:val="1"/>
                <w:color w:val="auto"/>
              </w:rPr>
              <w:t>2022</w:t>
            </w:r>
          </w:p>
        </w:tc>
        <w:tc>
          <w:tcPr>
            <w:tcW w:w="880" w:type="dxa"/>
            <w:vAlign w:val="bottom"/>
          </w:tcPr>
          <w:p>
            <w:pPr>
              <w:spacing w:after="0"/>
              <w:rPr>
                <w:sz w:val="19"/>
                <w:szCs w:val="19"/>
                <w:color w:val="auto"/>
              </w:rPr>
            </w:pPr>
          </w:p>
        </w:tc>
        <w:tc>
          <w:tcPr>
            <w:tcW w:w="2400" w:type="dxa"/>
            <w:vAlign w:val="bottom"/>
            <w:gridSpan w:val="2"/>
          </w:tcPr>
          <w:p>
            <w:pPr>
              <w:jc w:val="right"/>
              <w:ind w:right="87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r>
      <w:tr>
        <w:trPr>
          <w:trHeight w:val="37"/>
        </w:trPr>
        <w:tc>
          <w:tcPr>
            <w:tcW w:w="786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4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RSUs</w:t>
            </w:r>
          </w:p>
        </w:tc>
        <w:tc>
          <w:tcPr>
            <w:tcW w:w="1380" w:type="dxa"/>
            <w:vAlign w:val="bottom"/>
            <w:tcBorders>
              <w:top w:val="single" w:sz="8" w:color="auto"/>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1,224,919</w:t>
            </w:r>
          </w:p>
        </w:tc>
        <w:tc>
          <w:tcPr>
            <w:tcW w:w="120" w:type="dxa"/>
            <w:vAlign w:val="bottom"/>
            <w:tcBorders>
              <w:bottom w:val="single" w:sz="8" w:color="CFF0FC"/>
            </w:tcBorders>
            <w:shd w:val="clear" w:color="auto" w:fill="CFF0FC"/>
          </w:tcPr>
          <w:p>
            <w:pPr>
              <w:spacing w:after="0"/>
              <w:rPr>
                <w:sz w:val="18"/>
                <w:szCs w:val="18"/>
                <w:color w:val="auto"/>
              </w:rPr>
            </w:pPr>
          </w:p>
        </w:tc>
        <w:tc>
          <w:tcPr>
            <w:tcW w:w="22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1,378,111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8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Stock optons</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6,300,837</w:t>
            </w:r>
          </w:p>
        </w:tc>
        <w:tc>
          <w:tcPr>
            <w:tcW w:w="2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4,061,486</w:t>
            </w:r>
          </w:p>
        </w:tc>
        <w:tc>
          <w:tcPr>
            <w:tcW w:w="100" w:type="dxa"/>
            <w:vAlign w:val="bottom"/>
          </w:tcPr>
          <w:p>
            <w:pPr>
              <w:spacing w:after="0"/>
              <w:rPr>
                <w:sz w:val="18"/>
                <w:szCs w:val="18"/>
                <w:color w:val="auto"/>
              </w:rPr>
            </w:pPr>
          </w:p>
        </w:tc>
      </w:tr>
      <w:tr>
        <w:trPr>
          <w:trHeight w:val="28"/>
        </w:trPr>
        <w:tc>
          <w:tcPr>
            <w:tcW w:w="78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860" w:type="dxa"/>
            <w:vAlign w:val="bottom"/>
            <w:tcBorders>
              <w:bottom w:val="single" w:sz="8" w:color="CFF0FC"/>
            </w:tcBorders>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Public Warrants and Private Warrants</w:t>
            </w: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13,286,644</w:t>
            </w:r>
          </w:p>
        </w:tc>
        <w:tc>
          <w:tcPr>
            <w:tcW w:w="24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24,652,569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8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Exercise Warrants</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17,000,000</w:t>
            </w:r>
          </w:p>
        </w:tc>
        <w:tc>
          <w:tcPr>
            <w:tcW w:w="2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100" w:type="dxa"/>
            <w:vAlign w:val="bottom"/>
          </w:tcPr>
          <w:p>
            <w:pPr>
              <w:spacing w:after="0"/>
              <w:rPr>
                <w:sz w:val="18"/>
                <w:szCs w:val="18"/>
                <w:color w:val="auto"/>
              </w:rPr>
            </w:pPr>
          </w:p>
        </w:tc>
      </w:tr>
      <w:tr>
        <w:trPr>
          <w:trHeight w:val="28"/>
        </w:trPr>
        <w:tc>
          <w:tcPr>
            <w:tcW w:w="78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860" w:type="dxa"/>
            <w:vAlign w:val="bottom"/>
            <w:tcBorders>
              <w:bottom w:val="single" w:sz="8" w:color="CFF0FC"/>
            </w:tcBorders>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Hoya Intermediate Warrants</w:t>
            </w: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6,000,000</w:t>
            </w:r>
          </w:p>
        </w:tc>
        <w:tc>
          <w:tcPr>
            <w:tcW w:w="24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4,000,000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8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Shares of Class B common stock</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118,200,000</w:t>
            </w:r>
          </w:p>
        </w:tc>
        <w:tc>
          <w:tcPr>
            <w:tcW w:w="100" w:type="dxa"/>
            <w:vAlign w:val="bottom"/>
          </w:tcPr>
          <w:p>
            <w:pPr>
              <w:spacing w:after="0"/>
              <w:rPr>
                <w:sz w:val="18"/>
                <w:szCs w:val="18"/>
                <w:color w:val="auto"/>
              </w:rPr>
            </w:pPr>
          </w:p>
        </w:tc>
      </w:tr>
    </w:tbl>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analyzed the calculaton of income (loss) per share for periods prior to the Merger Transacton and determined that it resulted in values that would not be meaningful to the users of the consolidated fnancial statements. Therefore, income (loss) per share informaton has not been presented for periods prior to the Merger Transacton.</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3" w:name="page104"/>
    <w:bookmarkEnd w:id="103"/>
    <w:p>
      <w:pPr>
        <w:jc w:val="center"/>
        <w:spacing w:after="0"/>
        <w:rPr>
          <w:sz w:val="20"/>
          <w:szCs w:val="20"/>
          <w:color w:val="auto"/>
        </w:rPr>
      </w:pPr>
      <w:r>
        <w:rPr>
          <w:rFonts w:ascii="Calibri" w:cs="Calibri" w:eastAsia="Calibri" w:hAnsi="Calibri"/>
          <w:sz w:val="18"/>
          <w:szCs w:val="18"/>
          <w:b w:val="1"/>
          <w:bCs w:val="1"/>
          <w:color w:val="auto"/>
        </w:rPr>
        <w:t>Item 9. Changes in Disagreements with Accountants on Accountng and Financial Disclosure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45" w:lineRule="exact"/>
        <w:rPr>
          <w:sz w:val="20"/>
          <w:szCs w:val="20"/>
          <w:color w:val="auto"/>
        </w:rPr>
      </w:pPr>
    </w:p>
    <w:p>
      <w:pPr>
        <w:ind w:left="4400"/>
        <w:spacing w:after="0"/>
        <w:rPr>
          <w:sz w:val="20"/>
          <w:szCs w:val="20"/>
          <w:color w:val="auto"/>
        </w:rPr>
      </w:pPr>
      <w:r>
        <w:rPr>
          <w:rFonts w:ascii="Calibri" w:cs="Calibri" w:eastAsia="Calibri" w:hAnsi="Calibri"/>
          <w:sz w:val="18"/>
          <w:szCs w:val="18"/>
          <w:b w:val="1"/>
          <w:bCs w:val="1"/>
          <w:color w:val="auto"/>
        </w:rPr>
        <w:t>Item 9A. Controls and Procedures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Limitatons on Efectveness of Disclosure Controls and Procedures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designing and evaluatng our disclosure controls and procedures, management recognizes that any controls and procedures, no mater how well designed and operated, can provide only reasonable assurance of achieving the desired control objectves. In additon, the design of disclosure controls and procedures must refect the fact that there are resource constraints and that management is required to apply judgment in evaluatng the benefts of possible controls and procedures relatve to their costs.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Evaluaton of Disclosure Controls and Procedures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Disclosure controls and procedures (as defned in Rules 13a-15(e) and 15d-15(e) under the Securites Exchange Act of 1934, as amended (the “Exchange Act”)) are designed to ensure that informaton required to be disclosed in reports fled or submited under the Exchange Act is recorded, processed, summarized, and reported within the tme periods specifed in the SEC rules and forms, and that such informaton is accumulated and communicated to management, including our Chief Executve Ofcer and Chief Financial Ofcer, to allow tmely decisions regarding required disclosures.</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Annual Report on Form 10-K. Based on such evaluaton, our principal executve ofcer and principal fnancial ofcer have concluded that our disclosure controls and procedures were not efectve at reasonable assurance levels as of December 31, 2022 due to the reasons described below.</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Material Weakness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audit of our consolidated fnancial statements as of December 31, 2022 and 2021, we identfed a material weakness in our internal control over fnancial reportng related to the implementaton of segregaton of dutes as part of our control actvites, establishment of clearly defned roles within our fnance and accountng functons and the number of personnel in our fnance and accountng functons with an appropriate level of technical accountng and SEC reportng experience, which in the aggregate, consttute a material weakness.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Remediaton Actvites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our plan to remediate this material weakness, we are performing a full review of our internal control procedures. We have implemented, and plan to contnue to implement, new controls and new processes. We have hired and plan to contnue to hire additonal qualifed personnel and establish more robust processes to support our internal control over fnancial reportng, including clearly defned roles and responsibilites and appropriate segregaton of dutes. During the year ended December 31, 2022, we made progress in our remediaton of the material weakness. While progress has been made to enhance our internal control, additonal tme is required to complete implementaton and to assess and ensure the sustainability of these controls. The material weakness will not be considered remediated untl the applicable controls operate for a sufcient period of tme and management has concluded, through testng, that these controls are operatng efectvely.</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Management's Annual Report on Internal Control over Financial Reportng</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Annual Report on Form 10-K does not include a report of management’s assessment regarding our internal control over fnancial reportng (as defned in Rules 13a-15(f) and 15d-15(f) under the Exchange Act) or an atestaton report of our independent registered accountng frm due to a transiton period established by rules of the SEC for newly public companies. Additonally, our independent registered accountng frm will not be required to opine on</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04" w:name="page105"/>
    <w:bookmarkEnd w:id="104"/>
    <w:p>
      <w:pPr>
        <w:spacing w:after="0" w:line="235" w:lineRule="auto"/>
        <w:rPr>
          <w:sz w:val="20"/>
          <w:szCs w:val="20"/>
          <w:color w:val="auto"/>
        </w:rPr>
      </w:pPr>
      <w:r>
        <w:rPr>
          <w:rFonts w:ascii="Calibri" w:cs="Calibri" w:eastAsia="Calibri" w:hAnsi="Calibri"/>
          <w:sz w:val="18"/>
          <w:szCs w:val="18"/>
          <w:color w:val="auto"/>
        </w:rPr>
        <w:t>the efectveness of our internal control over fnancial reportng pursuant to Secton 404 untl we are no longer an “emerging growth company” as defned in the JOBS Act.</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Changes in Internal Control over Financial Reportng</w:t>
      </w:r>
    </w:p>
    <w:p>
      <w:pPr>
        <w:spacing w:after="0" w:line="15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There were no changes in our internal control over fnancial reportng (as defned in Rules 13a-15(f) and 15d-15(f) under the Exchange Act) during the fscal quarter ended December 31, 2022 that have materially afected, or are reasonably likely to materially afect, our internal control over fnancial reportng.</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9B. Other Informaton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9C. Disclosure Regarding Foreign Jurisdictons that Prevent Inspectons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3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PART III</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10. Directors, Executve Ofcers and Corporate Governance</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Informaton about our directors and executve ofcers is reported in Part I of this Form 10-K under the heading, “Item 1. Business".</w:t>
      </w:r>
    </w:p>
    <w:p>
      <w:pPr>
        <w:spacing w:after="0" w:line="13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All other informaton required by this item will be included in our Proxy Statement for the 2023 Annual Meetng of Stockholders and is incorporated herein by reference.</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11. Executve Compensaton</w:t>
      </w:r>
    </w:p>
    <w:p>
      <w:pPr>
        <w:spacing w:after="0" w:line="15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informaton required by this item will be included in our Proxy Statement for the 2023 Annual Meetng of Stockholders and is incorporated herein by reference.</w:t>
      </w:r>
    </w:p>
    <w:p>
      <w:pPr>
        <w:spacing w:after="0" w:line="13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12. Security Ownership of Certain Benefcial Owners And Management And Related Stockholder Maters</w:t>
      </w:r>
    </w:p>
    <w:p>
      <w:pPr>
        <w:spacing w:after="0" w:line="15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informaton required by this item will be included in our Proxy Statement for the 2023 Annual Meetng of Stockholders and is incorporated herein by reference.</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13. Certain Relatonships and Related Transactons, and Director Independence</w:t>
      </w:r>
    </w:p>
    <w:p>
      <w:pPr>
        <w:spacing w:after="0" w:line="13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informaton required by this item will be included in our Proxy Statement for the 2023 Annual Meetng of Stockholders and is incorporated herein by reference.</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14. Principal Accountant Fees and Services</w:t>
      </w:r>
    </w:p>
    <w:p>
      <w:pPr>
        <w:spacing w:after="0" w:line="13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informaton required by this item will be included in our Proxy Statement for the 2023 Annual Meetng of Stockholders and is incorporated herein by reference.</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PART IV</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15. Exhibits, Financial Statement Schedules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(a)(1) Financial Statements.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fnancial statements required by this item are listed in Item 8.</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(a)(2) Financial Statement Schedules.</w:t>
      </w:r>
    </w:p>
    <w:p>
      <w:pPr>
        <w:spacing w:after="0" w:line="13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All fnancial statement schedules have been omited because they are not applicable, not required or the informaton required is shown in the fnancial statements or the notes thereto.</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(a)(3) Exhibits.</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05" w:name="page106"/>
    <w:bookmarkEnd w:id="105"/>
    <w:p>
      <w:pPr>
        <w:spacing w:after="0"/>
        <w:rPr>
          <w:sz w:val="20"/>
          <w:szCs w:val="20"/>
          <w:color w:val="auto"/>
        </w:rPr>
      </w:pPr>
      <w:r>
        <w:rPr>
          <w:rFonts w:ascii="Calibri" w:cs="Calibri" w:eastAsia="Calibri" w:hAnsi="Calibri"/>
          <w:sz w:val="18"/>
          <w:szCs w:val="18"/>
          <w:color w:val="auto"/>
        </w:rPr>
        <w:t>The following is a list of exhibits fled as part of this Annual Report on Form 10-K.</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4"/>
          </w:tcPr>
          <w:p>
            <w:pPr>
              <w:jc w:val="center"/>
              <w:spacing w:after="0"/>
              <w:rPr>
                <w:sz w:val="20"/>
                <w:szCs w:val="20"/>
                <w:color w:val="auto"/>
              </w:rPr>
            </w:pPr>
            <w:r>
              <w:rPr>
                <w:rFonts w:ascii="Calibri" w:cs="Calibri" w:eastAsia="Calibri" w:hAnsi="Calibri"/>
                <w:sz w:val="18"/>
                <w:szCs w:val="18"/>
                <w:b w:val="1"/>
                <w:bCs w:val="1"/>
                <w:color w:val="auto"/>
                <w:w w:val="98"/>
              </w:rPr>
              <w:t>Exhibits</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3"/>
          </w:tcPr>
          <w:p>
            <w:pPr>
              <w:ind w:left="400"/>
              <w:spacing w:after="0"/>
              <w:rPr>
                <w:sz w:val="20"/>
                <w:szCs w:val="20"/>
                <w:color w:val="auto"/>
              </w:rPr>
            </w:pPr>
            <w:r>
              <w:rPr>
                <w:rFonts w:ascii="Calibri" w:cs="Calibri" w:eastAsia="Calibri" w:hAnsi="Calibri"/>
                <w:sz w:val="18"/>
                <w:szCs w:val="18"/>
                <w:b w:val="1"/>
                <w:bCs w:val="1"/>
                <w:color w:val="auto"/>
              </w:rPr>
              <w:t>Incorporated by Reference</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920" w:type="dxa"/>
            <w:vAlign w:val="bottom"/>
            <w:vMerge w:val="restart"/>
          </w:tcPr>
          <w:p>
            <w:pPr>
              <w:ind w:left="180"/>
              <w:spacing w:after="0"/>
              <w:rPr>
                <w:sz w:val="20"/>
                <w:szCs w:val="20"/>
                <w:color w:val="auto"/>
              </w:rPr>
            </w:pPr>
            <w:r>
              <w:rPr>
                <w:rFonts w:ascii="Calibri" w:cs="Calibri" w:eastAsia="Calibri" w:hAnsi="Calibri"/>
                <w:sz w:val="18"/>
                <w:szCs w:val="18"/>
                <w:b w:val="1"/>
                <w:bCs w:val="1"/>
                <w:color w:val="auto"/>
              </w:rPr>
              <w:t>Exhibit</w:t>
            </w:r>
          </w:p>
        </w:tc>
        <w:tc>
          <w:tcPr>
            <w:tcW w:w="66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260" w:type="dxa"/>
            <w:vAlign w:val="bottom"/>
            <w:vMerge w:val="restart"/>
          </w:tcPr>
          <w:p>
            <w:pPr>
              <w:spacing w:after="0"/>
              <w:rPr>
                <w:sz w:val="3"/>
                <w:szCs w:val="3"/>
                <w:color w:val="auto"/>
              </w:rPr>
            </w:pPr>
          </w:p>
        </w:tc>
        <w:tc>
          <w:tcPr>
            <w:tcW w:w="2380" w:type="dxa"/>
            <w:vAlign w:val="bottom"/>
            <w:gridSpan w:val="12"/>
            <w:vMerge w:val="restart"/>
          </w:tcPr>
          <w:p>
            <w:pPr>
              <w:ind w:left="80"/>
              <w:spacing w:after="0"/>
              <w:rPr>
                <w:sz w:val="20"/>
                <w:szCs w:val="20"/>
                <w:color w:val="auto"/>
              </w:rPr>
            </w:pPr>
            <w:r>
              <w:rPr>
                <w:rFonts w:ascii="Calibri" w:cs="Calibri" w:eastAsia="Calibri" w:hAnsi="Calibri"/>
                <w:sz w:val="18"/>
                <w:szCs w:val="18"/>
                <w:b w:val="1"/>
                <w:bCs w:val="1"/>
                <w:color w:val="auto"/>
              </w:rPr>
              <w:t>Descripton</w:t>
            </w: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rPr>
              <w:t>Filed /</w:t>
            </w: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2380" w:type="dxa"/>
            <w:vAlign w:val="bottom"/>
            <w:gridSpan w:val="12"/>
            <w:vMerge w:val="continue"/>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center"/>
              <w:ind w:right="171"/>
              <w:spacing w:after="0" w:line="187" w:lineRule="exact"/>
              <w:rPr>
                <w:sz w:val="20"/>
                <w:szCs w:val="20"/>
                <w:color w:val="auto"/>
              </w:rPr>
            </w:pPr>
            <w:r>
              <w:rPr>
                <w:rFonts w:ascii="Calibri" w:cs="Calibri" w:eastAsia="Calibri" w:hAnsi="Calibri"/>
                <w:sz w:val="18"/>
                <w:szCs w:val="18"/>
                <w:b w:val="1"/>
                <w:bCs w:val="1"/>
                <w:color w:val="auto"/>
              </w:rPr>
              <w:t>Form</w:t>
            </w:r>
          </w:p>
        </w:tc>
        <w:tc>
          <w:tcPr>
            <w:tcW w:w="1040" w:type="dxa"/>
            <w:vAlign w:val="bottom"/>
          </w:tcPr>
          <w:p>
            <w:pPr>
              <w:ind w:left="300"/>
              <w:spacing w:after="0" w:line="187" w:lineRule="exact"/>
              <w:rPr>
                <w:sz w:val="20"/>
                <w:szCs w:val="20"/>
                <w:color w:val="auto"/>
              </w:rPr>
            </w:pPr>
            <w:r>
              <w:rPr>
                <w:rFonts w:ascii="Calibri" w:cs="Calibri" w:eastAsia="Calibri" w:hAnsi="Calibri"/>
                <w:sz w:val="18"/>
                <w:szCs w:val="18"/>
                <w:b w:val="1"/>
                <w:bCs w:val="1"/>
                <w:color w:val="auto"/>
              </w:rPr>
              <w:t>Exhibit</w:t>
            </w:r>
          </w:p>
        </w:tc>
        <w:tc>
          <w:tcPr>
            <w:tcW w:w="1320" w:type="dxa"/>
            <w:vAlign w:val="bottom"/>
          </w:tcPr>
          <w:p>
            <w:pPr>
              <w:ind w:left="280"/>
              <w:spacing w:after="0" w:line="187" w:lineRule="exact"/>
              <w:rPr>
                <w:sz w:val="20"/>
                <w:szCs w:val="20"/>
                <w:color w:val="auto"/>
              </w:rPr>
            </w:pPr>
            <w:r>
              <w:rPr>
                <w:rFonts w:ascii="Calibri" w:cs="Calibri" w:eastAsia="Calibri" w:hAnsi="Calibri"/>
                <w:sz w:val="18"/>
                <w:szCs w:val="18"/>
                <w:b w:val="1"/>
                <w:bCs w:val="1"/>
                <w:color w:val="auto"/>
              </w:rPr>
              <w:t>Filing Date</w:t>
            </w:r>
          </w:p>
        </w:tc>
        <w:tc>
          <w:tcPr>
            <w:tcW w:w="120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920" w:type="dxa"/>
            <w:vAlign w:val="bottom"/>
          </w:tcPr>
          <w:p>
            <w:pPr>
              <w:ind w:left="140"/>
              <w:spacing w:after="0" w:line="215" w:lineRule="exact"/>
              <w:rPr>
                <w:sz w:val="20"/>
                <w:szCs w:val="20"/>
                <w:color w:val="auto"/>
              </w:rPr>
            </w:pPr>
            <w:r>
              <w:rPr>
                <w:rFonts w:ascii="Calibri" w:cs="Calibri" w:eastAsia="Calibri" w:hAnsi="Calibri"/>
                <w:sz w:val="18"/>
                <w:szCs w:val="18"/>
                <w:b w:val="1"/>
                <w:bCs w:val="1"/>
                <w:color w:val="auto"/>
              </w:rPr>
              <w:t>Number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Furnished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Herewith</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920" w:type="dxa"/>
            <w:vAlign w:val="bottom"/>
          </w:tcPr>
          <w:p>
            <w:pPr>
              <w:ind w:left="20"/>
              <w:spacing w:after="0" w:line="156" w:lineRule="exact"/>
              <w:rPr>
                <w:sz w:val="20"/>
                <w:szCs w:val="20"/>
                <w:color w:val="auto"/>
              </w:rPr>
            </w:pPr>
            <w:r>
              <w:rPr>
                <w:rFonts w:ascii="Calibri" w:cs="Calibri" w:eastAsia="Calibri" w:hAnsi="Calibri"/>
                <w:sz w:val="16"/>
                <w:szCs w:val="16"/>
                <w:color w:val="auto"/>
              </w:rPr>
              <w:t>2.1</w:t>
            </w:r>
          </w:p>
        </w:tc>
        <w:tc>
          <w:tcPr>
            <w:tcW w:w="4020" w:type="dxa"/>
            <w:vAlign w:val="bottom"/>
            <w:gridSpan w:val="17"/>
          </w:tcPr>
          <w:p>
            <w:pPr>
              <w:spacing w:after="0" w:line="156" w:lineRule="exact"/>
              <w:rPr>
                <w:rFonts w:ascii="Calibri" w:cs="Calibri" w:eastAsia="Calibri" w:hAnsi="Calibri"/>
                <w:sz w:val="16"/>
                <w:szCs w:val="16"/>
                <w:color w:val="0000FF"/>
              </w:rPr>
            </w:pPr>
            <w:hyperlink r:id="rId428">
              <w:r>
                <w:rPr>
                  <w:rFonts w:ascii="Calibri" w:cs="Calibri" w:eastAsia="Calibri" w:hAnsi="Calibri"/>
                  <w:sz w:val="16"/>
                  <w:szCs w:val="16"/>
                  <w:color w:val="0000FF"/>
                </w:rPr>
                <w:t>Transacton Agreement dated April 21, 2021 among</w:t>
              </w:r>
            </w:hyperlink>
          </w:p>
        </w:tc>
        <w:tc>
          <w:tcPr>
            <w:tcW w:w="700" w:type="dxa"/>
            <w:vAlign w:val="bottom"/>
          </w:tcPr>
          <w:p>
            <w:pPr>
              <w:jc w:val="center"/>
              <w:ind w:right="171"/>
              <w:spacing w:after="0" w:line="156" w:lineRule="exact"/>
              <w:rPr>
                <w:sz w:val="20"/>
                <w:szCs w:val="20"/>
                <w:color w:val="auto"/>
              </w:rPr>
            </w:pPr>
            <w:r>
              <w:rPr>
                <w:rFonts w:ascii="Calibri" w:cs="Calibri" w:eastAsia="Calibri" w:hAnsi="Calibri"/>
                <w:sz w:val="16"/>
                <w:szCs w:val="16"/>
                <w:color w:val="auto"/>
              </w:rPr>
              <w:t>S-4</w:t>
            </w:r>
          </w:p>
        </w:tc>
        <w:tc>
          <w:tcPr>
            <w:tcW w:w="1040" w:type="dxa"/>
            <w:vAlign w:val="bottom"/>
          </w:tcPr>
          <w:p>
            <w:pPr>
              <w:jc w:val="center"/>
              <w:spacing w:after="0" w:line="156" w:lineRule="exact"/>
              <w:rPr>
                <w:sz w:val="20"/>
                <w:szCs w:val="20"/>
                <w:color w:val="auto"/>
              </w:rPr>
            </w:pPr>
            <w:r>
              <w:rPr>
                <w:rFonts w:ascii="Calibri" w:cs="Calibri" w:eastAsia="Calibri" w:hAnsi="Calibri"/>
                <w:sz w:val="16"/>
                <w:szCs w:val="16"/>
                <w:color w:val="auto"/>
              </w:rPr>
              <w:t>2.1</w:t>
            </w:r>
          </w:p>
        </w:tc>
        <w:tc>
          <w:tcPr>
            <w:tcW w:w="1320" w:type="dxa"/>
            <w:vAlign w:val="bottom"/>
          </w:tcPr>
          <w:p>
            <w:pPr>
              <w:jc w:val="center"/>
              <w:spacing w:after="0" w:line="156" w:lineRule="exact"/>
              <w:rPr>
                <w:sz w:val="20"/>
                <w:szCs w:val="20"/>
                <w:color w:val="auto"/>
              </w:rPr>
            </w:pPr>
            <w:r>
              <w:rPr>
                <w:rFonts w:ascii="Calibri" w:cs="Calibri" w:eastAsia="Calibri" w:hAnsi="Calibri"/>
                <w:sz w:val="16"/>
                <w:szCs w:val="16"/>
                <w:color w:val="auto"/>
              </w:rPr>
              <w:t>05/28/2021</w:t>
            </w: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8">
              <w:r>
                <w:rPr>
                  <w:rFonts w:ascii="Calibri" w:cs="Calibri" w:eastAsia="Calibri" w:hAnsi="Calibri"/>
                  <w:sz w:val="18"/>
                  <w:szCs w:val="18"/>
                  <w:color w:val="0000FF"/>
                </w:rPr>
                <w:t>Horizon Acquisiton Corporaton, Horizon Sponsor,</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8">
              <w:r>
                <w:rPr>
                  <w:rFonts w:ascii="Calibri" w:cs="Calibri" w:eastAsia="Calibri" w:hAnsi="Calibri"/>
                  <w:sz w:val="18"/>
                  <w:szCs w:val="18"/>
                  <w:color w:val="0000FF"/>
                </w:rPr>
                <w:t>LLC, Hoya Topco, LLC, Hoya Intermediate, LLC and</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8">
              <w:r>
                <w:rPr>
                  <w:rFonts w:ascii="Calibri" w:cs="Calibri" w:eastAsia="Calibri" w:hAnsi="Calibri"/>
                  <w:sz w:val="18"/>
                  <w:szCs w:val="18"/>
                  <w:color w:val="0000FF"/>
                </w:rPr>
                <w:t>Vivid Seats Inc.</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20" w:type="dxa"/>
            <w:vAlign w:val="bottom"/>
          </w:tcPr>
          <w:p>
            <w:pPr>
              <w:ind w:left="20"/>
              <w:spacing w:after="0" w:line="209" w:lineRule="exact"/>
              <w:rPr>
                <w:sz w:val="20"/>
                <w:szCs w:val="20"/>
                <w:color w:val="auto"/>
              </w:rPr>
            </w:pPr>
            <w:r>
              <w:rPr>
                <w:rFonts w:ascii="Calibri" w:cs="Calibri" w:eastAsia="Calibri" w:hAnsi="Calibri"/>
                <w:sz w:val="18"/>
                <w:szCs w:val="18"/>
                <w:color w:val="auto"/>
              </w:rPr>
              <w:t>2.2</w:t>
            </w:r>
          </w:p>
        </w:tc>
        <w:tc>
          <w:tcPr>
            <w:tcW w:w="4020" w:type="dxa"/>
            <w:vAlign w:val="bottom"/>
            <w:gridSpan w:val="17"/>
          </w:tcPr>
          <w:p>
            <w:pPr>
              <w:spacing w:after="0" w:line="209" w:lineRule="exact"/>
              <w:rPr>
                <w:rFonts w:ascii="Calibri" w:cs="Calibri" w:eastAsia="Calibri" w:hAnsi="Calibri"/>
                <w:sz w:val="18"/>
                <w:szCs w:val="18"/>
                <w:color w:val="0000FF"/>
              </w:rPr>
            </w:pPr>
            <w:hyperlink r:id="rId429">
              <w:r>
                <w:rPr>
                  <w:rFonts w:ascii="Calibri" w:cs="Calibri" w:eastAsia="Calibri" w:hAnsi="Calibri"/>
                  <w:sz w:val="18"/>
                  <w:szCs w:val="18"/>
                  <w:color w:val="0000FF"/>
                </w:rPr>
                <w:t>Purchase, Sale and Redempton Agreement dated</w:t>
              </w:r>
            </w:hyperlink>
          </w:p>
        </w:tc>
        <w:tc>
          <w:tcPr>
            <w:tcW w:w="700" w:type="dxa"/>
            <w:vAlign w:val="bottom"/>
          </w:tcPr>
          <w:p>
            <w:pPr>
              <w:jc w:val="center"/>
              <w:ind w:right="171"/>
              <w:spacing w:after="0" w:line="209" w:lineRule="exact"/>
              <w:rPr>
                <w:sz w:val="20"/>
                <w:szCs w:val="20"/>
                <w:color w:val="auto"/>
              </w:rPr>
            </w:pPr>
            <w:r>
              <w:rPr>
                <w:rFonts w:ascii="Calibri" w:cs="Calibri" w:eastAsia="Calibri" w:hAnsi="Calibri"/>
                <w:sz w:val="18"/>
                <w:szCs w:val="18"/>
                <w:color w:val="auto"/>
              </w:rPr>
              <w:t>S-4</w:t>
            </w:r>
          </w:p>
        </w:tc>
        <w:tc>
          <w:tcPr>
            <w:tcW w:w="1040" w:type="dxa"/>
            <w:vAlign w:val="bottom"/>
          </w:tcPr>
          <w:p>
            <w:pPr>
              <w:jc w:val="center"/>
              <w:spacing w:after="0" w:line="209" w:lineRule="exact"/>
              <w:rPr>
                <w:sz w:val="20"/>
                <w:szCs w:val="20"/>
                <w:color w:val="auto"/>
              </w:rPr>
            </w:pPr>
            <w:r>
              <w:rPr>
                <w:rFonts w:ascii="Calibri" w:cs="Calibri" w:eastAsia="Calibri" w:hAnsi="Calibri"/>
                <w:sz w:val="18"/>
                <w:szCs w:val="18"/>
                <w:color w:val="auto"/>
              </w:rPr>
              <w:t>2.2</w:t>
            </w:r>
          </w:p>
        </w:tc>
        <w:tc>
          <w:tcPr>
            <w:tcW w:w="132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05/28/2021</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April 21, 2021 among Hoya Topco, LLC, Hoya</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Intermediate, LLC, Vivid Seats Inc., Crescent</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Mezzanine Partners VIB, L.P., Crescent Mezzanine</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Partners VIC, L.P., NPS/Crescent Strategic</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Partnership II, LP, CM7C VS Equity Holdings, LP,</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Crescent Mezzanine Partners VIIB, L.P., CM6B Vivid</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Equity, Inc., CM6C Vivid Equity, Inc., CM7C VS</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Equity, LLC, CM7B VS Equity, LLC, Crescent</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Mezzanine Partners VI, L.P., Crescent Mezzanine</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Partners VII, L.P., Crescent Mezzanine Partners VII</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(LTL), L.P., CBDC Universal Equity, Inc., Crescent</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Capital Group, LP and Horizon Acquisiton</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29">
              <w:r>
                <w:rPr>
                  <w:rFonts w:ascii="Calibri" w:cs="Calibri" w:eastAsia="Calibri" w:hAnsi="Calibri"/>
                  <w:sz w:val="18"/>
                  <w:szCs w:val="18"/>
                  <w:color w:val="0000FF"/>
                </w:rPr>
                <w:t>Corporaton</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20" w:type="dxa"/>
            <w:vAlign w:val="bottom"/>
          </w:tcPr>
          <w:p>
            <w:pPr>
              <w:ind w:left="20"/>
              <w:spacing w:after="0" w:line="209" w:lineRule="exact"/>
              <w:rPr>
                <w:sz w:val="20"/>
                <w:szCs w:val="20"/>
                <w:color w:val="auto"/>
              </w:rPr>
            </w:pPr>
            <w:r>
              <w:rPr>
                <w:rFonts w:ascii="Calibri" w:cs="Calibri" w:eastAsia="Calibri" w:hAnsi="Calibri"/>
                <w:sz w:val="18"/>
                <w:szCs w:val="18"/>
                <w:color w:val="auto"/>
              </w:rPr>
              <w:t>2.3</w:t>
            </w:r>
          </w:p>
        </w:tc>
        <w:tc>
          <w:tcPr>
            <w:tcW w:w="4020" w:type="dxa"/>
            <w:vAlign w:val="bottom"/>
            <w:gridSpan w:val="17"/>
          </w:tcPr>
          <w:p>
            <w:pPr>
              <w:spacing w:after="0" w:line="209" w:lineRule="exact"/>
              <w:rPr>
                <w:rFonts w:ascii="Calibri" w:cs="Calibri" w:eastAsia="Calibri" w:hAnsi="Calibri"/>
                <w:sz w:val="18"/>
                <w:szCs w:val="18"/>
                <w:color w:val="0000FF"/>
              </w:rPr>
            </w:pPr>
            <w:hyperlink r:id="rId430">
              <w:r>
                <w:rPr>
                  <w:rFonts w:ascii="Calibri" w:cs="Calibri" w:eastAsia="Calibri" w:hAnsi="Calibri"/>
                  <w:sz w:val="18"/>
                  <w:szCs w:val="18"/>
                  <w:color w:val="0000FF"/>
                </w:rPr>
                <w:t>Plan of Merger dated October 18, 2021 among</w:t>
              </w:r>
            </w:hyperlink>
          </w:p>
        </w:tc>
        <w:tc>
          <w:tcPr>
            <w:tcW w:w="700" w:type="dxa"/>
            <w:vAlign w:val="bottom"/>
          </w:tcPr>
          <w:p>
            <w:pPr>
              <w:jc w:val="center"/>
              <w:ind w:right="171"/>
              <w:spacing w:after="0" w:line="209" w:lineRule="exact"/>
              <w:rPr>
                <w:sz w:val="20"/>
                <w:szCs w:val="20"/>
                <w:color w:val="auto"/>
              </w:rPr>
            </w:pPr>
            <w:r>
              <w:rPr>
                <w:rFonts w:ascii="Calibri" w:cs="Calibri" w:eastAsia="Calibri" w:hAnsi="Calibri"/>
                <w:sz w:val="18"/>
                <w:szCs w:val="18"/>
                <w:color w:val="auto"/>
              </w:rPr>
              <w:t>10-Q</w:t>
            </w:r>
          </w:p>
        </w:tc>
        <w:tc>
          <w:tcPr>
            <w:tcW w:w="1040" w:type="dxa"/>
            <w:vAlign w:val="bottom"/>
          </w:tcPr>
          <w:p>
            <w:pPr>
              <w:jc w:val="center"/>
              <w:spacing w:after="0" w:line="209" w:lineRule="exact"/>
              <w:rPr>
                <w:sz w:val="20"/>
                <w:szCs w:val="20"/>
                <w:color w:val="auto"/>
              </w:rPr>
            </w:pPr>
            <w:r>
              <w:rPr>
                <w:rFonts w:ascii="Calibri" w:cs="Calibri" w:eastAsia="Calibri" w:hAnsi="Calibri"/>
                <w:sz w:val="18"/>
                <w:szCs w:val="18"/>
                <w:color w:val="auto"/>
              </w:rPr>
              <w:t>2.3</w:t>
            </w:r>
          </w:p>
        </w:tc>
        <w:tc>
          <w:tcPr>
            <w:tcW w:w="132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11/15/2021</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30">
              <w:r>
                <w:rPr>
                  <w:rFonts w:ascii="Calibri" w:cs="Calibri" w:eastAsia="Calibri" w:hAnsi="Calibri"/>
                  <w:sz w:val="18"/>
                  <w:szCs w:val="18"/>
                  <w:color w:val="0000FF"/>
                </w:rPr>
                <w:t>Horizon Acquisiton Corporaton, Horizon Sponsor,</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30">
              <w:r>
                <w:rPr>
                  <w:rFonts w:ascii="Calibri" w:cs="Calibri" w:eastAsia="Calibri" w:hAnsi="Calibri"/>
                  <w:sz w:val="18"/>
                  <w:szCs w:val="18"/>
                  <w:color w:val="0000FF"/>
                </w:rPr>
                <w:t>LLC, Hoya Topco, LLC, Hoya Intermediate, LLC and</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30">
              <w:r>
                <w:rPr>
                  <w:rFonts w:ascii="Calibri" w:cs="Calibri" w:eastAsia="Calibri" w:hAnsi="Calibri"/>
                  <w:sz w:val="18"/>
                  <w:szCs w:val="18"/>
                  <w:color w:val="0000FF"/>
                </w:rPr>
                <w:t>Vivid Seats Inc.</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20" w:type="dxa"/>
            <w:vAlign w:val="bottom"/>
          </w:tcPr>
          <w:p>
            <w:pPr>
              <w:ind w:left="20"/>
              <w:spacing w:after="0" w:line="209" w:lineRule="exact"/>
              <w:rPr>
                <w:sz w:val="20"/>
                <w:szCs w:val="20"/>
                <w:color w:val="auto"/>
              </w:rPr>
            </w:pPr>
            <w:r>
              <w:rPr>
                <w:rFonts w:ascii="Calibri" w:cs="Calibri" w:eastAsia="Calibri" w:hAnsi="Calibri"/>
                <w:sz w:val="18"/>
                <w:szCs w:val="18"/>
                <w:color w:val="auto"/>
              </w:rPr>
              <w:t>3.1</w:t>
            </w:r>
          </w:p>
        </w:tc>
        <w:tc>
          <w:tcPr>
            <w:tcW w:w="4020" w:type="dxa"/>
            <w:vAlign w:val="bottom"/>
            <w:gridSpan w:val="17"/>
          </w:tcPr>
          <w:p>
            <w:pPr>
              <w:spacing w:after="0" w:line="209" w:lineRule="exact"/>
              <w:rPr>
                <w:rFonts w:ascii="Calibri" w:cs="Calibri" w:eastAsia="Calibri" w:hAnsi="Calibri"/>
                <w:sz w:val="18"/>
                <w:szCs w:val="18"/>
                <w:color w:val="0000FF"/>
              </w:rPr>
            </w:pPr>
            <w:hyperlink r:id="rId431">
              <w:r>
                <w:rPr>
                  <w:rFonts w:ascii="Calibri" w:cs="Calibri" w:eastAsia="Calibri" w:hAnsi="Calibri"/>
                  <w:sz w:val="18"/>
                  <w:szCs w:val="18"/>
                  <w:color w:val="0000FF"/>
                </w:rPr>
                <w:t>Amended and Restated Certfcate of Incorporaton</w:t>
              </w:r>
            </w:hyperlink>
          </w:p>
        </w:tc>
        <w:tc>
          <w:tcPr>
            <w:tcW w:w="700" w:type="dxa"/>
            <w:vAlign w:val="bottom"/>
          </w:tcPr>
          <w:p>
            <w:pPr>
              <w:jc w:val="center"/>
              <w:ind w:right="171"/>
              <w:spacing w:after="0" w:line="209" w:lineRule="exact"/>
              <w:rPr>
                <w:sz w:val="20"/>
                <w:szCs w:val="20"/>
                <w:color w:val="auto"/>
              </w:rPr>
            </w:pPr>
            <w:r>
              <w:rPr>
                <w:rFonts w:ascii="Calibri" w:cs="Calibri" w:eastAsia="Calibri" w:hAnsi="Calibri"/>
                <w:sz w:val="18"/>
                <w:szCs w:val="18"/>
                <w:color w:val="auto"/>
                <w:w w:val="99"/>
              </w:rPr>
              <w:t>8-K</w:t>
            </w:r>
          </w:p>
        </w:tc>
        <w:tc>
          <w:tcPr>
            <w:tcW w:w="1040" w:type="dxa"/>
            <w:vAlign w:val="bottom"/>
          </w:tcPr>
          <w:p>
            <w:pPr>
              <w:jc w:val="center"/>
              <w:spacing w:after="0" w:line="209" w:lineRule="exact"/>
              <w:rPr>
                <w:sz w:val="20"/>
                <w:szCs w:val="20"/>
                <w:color w:val="auto"/>
              </w:rPr>
            </w:pPr>
            <w:r>
              <w:rPr>
                <w:rFonts w:ascii="Calibri" w:cs="Calibri" w:eastAsia="Calibri" w:hAnsi="Calibri"/>
                <w:sz w:val="18"/>
                <w:szCs w:val="18"/>
                <w:color w:val="auto"/>
              </w:rPr>
              <w:t>3.1</w:t>
            </w:r>
          </w:p>
        </w:tc>
        <w:tc>
          <w:tcPr>
            <w:tcW w:w="132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10/22/2021</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20" w:type="dxa"/>
            <w:vAlign w:val="bottom"/>
          </w:tcPr>
          <w:p>
            <w:pPr>
              <w:ind w:left="20"/>
              <w:spacing w:after="0" w:line="209" w:lineRule="exact"/>
              <w:rPr>
                <w:sz w:val="20"/>
                <w:szCs w:val="20"/>
                <w:color w:val="auto"/>
              </w:rPr>
            </w:pPr>
            <w:r>
              <w:rPr>
                <w:rFonts w:ascii="Calibri" w:cs="Calibri" w:eastAsia="Calibri" w:hAnsi="Calibri"/>
                <w:sz w:val="18"/>
                <w:szCs w:val="18"/>
                <w:color w:val="auto"/>
              </w:rPr>
              <w:t>3.2</w:t>
            </w:r>
          </w:p>
        </w:tc>
        <w:tc>
          <w:tcPr>
            <w:tcW w:w="4020" w:type="dxa"/>
            <w:vAlign w:val="bottom"/>
            <w:gridSpan w:val="17"/>
          </w:tcPr>
          <w:p>
            <w:pPr>
              <w:spacing w:after="0" w:line="209" w:lineRule="exact"/>
              <w:rPr>
                <w:rFonts w:ascii="Calibri" w:cs="Calibri" w:eastAsia="Calibri" w:hAnsi="Calibri"/>
                <w:sz w:val="18"/>
                <w:szCs w:val="18"/>
                <w:color w:val="0000FF"/>
              </w:rPr>
            </w:pPr>
            <w:hyperlink r:id="rId432">
              <w:r>
                <w:rPr>
                  <w:rFonts w:ascii="Calibri" w:cs="Calibri" w:eastAsia="Calibri" w:hAnsi="Calibri"/>
                  <w:sz w:val="18"/>
                  <w:szCs w:val="18"/>
                  <w:color w:val="0000FF"/>
                </w:rPr>
                <w:t>Amended and Restated Bylaws.</w:t>
              </w:r>
            </w:hyperlink>
          </w:p>
        </w:tc>
        <w:tc>
          <w:tcPr>
            <w:tcW w:w="700" w:type="dxa"/>
            <w:vAlign w:val="bottom"/>
          </w:tcPr>
          <w:p>
            <w:pPr>
              <w:jc w:val="center"/>
              <w:ind w:right="171"/>
              <w:spacing w:after="0" w:line="209" w:lineRule="exact"/>
              <w:rPr>
                <w:sz w:val="20"/>
                <w:szCs w:val="20"/>
                <w:color w:val="auto"/>
              </w:rPr>
            </w:pPr>
            <w:r>
              <w:rPr>
                <w:rFonts w:ascii="Calibri" w:cs="Calibri" w:eastAsia="Calibri" w:hAnsi="Calibri"/>
                <w:sz w:val="18"/>
                <w:szCs w:val="18"/>
                <w:color w:val="auto"/>
                <w:w w:val="99"/>
              </w:rPr>
              <w:t>8-K</w:t>
            </w:r>
          </w:p>
        </w:tc>
        <w:tc>
          <w:tcPr>
            <w:tcW w:w="1040" w:type="dxa"/>
            <w:vAlign w:val="bottom"/>
          </w:tcPr>
          <w:p>
            <w:pPr>
              <w:jc w:val="center"/>
              <w:spacing w:after="0" w:line="209" w:lineRule="exact"/>
              <w:rPr>
                <w:sz w:val="20"/>
                <w:szCs w:val="20"/>
                <w:color w:val="auto"/>
              </w:rPr>
            </w:pPr>
            <w:r>
              <w:rPr>
                <w:rFonts w:ascii="Calibri" w:cs="Calibri" w:eastAsia="Calibri" w:hAnsi="Calibri"/>
                <w:sz w:val="18"/>
                <w:szCs w:val="18"/>
                <w:color w:val="auto"/>
              </w:rPr>
              <w:t>3.2</w:t>
            </w:r>
          </w:p>
        </w:tc>
        <w:tc>
          <w:tcPr>
            <w:tcW w:w="132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10/22/2021</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20" w:type="dxa"/>
            <w:vAlign w:val="bottom"/>
          </w:tcPr>
          <w:p>
            <w:pPr>
              <w:ind w:left="20"/>
              <w:spacing w:after="0" w:line="209" w:lineRule="exact"/>
              <w:rPr>
                <w:sz w:val="20"/>
                <w:szCs w:val="20"/>
                <w:color w:val="auto"/>
              </w:rPr>
            </w:pPr>
            <w:r>
              <w:rPr>
                <w:rFonts w:ascii="Calibri" w:cs="Calibri" w:eastAsia="Calibri" w:hAnsi="Calibri"/>
                <w:sz w:val="18"/>
                <w:szCs w:val="18"/>
                <w:color w:val="auto"/>
              </w:rPr>
              <w:t>4.1</w:t>
            </w:r>
          </w:p>
        </w:tc>
        <w:tc>
          <w:tcPr>
            <w:tcW w:w="4020" w:type="dxa"/>
            <w:vAlign w:val="bottom"/>
            <w:gridSpan w:val="17"/>
          </w:tcPr>
          <w:p>
            <w:pPr>
              <w:spacing w:after="0" w:line="209" w:lineRule="exact"/>
              <w:rPr>
                <w:rFonts w:ascii="Calibri" w:cs="Calibri" w:eastAsia="Calibri" w:hAnsi="Calibri"/>
                <w:sz w:val="18"/>
                <w:szCs w:val="18"/>
                <w:color w:val="0000FF"/>
              </w:rPr>
            </w:pPr>
            <w:hyperlink r:id="rId433">
              <w:r>
                <w:rPr>
                  <w:rFonts w:ascii="Calibri" w:cs="Calibri" w:eastAsia="Calibri" w:hAnsi="Calibri"/>
                  <w:sz w:val="18"/>
                  <w:szCs w:val="18"/>
                  <w:color w:val="0000FF"/>
                </w:rPr>
                <w:t>Amended and Restated Warrant Agreement dated</w:t>
              </w:r>
            </w:hyperlink>
          </w:p>
        </w:tc>
        <w:tc>
          <w:tcPr>
            <w:tcW w:w="700" w:type="dxa"/>
            <w:vAlign w:val="bottom"/>
          </w:tcPr>
          <w:p>
            <w:pPr>
              <w:jc w:val="center"/>
              <w:ind w:right="171"/>
              <w:spacing w:after="0" w:line="209" w:lineRule="exact"/>
              <w:rPr>
                <w:sz w:val="20"/>
                <w:szCs w:val="20"/>
                <w:color w:val="auto"/>
              </w:rPr>
            </w:pPr>
            <w:r>
              <w:rPr>
                <w:rFonts w:ascii="Calibri" w:cs="Calibri" w:eastAsia="Calibri" w:hAnsi="Calibri"/>
                <w:sz w:val="18"/>
                <w:szCs w:val="18"/>
                <w:color w:val="auto"/>
                <w:w w:val="99"/>
              </w:rPr>
              <w:t>8-K</w:t>
            </w:r>
          </w:p>
        </w:tc>
        <w:tc>
          <w:tcPr>
            <w:tcW w:w="1040" w:type="dxa"/>
            <w:vAlign w:val="bottom"/>
          </w:tcPr>
          <w:p>
            <w:pPr>
              <w:jc w:val="center"/>
              <w:spacing w:after="0" w:line="209" w:lineRule="exact"/>
              <w:rPr>
                <w:sz w:val="20"/>
                <w:szCs w:val="20"/>
                <w:color w:val="auto"/>
              </w:rPr>
            </w:pPr>
            <w:r>
              <w:rPr>
                <w:rFonts w:ascii="Calibri" w:cs="Calibri" w:eastAsia="Calibri" w:hAnsi="Calibri"/>
                <w:sz w:val="18"/>
                <w:szCs w:val="18"/>
                <w:color w:val="auto"/>
              </w:rPr>
              <w:t>10.7</w:t>
            </w:r>
          </w:p>
        </w:tc>
        <w:tc>
          <w:tcPr>
            <w:tcW w:w="132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10/22/2021</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33">
              <w:r>
                <w:rPr>
                  <w:rFonts w:ascii="Calibri" w:cs="Calibri" w:eastAsia="Calibri" w:hAnsi="Calibri"/>
                  <w:sz w:val="18"/>
                  <w:szCs w:val="18"/>
                  <w:color w:val="0000FF"/>
                </w:rPr>
                <w:t>October 14, 2021 between Horizon Acquisiton</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33">
              <w:r>
                <w:rPr>
                  <w:rFonts w:ascii="Calibri" w:cs="Calibri" w:eastAsia="Calibri" w:hAnsi="Calibri"/>
                  <w:sz w:val="18"/>
                  <w:szCs w:val="18"/>
                  <w:color w:val="0000FF"/>
                </w:rPr>
                <w:t>Corporaton and Contnental Stock Transfer &amp; Trust</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33">
              <w:r>
                <w:rPr>
                  <w:rFonts w:ascii="Calibri" w:cs="Calibri" w:eastAsia="Calibri" w:hAnsi="Calibri"/>
                  <w:sz w:val="18"/>
                  <w:szCs w:val="18"/>
                  <w:color w:val="0000FF"/>
                </w:rPr>
                <w:t>Company</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20" w:type="dxa"/>
            <w:vAlign w:val="bottom"/>
          </w:tcPr>
          <w:p>
            <w:pPr>
              <w:ind w:left="20"/>
              <w:spacing w:after="0" w:line="209" w:lineRule="exact"/>
              <w:rPr>
                <w:sz w:val="20"/>
                <w:szCs w:val="20"/>
                <w:color w:val="auto"/>
              </w:rPr>
            </w:pPr>
            <w:r>
              <w:rPr>
                <w:rFonts w:ascii="Calibri" w:cs="Calibri" w:eastAsia="Calibri" w:hAnsi="Calibri"/>
                <w:sz w:val="18"/>
                <w:szCs w:val="18"/>
                <w:color w:val="auto"/>
              </w:rPr>
              <w:t>4.2</w:t>
            </w:r>
          </w:p>
        </w:tc>
        <w:tc>
          <w:tcPr>
            <w:tcW w:w="4020" w:type="dxa"/>
            <w:vAlign w:val="bottom"/>
            <w:gridSpan w:val="17"/>
          </w:tcPr>
          <w:p>
            <w:pPr>
              <w:spacing w:after="0" w:line="209" w:lineRule="exact"/>
              <w:rPr>
                <w:rFonts w:ascii="Calibri" w:cs="Calibri" w:eastAsia="Calibri" w:hAnsi="Calibri"/>
                <w:sz w:val="18"/>
                <w:szCs w:val="18"/>
                <w:color w:val="0000FF"/>
              </w:rPr>
            </w:pPr>
            <w:hyperlink r:id="rId434">
              <w:r>
                <w:rPr>
                  <w:rFonts w:ascii="Calibri" w:cs="Calibri" w:eastAsia="Calibri" w:hAnsi="Calibri"/>
                  <w:sz w:val="18"/>
                  <w:szCs w:val="18"/>
                  <w:color w:val="0000FF"/>
                </w:rPr>
                <w:t>Specimen Class A Common Stock Certfcate of Vivid</w:t>
              </w:r>
            </w:hyperlink>
          </w:p>
        </w:tc>
        <w:tc>
          <w:tcPr>
            <w:tcW w:w="700" w:type="dxa"/>
            <w:vAlign w:val="bottom"/>
          </w:tcPr>
          <w:p>
            <w:pPr>
              <w:jc w:val="center"/>
              <w:ind w:right="171"/>
              <w:spacing w:after="0" w:line="209" w:lineRule="exact"/>
              <w:rPr>
                <w:sz w:val="20"/>
                <w:szCs w:val="20"/>
                <w:color w:val="auto"/>
              </w:rPr>
            </w:pPr>
            <w:r>
              <w:rPr>
                <w:rFonts w:ascii="Calibri" w:cs="Calibri" w:eastAsia="Calibri" w:hAnsi="Calibri"/>
                <w:sz w:val="18"/>
                <w:szCs w:val="18"/>
                <w:color w:val="auto"/>
                <w:w w:val="96"/>
              </w:rPr>
              <w:t>10-K</w:t>
            </w:r>
          </w:p>
        </w:tc>
        <w:tc>
          <w:tcPr>
            <w:tcW w:w="1040" w:type="dxa"/>
            <w:vAlign w:val="bottom"/>
          </w:tcPr>
          <w:p>
            <w:pPr>
              <w:jc w:val="center"/>
              <w:spacing w:after="0" w:line="209" w:lineRule="exact"/>
              <w:rPr>
                <w:sz w:val="20"/>
                <w:szCs w:val="20"/>
                <w:color w:val="auto"/>
              </w:rPr>
            </w:pPr>
            <w:r>
              <w:rPr>
                <w:rFonts w:ascii="Calibri" w:cs="Calibri" w:eastAsia="Calibri" w:hAnsi="Calibri"/>
                <w:sz w:val="18"/>
                <w:szCs w:val="18"/>
                <w:color w:val="auto"/>
              </w:rPr>
              <w:t>4.2</w:t>
            </w:r>
          </w:p>
        </w:tc>
        <w:tc>
          <w:tcPr>
            <w:tcW w:w="132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3/15/2022</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34">
              <w:r>
                <w:rPr>
                  <w:rFonts w:ascii="Calibri" w:cs="Calibri" w:eastAsia="Calibri" w:hAnsi="Calibri"/>
                  <w:sz w:val="18"/>
                  <w:szCs w:val="18"/>
                  <w:color w:val="0000FF"/>
                </w:rPr>
                <w:t>Seats Inc.</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20" w:type="dxa"/>
            <w:vAlign w:val="bottom"/>
          </w:tcPr>
          <w:p>
            <w:pPr>
              <w:ind w:left="20"/>
              <w:spacing w:after="0" w:line="209" w:lineRule="exact"/>
              <w:rPr>
                <w:sz w:val="20"/>
                <w:szCs w:val="20"/>
                <w:color w:val="auto"/>
              </w:rPr>
            </w:pPr>
            <w:r>
              <w:rPr>
                <w:rFonts w:ascii="Calibri" w:cs="Calibri" w:eastAsia="Calibri" w:hAnsi="Calibri"/>
                <w:sz w:val="18"/>
                <w:szCs w:val="18"/>
                <w:color w:val="auto"/>
              </w:rPr>
              <w:t>4.3</w:t>
            </w:r>
          </w:p>
        </w:tc>
        <w:tc>
          <w:tcPr>
            <w:tcW w:w="4020" w:type="dxa"/>
            <w:vAlign w:val="bottom"/>
            <w:gridSpan w:val="17"/>
          </w:tcPr>
          <w:p>
            <w:pPr>
              <w:spacing w:after="0" w:line="209" w:lineRule="exact"/>
              <w:rPr>
                <w:rFonts w:ascii="Calibri" w:cs="Calibri" w:eastAsia="Calibri" w:hAnsi="Calibri"/>
                <w:sz w:val="18"/>
                <w:szCs w:val="18"/>
                <w:color w:val="0000FF"/>
              </w:rPr>
            </w:pPr>
            <w:hyperlink r:id="rId435">
              <w:r>
                <w:rPr>
                  <w:rFonts w:ascii="Calibri" w:cs="Calibri" w:eastAsia="Calibri" w:hAnsi="Calibri"/>
                  <w:sz w:val="18"/>
                  <w:szCs w:val="18"/>
                  <w:color w:val="0000FF"/>
                </w:rPr>
                <w:t>Specimen Warrant Certfcate of Vivid Seats Inc.</w:t>
              </w:r>
            </w:hyperlink>
          </w:p>
        </w:tc>
        <w:tc>
          <w:tcPr>
            <w:tcW w:w="700" w:type="dxa"/>
            <w:vAlign w:val="bottom"/>
          </w:tcPr>
          <w:p>
            <w:pPr>
              <w:jc w:val="center"/>
              <w:ind w:right="171"/>
              <w:spacing w:after="0" w:line="209" w:lineRule="exact"/>
              <w:rPr>
                <w:sz w:val="20"/>
                <w:szCs w:val="20"/>
                <w:color w:val="auto"/>
              </w:rPr>
            </w:pPr>
            <w:r>
              <w:rPr>
                <w:rFonts w:ascii="Calibri" w:cs="Calibri" w:eastAsia="Calibri" w:hAnsi="Calibri"/>
                <w:sz w:val="18"/>
                <w:szCs w:val="18"/>
                <w:color w:val="auto"/>
                <w:w w:val="96"/>
              </w:rPr>
              <w:t>10-K</w:t>
            </w:r>
          </w:p>
        </w:tc>
        <w:tc>
          <w:tcPr>
            <w:tcW w:w="1040" w:type="dxa"/>
            <w:vAlign w:val="bottom"/>
          </w:tcPr>
          <w:p>
            <w:pPr>
              <w:jc w:val="center"/>
              <w:spacing w:after="0" w:line="209" w:lineRule="exact"/>
              <w:rPr>
                <w:sz w:val="20"/>
                <w:szCs w:val="20"/>
                <w:color w:val="auto"/>
              </w:rPr>
            </w:pPr>
            <w:r>
              <w:rPr>
                <w:rFonts w:ascii="Calibri" w:cs="Calibri" w:eastAsia="Calibri" w:hAnsi="Calibri"/>
                <w:sz w:val="18"/>
                <w:szCs w:val="18"/>
                <w:color w:val="auto"/>
              </w:rPr>
              <w:t>4.3</w:t>
            </w:r>
          </w:p>
        </w:tc>
        <w:tc>
          <w:tcPr>
            <w:tcW w:w="132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3/15/2022</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20" w:type="dxa"/>
            <w:vAlign w:val="bottom"/>
          </w:tcPr>
          <w:p>
            <w:pPr>
              <w:ind w:left="20"/>
              <w:spacing w:after="0" w:line="209" w:lineRule="exact"/>
              <w:rPr>
                <w:sz w:val="20"/>
                <w:szCs w:val="20"/>
                <w:color w:val="auto"/>
              </w:rPr>
            </w:pPr>
            <w:r>
              <w:rPr>
                <w:rFonts w:ascii="Calibri" w:cs="Calibri" w:eastAsia="Calibri" w:hAnsi="Calibri"/>
                <w:sz w:val="18"/>
                <w:szCs w:val="18"/>
                <w:color w:val="auto"/>
              </w:rPr>
              <w:t>4.4</w:t>
            </w:r>
          </w:p>
        </w:tc>
        <w:tc>
          <w:tcPr>
            <w:tcW w:w="4020" w:type="dxa"/>
            <w:vAlign w:val="bottom"/>
            <w:gridSpan w:val="17"/>
          </w:tcPr>
          <w:p>
            <w:pPr>
              <w:spacing w:after="0" w:line="209" w:lineRule="exact"/>
              <w:rPr>
                <w:rFonts w:ascii="Calibri" w:cs="Calibri" w:eastAsia="Calibri" w:hAnsi="Calibri"/>
                <w:sz w:val="18"/>
                <w:szCs w:val="18"/>
                <w:color w:val="0000FF"/>
              </w:rPr>
            </w:pPr>
            <w:hyperlink r:id="rId436">
              <w:r>
                <w:rPr>
                  <w:rFonts w:ascii="Calibri" w:cs="Calibri" w:eastAsia="Calibri" w:hAnsi="Calibri"/>
                  <w:sz w:val="18"/>
                  <w:szCs w:val="18"/>
                  <w:color w:val="0000FF"/>
                </w:rPr>
                <w:t>Descripton of Capital Stock</w:t>
              </w:r>
            </w:hyperlink>
          </w:p>
        </w:tc>
        <w:tc>
          <w:tcPr>
            <w:tcW w:w="700" w:type="dxa"/>
            <w:vAlign w:val="bottom"/>
          </w:tcPr>
          <w:p>
            <w:pPr>
              <w:jc w:val="center"/>
              <w:ind w:right="171"/>
              <w:spacing w:after="0" w:line="209" w:lineRule="exact"/>
              <w:rPr>
                <w:sz w:val="20"/>
                <w:szCs w:val="20"/>
                <w:color w:val="auto"/>
              </w:rPr>
            </w:pPr>
            <w:r>
              <w:rPr>
                <w:rFonts w:ascii="Calibri" w:cs="Calibri" w:eastAsia="Calibri" w:hAnsi="Calibri"/>
                <w:sz w:val="18"/>
                <w:szCs w:val="18"/>
                <w:color w:val="auto"/>
                <w:w w:val="96"/>
              </w:rPr>
              <w:t>10-K</w:t>
            </w:r>
          </w:p>
        </w:tc>
        <w:tc>
          <w:tcPr>
            <w:tcW w:w="1040" w:type="dxa"/>
            <w:vAlign w:val="bottom"/>
          </w:tcPr>
          <w:p>
            <w:pPr>
              <w:jc w:val="center"/>
              <w:spacing w:after="0" w:line="209" w:lineRule="exact"/>
              <w:rPr>
                <w:sz w:val="20"/>
                <w:szCs w:val="20"/>
                <w:color w:val="auto"/>
              </w:rPr>
            </w:pPr>
            <w:r>
              <w:rPr>
                <w:rFonts w:ascii="Calibri" w:cs="Calibri" w:eastAsia="Calibri" w:hAnsi="Calibri"/>
                <w:sz w:val="18"/>
                <w:szCs w:val="18"/>
                <w:color w:val="auto"/>
              </w:rPr>
              <w:t>4.4</w:t>
            </w:r>
          </w:p>
        </w:tc>
        <w:tc>
          <w:tcPr>
            <w:tcW w:w="132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3/15/2022</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20" w:type="dxa"/>
            <w:vAlign w:val="bottom"/>
          </w:tcPr>
          <w:p>
            <w:pPr>
              <w:ind w:left="20"/>
              <w:spacing w:after="0" w:line="209" w:lineRule="exact"/>
              <w:rPr>
                <w:sz w:val="20"/>
                <w:szCs w:val="20"/>
                <w:color w:val="auto"/>
              </w:rPr>
            </w:pPr>
            <w:r>
              <w:rPr>
                <w:rFonts w:ascii="Calibri" w:cs="Calibri" w:eastAsia="Calibri" w:hAnsi="Calibri"/>
                <w:sz w:val="18"/>
                <w:szCs w:val="18"/>
                <w:color w:val="auto"/>
              </w:rPr>
              <w:t>10.1</w:t>
            </w:r>
          </w:p>
        </w:tc>
        <w:tc>
          <w:tcPr>
            <w:tcW w:w="4020" w:type="dxa"/>
            <w:vAlign w:val="bottom"/>
            <w:gridSpan w:val="17"/>
          </w:tcPr>
          <w:p>
            <w:pPr>
              <w:spacing w:after="0" w:line="209" w:lineRule="exact"/>
              <w:rPr>
                <w:rFonts w:ascii="Calibri" w:cs="Calibri" w:eastAsia="Calibri" w:hAnsi="Calibri"/>
                <w:sz w:val="18"/>
                <w:szCs w:val="18"/>
                <w:color w:val="0000FF"/>
              </w:rPr>
            </w:pPr>
            <w:hyperlink r:id="rId437">
              <w:r>
                <w:rPr>
                  <w:rFonts w:ascii="Calibri" w:cs="Calibri" w:eastAsia="Calibri" w:hAnsi="Calibri"/>
                  <w:sz w:val="18"/>
                  <w:szCs w:val="18"/>
                  <w:color w:val="0000FF"/>
                </w:rPr>
                <w:t>Stockholders’ Agreement dated October 18, 2021</w:t>
              </w:r>
            </w:hyperlink>
          </w:p>
        </w:tc>
        <w:tc>
          <w:tcPr>
            <w:tcW w:w="700" w:type="dxa"/>
            <w:vAlign w:val="bottom"/>
          </w:tcPr>
          <w:p>
            <w:pPr>
              <w:jc w:val="center"/>
              <w:ind w:right="171"/>
              <w:spacing w:after="0" w:line="209" w:lineRule="exact"/>
              <w:rPr>
                <w:sz w:val="20"/>
                <w:szCs w:val="20"/>
                <w:color w:val="auto"/>
              </w:rPr>
            </w:pPr>
            <w:r>
              <w:rPr>
                <w:rFonts w:ascii="Calibri" w:cs="Calibri" w:eastAsia="Calibri" w:hAnsi="Calibri"/>
                <w:sz w:val="18"/>
                <w:szCs w:val="18"/>
                <w:color w:val="auto"/>
                <w:w w:val="99"/>
              </w:rPr>
              <w:t>8-K</w:t>
            </w:r>
          </w:p>
        </w:tc>
        <w:tc>
          <w:tcPr>
            <w:tcW w:w="1040" w:type="dxa"/>
            <w:vAlign w:val="bottom"/>
          </w:tcPr>
          <w:p>
            <w:pPr>
              <w:jc w:val="center"/>
              <w:spacing w:after="0" w:line="209" w:lineRule="exact"/>
              <w:rPr>
                <w:sz w:val="20"/>
                <w:szCs w:val="20"/>
                <w:color w:val="auto"/>
              </w:rPr>
            </w:pPr>
            <w:r>
              <w:rPr>
                <w:rFonts w:ascii="Calibri" w:cs="Calibri" w:eastAsia="Calibri" w:hAnsi="Calibri"/>
                <w:sz w:val="18"/>
                <w:szCs w:val="18"/>
                <w:color w:val="auto"/>
              </w:rPr>
              <w:t>10.1</w:t>
            </w:r>
          </w:p>
        </w:tc>
        <w:tc>
          <w:tcPr>
            <w:tcW w:w="132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10/22/2021</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0" w:type="dxa"/>
            <w:vAlign w:val="bottom"/>
            <w:gridSpan w:val="10"/>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gridSpan w:val="17"/>
          </w:tcPr>
          <w:p>
            <w:pPr>
              <w:spacing w:after="0" w:line="196" w:lineRule="exact"/>
              <w:rPr>
                <w:rFonts w:ascii="Calibri" w:cs="Calibri" w:eastAsia="Calibri" w:hAnsi="Calibri"/>
                <w:sz w:val="18"/>
                <w:szCs w:val="18"/>
                <w:color w:val="0000FF"/>
              </w:rPr>
            </w:pPr>
            <w:hyperlink r:id="rId437">
              <w:r>
                <w:rPr>
                  <w:rFonts w:ascii="Calibri" w:cs="Calibri" w:eastAsia="Calibri" w:hAnsi="Calibri"/>
                  <w:sz w:val="18"/>
                  <w:szCs w:val="18"/>
                  <w:color w:val="0000FF"/>
                </w:rPr>
                <w:t>among Vivid Seats</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tcBorders>
              <w:top w:val="single" w:sz="8" w:color="0000EE"/>
            </w:tcBorders>
            <w:gridSpan w:val="4"/>
          </w:tcPr>
          <w:p>
            <w:pPr>
              <w:spacing w:after="0"/>
              <w:rPr>
                <w:sz w:val="20"/>
                <w:szCs w:val="20"/>
                <w:color w:val="auto"/>
              </w:rPr>
            </w:pPr>
          </w:p>
        </w:tc>
        <w:tc>
          <w:tcPr>
            <w:tcW w:w="2700" w:type="dxa"/>
            <w:vAlign w:val="bottom"/>
            <w:gridSpan w:val="13"/>
          </w:tcPr>
          <w:p>
            <w:pPr>
              <w:jc w:val="right"/>
              <w:ind w:right="200"/>
              <w:spacing w:after="0"/>
              <w:rPr>
                <w:sz w:val="20"/>
                <w:szCs w:val="20"/>
                <w:color w:val="auto"/>
              </w:rPr>
            </w:pPr>
            <w:r>
              <w:rPr>
                <w:rFonts w:ascii="Calibri" w:cs="Calibri" w:eastAsia="Calibri" w:hAnsi="Calibri"/>
                <w:sz w:val="18"/>
                <w:szCs w:val="18"/>
                <w:color w:val="auto"/>
              </w:rPr>
              <w:t>103</w:t>
            </w: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0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20"/>
        </w:trPr>
        <w:tc>
          <w:tcPr>
            <w:tcW w:w="1940" w:type="dxa"/>
            <w:vAlign w:val="bottom"/>
          </w:tcPr>
          <w:p>
            <w:pPr>
              <w:spacing w:after="0"/>
              <w:rPr>
                <w:sz w:val="19"/>
                <w:szCs w:val="19"/>
                <w:color w:val="auto"/>
              </w:rPr>
            </w:pPr>
          </w:p>
        </w:tc>
        <w:tc>
          <w:tcPr>
            <w:tcW w:w="3940" w:type="dxa"/>
            <w:vAlign w:val="bottom"/>
            <w:gridSpan w:val="18"/>
          </w:tcPr>
          <w:p>
            <w:pPr>
              <w:spacing w:after="0"/>
              <w:rPr>
                <w:rFonts w:ascii="Calibri" w:cs="Calibri" w:eastAsia="Calibri" w:hAnsi="Calibri"/>
                <w:sz w:val="18"/>
                <w:szCs w:val="18"/>
                <w:color w:val="0000FF"/>
              </w:rPr>
            </w:pPr>
            <w:hyperlink r:id="rId437">
              <w:r>
                <w:rPr>
                  <w:rFonts w:ascii="Calibri" w:cs="Calibri" w:eastAsia="Calibri" w:hAnsi="Calibri"/>
                  <w:sz w:val="18"/>
                  <w:szCs w:val="18"/>
                  <w:color w:val="0000FF"/>
                </w:rPr>
                <w:t>Inc., Hoya Topco, LLC and Horizon Sponsor, LLC</w:t>
              </w:r>
            </w:hyperlink>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09"/>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10.2</w:t>
            </w:r>
          </w:p>
        </w:tc>
        <w:tc>
          <w:tcPr>
            <w:tcW w:w="3940" w:type="dxa"/>
            <w:vAlign w:val="bottom"/>
            <w:gridSpan w:val="18"/>
          </w:tcPr>
          <w:p>
            <w:pPr>
              <w:spacing w:after="0" w:line="209" w:lineRule="exact"/>
              <w:rPr>
                <w:rFonts w:ascii="Calibri" w:cs="Calibri" w:eastAsia="Calibri" w:hAnsi="Calibri"/>
                <w:sz w:val="18"/>
                <w:szCs w:val="18"/>
                <w:color w:val="0000FF"/>
              </w:rPr>
            </w:pPr>
            <w:hyperlink r:id="rId440">
              <w:r>
                <w:rPr>
                  <w:rFonts w:ascii="Calibri" w:cs="Calibri" w:eastAsia="Calibri" w:hAnsi="Calibri"/>
                  <w:sz w:val="18"/>
                  <w:szCs w:val="18"/>
                  <w:color w:val="0000FF"/>
                </w:rPr>
                <w:t>Amended and Restated Registraton Rights</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w w:val="99"/>
              </w:rPr>
              <w:t>8-K</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10.2</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10/22/2021</w:t>
            </w:r>
          </w:p>
        </w:tc>
      </w:tr>
      <w:tr>
        <w:trPr>
          <w:trHeight w:val="20"/>
        </w:trPr>
        <w:tc>
          <w:tcPr>
            <w:tcW w:w="19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0">
              <w:r>
                <w:rPr>
                  <w:rFonts w:ascii="Calibri" w:cs="Calibri" w:eastAsia="Calibri" w:hAnsi="Calibri"/>
                  <w:sz w:val="18"/>
                  <w:szCs w:val="18"/>
                  <w:color w:val="0000FF"/>
                </w:rPr>
                <w:t>Agreement dated October 18, 2021 among Vivid</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0">
              <w:r>
                <w:rPr>
                  <w:rFonts w:ascii="Calibri" w:cs="Calibri" w:eastAsia="Calibri" w:hAnsi="Calibri"/>
                  <w:sz w:val="18"/>
                  <w:szCs w:val="18"/>
                  <w:color w:val="0000FF"/>
                </w:rPr>
                <w:t>Seats Inc., Hoya Topco, LLC and Horizon Sponsor,</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0">
              <w:r>
                <w:rPr>
                  <w:rFonts w:ascii="Calibri" w:cs="Calibri" w:eastAsia="Calibri" w:hAnsi="Calibri"/>
                  <w:sz w:val="18"/>
                  <w:szCs w:val="18"/>
                  <w:color w:val="0000FF"/>
                </w:rPr>
                <w:t>LLC</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09"/>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10.3</w:t>
            </w:r>
          </w:p>
        </w:tc>
        <w:tc>
          <w:tcPr>
            <w:tcW w:w="3940" w:type="dxa"/>
            <w:vAlign w:val="bottom"/>
            <w:gridSpan w:val="18"/>
          </w:tcPr>
          <w:p>
            <w:pPr>
              <w:spacing w:after="0" w:line="209" w:lineRule="exact"/>
              <w:rPr>
                <w:rFonts w:ascii="Calibri" w:cs="Calibri" w:eastAsia="Calibri" w:hAnsi="Calibri"/>
                <w:sz w:val="18"/>
                <w:szCs w:val="18"/>
                <w:color w:val="0000FF"/>
              </w:rPr>
            </w:pPr>
            <w:hyperlink r:id="rId441">
              <w:r>
                <w:rPr>
                  <w:rFonts w:ascii="Calibri" w:cs="Calibri" w:eastAsia="Calibri" w:hAnsi="Calibri"/>
                  <w:sz w:val="18"/>
                  <w:szCs w:val="18"/>
                  <w:color w:val="0000FF"/>
                </w:rPr>
                <w:t>Tax Receivable Agreement dated October 18, 2021</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w w:val="99"/>
              </w:rPr>
              <w:t>8-K</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10.3</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10/22/2021</w:t>
            </w: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1">
              <w:r>
                <w:rPr>
                  <w:rFonts w:ascii="Calibri" w:cs="Calibri" w:eastAsia="Calibri" w:hAnsi="Calibri"/>
                  <w:sz w:val="18"/>
                  <w:szCs w:val="18"/>
                  <w:color w:val="0000FF"/>
                </w:rPr>
                <w:t>among Vivid Seats Inc., Hoya Intermediate, LLC,</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1">
              <w:r>
                <w:rPr>
                  <w:rFonts w:ascii="Calibri" w:cs="Calibri" w:eastAsia="Calibri" w:hAnsi="Calibri"/>
                  <w:sz w:val="18"/>
                  <w:szCs w:val="18"/>
                  <w:color w:val="0000FF"/>
                </w:rPr>
                <w:t>GTCR Management XI, LLC, Hoya Topco, LLC and</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1">
              <w:r>
                <w:rPr>
                  <w:rFonts w:ascii="Calibri" w:cs="Calibri" w:eastAsia="Calibri" w:hAnsi="Calibri"/>
                  <w:sz w:val="18"/>
                  <w:szCs w:val="18"/>
                  <w:color w:val="0000FF"/>
                </w:rPr>
                <w:t>several Blocker TRA Holders</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09"/>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10.4</w:t>
            </w:r>
          </w:p>
        </w:tc>
        <w:tc>
          <w:tcPr>
            <w:tcW w:w="3940" w:type="dxa"/>
            <w:vAlign w:val="bottom"/>
            <w:gridSpan w:val="18"/>
          </w:tcPr>
          <w:p>
            <w:pPr>
              <w:spacing w:after="0" w:line="209" w:lineRule="exact"/>
              <w:rPr>
                <w:rFonts w:ascii="Calibri" w:cs="Calibri" w:eastAsia="Calibri" w:hAnsi="Calibri"/>
                <w:sz w:val="18"/>
                <w:szCs w:val="18"/>
                <w:color w:val="0000FF"/>
              </w:rPr>
            </w:pPr>
            <w:hyperlink r:id="rId442">
              <w:r>
                <w:rPr>
                  <w:rFonts w:ascii="Calibri" w:cs="Calibri" w:eastAsia="Calibri" w:hAnsi="Calibri"/>
                  <w:sz w:val="18"/>
                  <w:szCs w:val="18"/>
                  <w:color w:val="0000FF"/>
                </w:rPr>
                <w:t>Private Warrant Agreement dated October 18, 2021</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w w:val="99"/>
              </w:rPr>
              <w:t>8-K</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10.6</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10/22/2021</w:t>
            </w: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2">
              <w:r>
                <w:rPr>
                  <w:rFonts w:ascii="Calibri" w:cs="Calibri" w:eastAsia="Calibri" w:hAnsi="Calibri"/>
                  <w:sz w:val="18"/>
                  <w:szCs w:val="18"/>
                  <w:color w:val="0000FF"/>
                </w:rPr>
                <w:t>between Vivid Seats Inc. and Hoya Topco, LLC</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10"/>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10.5</w:t>
            </w:r>
          </w:p>
        </w:tc>
        <w:tc>
          <w:tcPr>
            <w:tcW w:w="3940" w:type="dxa"/>
            <w:vAlign w:val="bottom"/>
            <w:gridSpan w:val="18"/>
          </w:tcPr>
          <w:p>
            <w:pPr>
              <w:spacing w:after="0" w:line="209" w:lineRule="exact"/>
              <w:rPr>
                <w:rFonts w:ascii="Calibri" w:cs="Calibri" w:eastAsia="Calibri" w:hAnsi="Calibri"/>
                <w:sz w:val="18"/>
                <w:szCs w:val="18"/>
                <w:color w:val="0000FF"/>
              </w:rPr>
            </w:pPr>
            <w:hyperlink r:id="rId433">
              <w:r>
                <w:rPr>
                  <w:rFonts w:ascii="Calibri" w:cs="Calibri" w:eastAsia="Calibri" w:hAnsi="Calibri"/>
                  <w:sz w:val="18"/>
                  <w:szCs w:val="18"/>
                  <w:color w:val="0000FF"/>
                </w:rPr>
                <w:t>Amended and Restated Warrant Agreement dated</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w w:val="99"/>
              </w:rPr>
              <w:t>8-K</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10.7</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10/22/2021</w:t>
            </w: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33">
              <w:r>
                <w:rPr>
                  <w:rFonts w:ascii="Calibri" w:cs="Calibri" w:eastAsia="Calibri" w:hAnsi="Calibri"/>
                  <w:sz w:val="18"/>
                  <w:szCs w:val="18"/>
                  <w:color w:val="0000FF"/>
                </w:rPr>
                <w:t>October 14, 2021 between Hoya Acquisiton</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33">
              <w:r>
                <w:rPr>
                  <w:rFonts w:ascii="Calibri" w:cs="Calibri" w:eastAsia="Calibri" w:hAnsi="Calibri"/>
                  <w:sz w:val="18"/>
                  <w:szCs w:val="18"/>
                  <w:color w:val="0000FF"/>
                </w:rPr>
                <w:t>Corporaton and Contnental Stock Transfer &amp; Trust</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33">
              <w:r>
                <w:rPr>
                  <w:rFonts w:ascii="Calibri" w:cs="Calibri" w:eastAsia="Calibri" w:hAnsi="Calibri"/>
                  <w:sz w:val="18"/>
                  <w:szCs w:val="18"/>
                  <w:color w:val="0000FF"/>
                </w:rPr>
                <w:t>Company</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10"/>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10.6</w:t>
            </w:r>
          </w:p>
        </w:tc>
        <w:tc>
          <w:tcPr>
            <w:tcW w:w="3940" w:type="dxa"/>
            <w:vAlign w:val="bottom"/>
            <w:gridSpan w:val="18"/>
          </w:tcPr>
          <w:p>
            <w:pPr>
              <w:spacing w:after="0" w:line="209" w:lineRule="exact"/>
              <w:rPr>
                <w:rFonts w:ascii="Calibri" w:cs="Calibri" w:eastAsia="Calibri" w:hAnsi="Calibri"/>
                <w:sz w:val="18"/>
                <w:szCs w:val="18"/>
                <w:color w:val="0000FF"/>
              </w:rPr>
            </w:pPr>
            <w:hyperlink r:id="rId443">
              <w:r>
                <w:rPr>
                  <w:rFonts w:ascii="Calibri" w:cs="Calibri" w:eastAsia="Calibri" w:hAnsi="Calibri"/>
                  <w:sz w:val="18"/>
                  <w:szCs w:val="18"/>
                  <w:color w:val="0000FF"/>
                </w:rPr>
                <w:t>Private Warrant Agreement dated October 15, 2021</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w w:val="99"/>
              </w:rPr>
              <w:t>8-K</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10.8</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10/22/2021</w:t>
            </w: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3">
              <w:r>
                <w:rPr>
                  <w:rFonts w:ascii="Calibri" w:cs="Calibri" w:eastAsia="Calibri" w:hAnsi="Calibri"/>
                  <w:sz w:val="18"/>
                  <w:szCs w:val="18"/>
                  <w:color w:val="0000FF"/>
                </w:rPr>
                <w:t>between Hoya Acquisiton Corporaton and</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3">
              <w:r>
                <w:rPr>
                  <w:rFonts w:ascii="Calibri" w:cs="Calibri" w:eastAsia="Calibri" w:hAnsi="Calibri"/>
                  <w:sz w:val="18"/>
                  <w:szCs w:val="18"/>
                  <w:color w:val="0000FF"/>
                </w:rPr>
                <w:t>Contnental Stock Transfer &amp; Trust Company</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09"/>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10.7</w:t>
            </w:r>
          </w:p>
        </w:tc>
        <w:tc>
          <w:tcPr>
            <w:tcW w:w="3940" w:type="dxa"/>
            <w:vAlign w:val="bottom"/>
            <w:gridSpan w:val="18"/>
          </w:tcPr>
          <w:p>
            <w:pPr>
              <w:spacing w:after="0" w:line="209" w:lineRule="exact"/>
              <w:rPr>
                <w:rFonts w:ascii="Calibri" w:cs="Calibri" w:eastAsia="Calibri" w:hAnsi="Calibri"/>
                <w:sz w:val="18"/>
                <w:szCs w:val="18"/>
                <w:color w:val="0000FF"/>
              </w:rPr>
            </w:pPr>
            <w:hyperlink r:id="rId444">
              <w:r>
                <w:rPr>
                  <w:rFonts w:ascii="Calibri" w:cs="Calibri" w:eastAsia="Calibri" w:hAnsi="Calibri"/>
                  <w:sz w:val="18"/>
                  <w:szCs w:val="18"/>
                  <w:color w:val="0000FF"/>
                </w:rPr>
                <w:t>Private Warrant Agreement dated October 15, 2021</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w w:val="99"/>
              </w:rPr>
              <w:t>8-K</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10.9</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10/22/2021</w:t>
            </w: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4">
              <w:r>
                <w:rPr>
                  <w:rFonts w:ascii="Calibri" w:cs="Calibri" w:eastAsia="Calibri" w:hAnsi="Calibri"/>
                  <w:sz w:val="18"/>
                  <w:szCs w:val="18"/>
                  <w:color w:val="0000FF"/>
                </w:rPr>
                <w:t>between Horizon Acquisiton Corporaton and</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4">
              <w:r>
                <w:rPr>
                  <w:rFonts w:ascii="Calibri" w:cs="Calibri" w:eastAsia="Calibri" w:hAnsi="Calibri"/>
                  <w:sz w:val="18"/>
                  <w:szCs w:val="18"/>
                  <w:color w:val="0000FF"/>
                </w:rPr>
                <w:t>Contnental Stock Transfer &amp; Trust Company</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09"/>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10.8</w:t>
            </w:r>
          </w:p>
        </w:tc>
        <w:tc>
          <w:tcPr>
            <w:tcW w:w="3940" w:type="dxa"/>
            <w:vAlign w:val="bottom"/>
            <w:gridSpan w:val="18"/>
          </w:tcPr>
          <w:p>
            <w:pPr>
              <w:spacing w:after="0" w:line="209" w:lineRule="exact"/>
              <w:rPr>
                <w:rFonts w:ascii="Calibri" w:cs="Calibri" w:eastAsia="Calibri" w:hAnsi="Calibri"/>
                <w:sz w:val="18"/>
                <w:szCs w:val="18"/>
                <w:color w:val="0000FF"/>
              </w:rPr>
            </w:pPr>
            <w:hyperlink r:id="rId445">
              <w:r>
                <w:rPr>
                  <w:rFonts w:ascii="Calibri" w:cs="Calibri" w:eastAsia="Calibri" w:hAnsi="Calibri"/>
                  <w:sz w:val="18"/>
                  <w:szCs w:val="18"/>
                  <w:color w:val="0000FF"/>
                </w:rPr>
                <w:t xml:space="preserve">Private Warrant Agreement </w:t>
              </w:r>
              <w:r>
                <w:rPr>
                  <w:rFonts w:ascii="Calibri" w:cs="Calibri" w:eastAsia="Calibri" w:hAnsi="Calibri"/>
                  <w:sz w:val="18"/>
                  <w:szCs w:val="18"/>
                  <w:u w:val="single" w:color="auto"/>
                  <w:color w:val="0000FF"/>
                </w:rPr>
                <w:t>($</w:t>
              </w:r>
              <w:r>
                <w:rPr>
                  <w:rFonts w:ascii="Calibri" w:cs="Calibri" w:eastAsia="Calibri" w:hAnsi="Calibri"/>
                  <w:sz w:val="18"/>
                  <w:szCs w:val="18"/>
                  <w:color w:val="0000FF"/>
                </w:rPr>
                <w:t>10.00 exercise price)</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w w:val="99"/>
              </w:rPr>
              <w:t>8-K</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10.10</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10/22/2021</w:t>
            </w: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5">
              <w:r>
                <w:rPr>
                  <w:rFonts w:ascii="Calibri" w:cs="Calibri" w:eastAsia="Calibri" w:hAnsi="Calibri"/>
                  <w:sz w:val="18"/>
                  <w:szCs w:val="18"/>
                  <w:color w:val="0000FF"/>
                </w:rPr>
                <w:t>dated October 18, 2021 between Hoya</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5">
              <w:r>
                <w:rPr>
                  <w:rFonts w:ascii="Calibri" w:cs="Calibri" w:eastAsia="Calibri" w:hAnsi="Calibri"/>
                  <w:sz w:val="18"/>
                  <w:szCs w:val="18"/>
                  <w:color w:val="0000FF"/>
                </w:rPr>
                <w:t>Intermediate, LLC and Hoya Topco, LLC</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09"/>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10.9</w:t>
            </w:r>
          </w:p>
        </w:tc>
        <w:tc>
          <w:tcPr>
            <w:tcW w:w="3940" w:type="dxa"/>
            <w:vAlign w:val="bottom"/>
            <w:gridSpan w:val="18"/>
          </w:tcPr>
          <w:p>
            <w:pPr>
              <w:spacing w:after="0" w:line="209" w:lineRule="exact"/>
              <w:rPr>
                <w:rFonts w:ascii="Calibri" w:cs="Calibri" w:eastAsia="Calibri" w:hAnsi="Calibri"/>
                <w:sz w:val="18"/>
                <w:szCs w:val="18"/>
                <w:color w:val="0000FF"/>
              </w:rPr>
            </w:pPr>
            <w:hyperlink r:id="rId446">
              <w:r>
                <w:rPr>
                  <w:rFonts w:ascii="Calibri" w:cs="Calibri" w:eastAsia="Calibri" w:hAnsi="Calibri"/>
                  <w:sz w:val="18"/>
                  <w:szCs w:val="18"/>
                  <w:color w:val="0000FF"/>
                </w:rPr>
                <w:t xml:space="preserve">Private Warrant Agreement </w:t>
              </w:r>
              <w:r>
                <w:rPr>
                  <w:rFonts w:ascii="Calibri" w:cs="Calibri" w:eastAsia="Calibri" w:hAnsi="Calibri"/>
                  <w:sz w:val="18"/>
                  <w:szCs w:val="18"/>
                  <w:u w:val="single" w:color="auto"/>
                  <w:color w:val="0000FF"/>
                </w:rPr>
                <w:t>($</w:t>
              </w:r>
              <w:r>
                <w:rPr>
                  <w:rFonts w:ascii="Calibri" w:cs="Calibri" w:eastAsia="Calibri" w:hAnsi="Calibri"/>
                  <w:sz w:val="18"/>
                  <w:szCs w:val="18"/>
                  <w:color w:val="0000FF"/>
                </w:rPr>
                <w:t>15.00 exercise price)</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w w:val="99"/>
              </w:rPr>
              <w:t>8-K</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10.11</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10/22/2021</w:t>
            </w: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6">
              <w:r>
                <w:rPr>
                  <w:rFonts w:ascii="Calibri" w:cs="Calibri" w:eastAsia="Calibri" w:hAnsi="Calibri"/>
                  <w:sz w:val="18"/>
                  <w:szCs w:val="18"/>
                  <w:color w:val="0000FF"/>
                </w:rPr>
                <w:t>dated October 18, 2021 between Hoya</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46">
              <w:r>
                <w:rPr>
                  <w:rFonts w:ascii="Calibri" w:cs="Calibri" w:eastAsia="Calibri" w:hAnsi="Calibri"/>
                  <w:sz w:val="18"/>
                  <w:szCs w:val="18"/>
                  <w:color w:val="0000FF"/>
                </w:rPr>
                <w:t>Intermediate, LLC and Hoya Topco, LLC</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10"/>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10.10</w:t>
            </w:r>
          </w:p>
        </w:tc>
        <w:tc>
          <w:tcPr>
            <w:tcW w:w="3940" w:type="dxa"/>
            <w:vAlign w:val="bottom"/>
            <w:gridSpan w:val="18"/>
          </w:tcPr>
          <w:p>
            <w:pPr>
              <w:spacing w:after="0" w:line="209" w:lineRule="exact"/>
              <w:rPr>
                <w:rFonts w:ascii="Calibri" w:cs="Calibri" w:eastAsia="Calibri" w:hAnsi="Calibri"/>
                <w:sz w:val="18"/>
                <w:szCs w:val="18"/>
                <w:color w:val="0000FF"/>
              </w:rPr>
            </w:pPr>
            <w:hyperlink r:id="rId447">
              <w:r>
                <w:rPr>
                  <w:rFonts w:ascii="Calibri" w:cs="Calibri" w:eastAsia="Calibri" w:hAnsi="Calibri"/>
                  <w:sz w:val="18"/>
                  <w:szCs w:val="18"/>
                  <w:color w:val="0000FF"/>
                </w:rPr>
                <w:t>Form of Subscripton Agreement</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w w:val="99"/>
              </w:rPr>
              <w:t>S-4/A</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10.4</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10/22/2021</w:t>
            </w: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09"/>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10.11#</w:t>
            </w:r>
          </w:p>
        </w:tc>
        <w:tc>
          <w:tcPr>
            <w:tcW w:w="3940" w:type="dxa"/>
            <w:vAlign w:val="bottom"/>
            <w:gridSpan w:val="18"/>
          </w:tcPr>
          <w:p>
            <w:pPr>
              <w:spacing w:after="0" w:line="209" w:lineRule="exact"/>
              <w:rPr>
                <w:rFonts w:ascii="Calibri" w:cs="Calibri" w:eastAsia="Calibri" w:hAnsi="Calibri"/>
                <w:sz w:val="18"/>
                <w:szCs w:val="18"/>
                <w:color w:val="0000FF"/>
              </w:rPr>
            </w:pPr>
            <w:hyperlink r:id="rId448">
              <w:r>
                <w:rPr>
                  <w:rFonts w:ascii="Calibri" w:cs="Calibri" w:eastAsia="Calibri" w:hAnsi="Calibri"/>
                  <w:sz w:val="18"/>
                  <w:szCs w:val="18"/>
                  <w:color w:val="0000FF"/>
                </w:rPr>
                <w:t>Form of Indemnifcaton Agreement</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w w:val="99"/>
              </w:rPr>
              <w:t>8-K</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10.5</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10/22/2021</w:t>
            </w: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10"/>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10.12#</w:t>
            </w:r>
          </w:p>
        </w:tc>
        <w:tc>
          <w:tcPr>
            <w:tcW w:w="3940" w:type="dxa"/>
            <w:vAlign w:val="bottom"/>
            <w:gridSpan w:val="18"/>
          </w:tcPr>
          <w:p>
            <w:pPr>
              <w:spacing w:after="0" w:line="209" w:lineRule="exact"/>
              <w:rPr>
                <w:rFonts w:ascii="Calibri" w:cs="Calibri" w:eastAsia="Calibri" w:hAnsi="Calibri"/>
                <w:sz w:val="18"/>
                <w:szCs w:val="18"/>
                <w:color w:val="0000FF"/>
              </w:rPr>
            </w:pPr>
            <w:hyperlink r:id="rId449">
              <w:r>
                <w:rPr>
                  <w:rFonts w:ascii="Calibri" w:cs="Calibri" w:eastAsia="Calibri" w:hAnsi="Calibri"/>
                  <w:sz w:val="18"/>
                  <w:szCs w:val="18"/>
                  <w:color w:val="0000FF"/>
                </w:rPr>
                <w:t>2021 Incentve Award Plan</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rPr>
              <w:t>S-8</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99.1</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10/18/2021</w:t>
            </w: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10"/>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10.13#</w:t>
            </w:r>
          </w:p>
        </w:tc>
        <w:tc>
          <w:tcPr>
            <w:tcW w:w="3940" w:type="dxa"/>
            <w:vAlign w:val="bottom"/>
            <w:gridSpan w:val="18"/>
          </w:tcPr>
          <w:p>
            <w:pPr>
              <w:spacing w:after="0" w:line="209" w:lineRule="exact"/>
              <w:rPr>
                <w:rFonts w:ascii="Calibri" w:cs="Calibri" w:eastAsia="Calibri" w:hAnsi="Calibri"/>
                <w:sz w:val="18"/>
                <w:szCs w:val="18"/>
                <w:color w:val="0000FF"/>
              </w:rPr>
            </w:pPr>
            <w:hyperlink r:id="rId450">
              <w:r>
                <w:rPr>
                  <w:rFonts w:ascii="Calibri" w:cs="Calibri" w:eastAsia="Calibri" w:hAnsi="Calibri"/>
                  <w:sz w:val="18"/>
                  <w:szCs w:val="18"/>
                  <w:color w:val="0000FF"/>
                </w:rPr>
                <w:t>2021 Employee Stock Purchase Plan</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rPr>
              <w:t>S-8</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99.2</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10/18/2021</w:t>
            </w: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09"/>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10.14#</w:t>
            </w:r>
          </w:p>
        </w:tc>
        <w:tc>
          <w:tcPr>
            <w:tcW w:w="3940" w:type="dxa"/>
            <w:vAlign w:val="bottom"/>
            <w:gridSpan w:val="18"/>
          </w:tcPr>
          <w:p>
            <w:pPr>
              <w:spacing w:after="0" w:line="209" w:lineRule="exact"/>
              <w:rPr>
                <w:rFonts w:ascii="Calibri" w:cs="Calibri" w:eastAsia="Calibri" w:hAnsi="Calibri"/>
                <w:sz w:val="18"/>
                <w:szCs w:val="18"/>
                <w:color w:val="0000FF"/>
              </w:rPr>
            </w:pPr>
            <w:hyperlink r:id="rId451">
              <w:r>
                <w:rPr>
                  <w:rFonts w:ascii="Calibri" w:cs="Calibri" w:eastAsia="Calibri" w:hAnsi="Calibri"/>
                  <w:sz w:val="18"/>
                  <w:szCs w:val="18"/>
                  <w:color w:val="0000FF"/>
                </w:rPr>
                <w:t>Form of Restricted Stock Unit Grant Notce and</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rPr>
              <w:t>S-8</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99.3</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10/18/2021</w:t>
            </w: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51">
              <w:r>
                <w:rPr>
                  <w:rFonts w:ascii="Calibri" w:cs="Calibri" w:eastAsia="Calibri" w:hAnsi="Calibri"/>
                  <w:sz w:val="18"/>
                  <w:szCs w:val="18"/>
                  <w:color w:val="0000FF"/>
                </w:rPr>
                <w:t>Restricted Stock Unit Agreement</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EE"/>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09"/>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10.15#</w:t>
            </w:r>
          </w:p>
        </w:tc>
        <w:tc>
          <w:tcPr>
            <w:tcW w:w="3940" w:type="dxa"/>
            <w:vAlign w:val="bottom"/>
            <w:gridSpan w:val="18"/>
          </w:tcPr>
          <w:p>
            <w:pPr>
              <w:spacing w:after="0" w:line="209" w:lineRule="exact"/>
              <w:rPr>
                <w:rFonts w:ascii="Calibri" w:cs="Calibri" w:eastAsia="Calibri" w:hAnsi="Calibri"/>
                <w:sz w:val="18"/>
                <w:szCs w:val="18"/>
                <w:color w:val="0000FF"/>
              </w:rPr>
            </w:pPr>
            <w:hyperlink r:id="rId452">
              <w:r>
                <w:rPr>
                  <w:rFonts w:ascii="Calibri" w:cs="Calibri" w:eastAsia="Calibri" w:hAnsi="Calibri"/>
                  <w:sz w:val="18"/>
                  <w:szCs w:val="18"/>
                  <w:color w:val="0000FF"/>
                </w:rPr>
                <w:t>Form of Non-Employee Director Restricted Stock</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rPr>
              <w:t>S-8</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99.4</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10/18/2021</w:t>
            </w: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52">
              <w:r>
                <w:rPr>
                  <w:rFonts w:ascii="Calibri" w:cs="Calibri" w:eastAsia="Calibri" w:hAnsi="Calibri"/>
                  <w:sz w:val="18"/>
                  <w:szCs w:val="18"/>
                  <w:color w:val="0000FF"/>
                </w:rPr>
                <w:t>Unit Grant Notce and Restricted Stock Unit</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52">
              <w:r>
                <w:rPr>
                  <w:rFonts w:ascii="Calibri" w:cs="Calibri" w:eastAsia="Calibri" w:hAnsi="Calibri"/>
                  <w:sz w:val="18"/>
                  <w:szCs w:val="18"/>
                  <w:color w:val="0000FF"/>
                </w:rPr>
                <w:t>Agreement</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10"/>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10.16#</w:t>
            </w:r>
          </w:p>
        </w:tc>
        <w:tc>
          <w:tcPr>
            <w:tcW w:w="3940" w:type="dxa"/>
            <w:vAlign w:val="bottom"/>
            <w:gridSpan w:val="18"/>
          </w:tcPr>
          <w:p>
            <w:pPr>
              <w:spacing w:after="0" w:line="209" w:lineRule="exact"/>
              <w:rPr>
                <w:rFonts w:ascii="Calibri" w:cs="Calibri" w:eastAsia="Calibri" w:hAnsi="Calibri"/>
                <w:sz w:val="18"/>
                <w:szCs w:val="18"/>
                <w:color w:val="0000FF"/>
              </w:rPr>
            </w:pPr>
            <w:hyperlink r:id="rId453">
              <w:r>
                <w:rPr>
                  <w:rFonts w:ascii="Calibri" w:cs="Calibri" w:eastAsia="Calibri" w:hAnsi="Calibri"/>
                  <w:sz w:val="18"/>
                  <w:szCs w:val="18"/>
                  <w:color w:val="0000FF"/>
                </w:rPr>
                <w:t>Form of Stock Opton Grant Notce and Stock</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rPr>
              <w:t>S-8</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99.5</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10/18/2021</w:t>
            </w: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90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53">
              <w:r>
                <w:rPr>
                  <w:rFonts w:ascii="Calibri" w:cs="Calibri" w:eastAsia="Calibri" w:hAnsi="Calibri"/>
                  <w:sz w:val="18"/>
                  <w:szCs w:val="18"/>
                  <w:color w:val="0000FF"/>
                </w:rPr>
                <w:t>Opton Agreement</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2120" w:type="dxa"/>
            <w:vAlign w:val="bottom"/>
            <w:gridSpan w:val="11"/>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10"/>
        </w:trPr>
        <w:tc>
          <w:tcPr>
            <w:tcW w:w="1940" w:type="dxa"/>
            <w:vAlign w:val="bottom"/>
          </w:tcPr>
          <w:p>
            <w:pPr>
              <w:ind w:left="1040"/>
              <w:spacing w:after="0" w:line="209" w:lineRule="exact"/>
              <w:rPr>
                <w:sz w:val="20"/>
                <w:szCs w:val="20"/>
                <w:color w:val="auto"/>
              </w:rPr>
            </w:pPr>
            <w:r>
              <w:rPr>
                <w:rFonts w:ascii="Calibri" w:cs="Calibri" w:eastAsia="Calibri" w:hAnsi="Calibri"/>
                <w:sz w:val="18"/>
                <w:szCs w:val="18"/>
                <w:color w:val="auto"/>
              </w:rPr>
              <w:t>10.17#</w:t>
            </w:r>
          </w:p>
        </w:tc>
        <w:tc>
          <w:tcPr>
            <w:tcW w:w="3940" w:type="dxa"/>
            <w:vAlign w:val="bottom"/>
            <w:gridSpan w:val="18"/>
          </w:tcPr>
          <w:p>
            <w:pPr>
              <w:spacing w:after="0" w:line="209" w:lineRule="exact"/>
              <w:rPr>
                <w:rFonts w:ascii="Calibri" w:cs="Calibri" w:eastAsia="Calibri" w:hAnsi="Calibri"/>
                <w:sz w:val="18"/>
                <w:szCs w:val="18"/>
                <w:color w:val="0000FF"/>
              </w:rPr>
            </w:pPr>
            <w:hyperlink r:id="rId454">
              <w:r>
                <w:rPr>
                  <w:rFonts w:ascii="Calibri" w:cs="Calibri" w:eastAsia="Calibri" w:hAnsi="Calibri"/>
                  <w:sz w:val="18"/>
                  <w:szCs w:val="18"/>
                  <w:color w:val="0000FF"/>
                </w:rPr>
                <w:t>Non-Employee Director Compensaton Policy, as</w:t>
              </w:r>
            </w:hyperlink>
          </w:p>
        </w:tc>
        <w:tc>
          <w:tcPr>
            <w:tcW w:w="820" w:type="dxa"/>
            <w:vAlign w:val="bottom"/>
          </w:tcPr>
          <w:p>
            <w:pPr>
              <w:jc w:val="center"/>
              <w:ind w:right="130"/>
              <w:spacing w:after="0" w:line="209" w:lineRule="exact"/>
              <w:rPr>
                <w:sz w:val="20"/>
                <w:szCs w:val="20"/>
                <w:color w:val="auto"/>
              </w:rPr>
            </w:pPr>
            <w:r>
              <w:rPr>
                <w:rFonts w:ascii="Calibri" w:cs="Calibri" w:eastAsia="Calibri" w:hAnsi="Calibri"/>
                <w:sz w:val="18"/>
                <w:szCs w:val="18"/>
                <w:color w:val="auto"/>
              </w:rPr>
              <w:t>10-Q</w:t>
            </w:r>
          </w:p>
        </w:tc>
        <w:tc>
          <w:tcPr>
            <w:tcW w:w="980" w:type="dxa"/>
            <w:vAlign w:val="bottom"/>
          </w:tcPr>
          <w:p>
            <w:pPr>
              <w:jc w:val="center"/>
              <w:spacing w:after="0" w:line="209" w:lineRule="exact"/>
              <w:rPr>
                <w:sz w:val="20"/>
                <w:szCs w:val="20"/>
                <w:color w:val="auto"/>
              </w:rPr>
            </w:pPr>
            <w:r>
              <w:rPr>
                <w:rFonts w:ascii="Calibri" w:cs="Calibri" w:eastAsia="Calibri" w:hAnsi="Calibri"/>
                <w:sz w:val="18"/>
                <w:szCs w:val="18"/>
                <w:color w:val="auto"/>
              </w:rPr>
              <w:t>10.1</w:t>
            </w:r>
          </w:p>
        </w:tc>
        <w:tc>
          <w:tcPr>
            <w:tcW w:w="3560" w:type="dxa"/>
            <w:vAlign w:val="bottom"/>
          </w:tcPr>
          <w:p>
            <w:pPr>
              <w:jc w:val="right"/>
              <w:ind w:right="2370"/>
              <w:spacing w:after="0" w:line="209" w:lineRule="exact"/>
              <w:rPr>
                <w:sz w:val="20"/>
                <w:szCs w:val="20"/>
                <w:color w:val="auto"/>
              </w:rPr>
            </w:pPr>
            <w:r>
              <w:rPr>
                <w:rFonts w:ascii="Calibri" w:cs="Calibri" w:eastAsia="Calibri" w:hAnsi="Calibri"/>
                <w:sz w:val="18"/>
                <w:szCs w:val="18"/>
                <w:color w:val="auto"/>
              </w:rPr>
              <w:t>08/09/2022</w:t>
            </w:r>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gridSpan w:val="1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3940" w:type="dxa"/>
            <w:vAlign w:val="bottom"/>
            <w:gridSpan w:val="18"/>
          </w:tcPr>
          <w:p>
            <w:pPr>
              <w:spacing w:after="0" w:line="196" w:lineRule="exact"/>
              <w:rPr>
                <w:rFonts w:ascii="Calibri" w:cs="Calibri" w:eastAsia="Calibri" w:hAnsi="Calibri"/>
                <w:sz w:val="18"/>
                <w:szCs w:val="18"/>
                <w:color w:val="0000FF"/>
              </w:rPr>
            </w:pPr>
            <w:hyperlink r:id="rId454">
              <w:r>
                <w:rPr>
                  <w:rFonts w:ascii="Calibri" w:cs="Calibri" w:eastAsia="Calibri" w:hAnsi="Calibri"/>
                  <w:sz w:val="18"/>
                  <w:szCs w:val="18"/>
                  <w:color w:val="0000FF"/>
                </w:rPr>
                <w:t>amended</w:t>
              </w:r>
            </w:hyperlink>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40"/>
        </w:trPr>
        <w:tc>
          <w:tcPr>
            <w:tcW w:w="1940" w:type="dxa"/>
            <w:vAlign w:val="bottom"/>
          </w:tcPr>
          <w:p>
            <w:pPr>
              <w:spacing w:after="0"/>
              <w:rPr>
                <w:sz w:val="20"/>
                <w:szCs w:val="20"/>
                <w:color w:val="auto"/>
              </w:rPr>
            </w:pPr>
          </w:p>
        </w:tc>
        <w:tc>
          <w:tcPr>
            <w:tcW w:w="660" w:type="dxa"/>
            <w:vAlign w:val="bottom"/>
            <w:tcBorders>
              <w:top w:val="single" w:sz="8" w:color="0000FF"/>
            </w:tcBorders>
            <w:gridSpan w:val="2"/>
          </w:tcPr>
          <w:p>
            <w:pPr>
              <w:spacing w:after="0"/>
              <w:rPr>
                <w:sz w:val="20"/>
                <w:szCs w:val="20"/>
                <w:color w:val="auto"/>
              </w:rPr>
            </w:pPr>
          </w:p>
        </w:tc>
        <w:tc>
          <w:tcPr>
            <w:tcW w:w="3280" w:type="dxa"/>
            <w:vAlign w:val="bottom"/>
            <w:gridSpan w:val="16"/>
          </w:tcPr>
          <w:p>
            <w:pPr>
              <w:jc w:val="right"/>
              <w:ind w:right="120"/>
              <w:spacing w:after="0"/>
              <w:rPr>
                <w:sz w:val="20"/>
                <w:szCs w:val="20"/>
                <w:color w:val="auto"/>
              </w:rPr>
            </w:pPr>
            <w:r>
              <w:rPr>
                <w:rFonts w:ascii="Calibri" w:cs="Calibri" w:eastAsia="Calibri" w:hAnsi="Calibri"/>
                <w:sz w:val="18"/>
                <w:szCs w:val="18"/>
                <w:color w:val="auto"/>
              </w:rPr>
              <w:t>104</w:t>
            </w: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138"/>
        </w:trPr>
        <w:tc>
          <w:tcPr>
            <w:tcW w:w="19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35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07" w:name="page108"/>
    <w:bookmarkEnd w:id="107"/>
    <w:p>
      <w:pPr>
        <w:spacing w:after="0" w:line="5" w:lineRule="exact"/>
        <w:rPr>
          <w:sz w:val="20"/>
          <w:szCs w:val="20"/>
          <w:color w:val="auto"/>
        </w:rPr>
      </w:pPr>
    </w:p>
    <w:p>
      <w:pPr>
        <w:jc w:val="both"/>
        <w:ind w:left="880" w:right="520" w:hanging="876"/>
        <w:spacing w:after="0" w:line="235" w:lineRule="auto"/>
        <w:tabs>
          <w:tab w:leader="none" w:pos="86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10.18#</w:t>
      </w:r>
      <w:r>
        <w:rPr>
          <w:sz w:val="20"/>
          <w:szCs w:val="20"/>
          <w:color w:val="auto"/>
        </w:rPr>
        <w:tab/>
      </w:r>
      <w:hyperlink r:id="rId457">
        <w:r>
          <w:rPr>
            <w:rFonts w:ascii="Calibri" w:cs="Calibri" w:eastAsia="Calibri" w:hAnsi="Calibri"/>
            <w:sz w:val="18"/>
            <w:szCs w:val="18"/>
            <w:u w:val="single" w:color="auto"/>
            <w:color w:val="0000FF"/>
          </w:rPr>
          <w:t>Employment Agreement dated August 9, 2021,</w:t>
        </w:r>
      </w:hyperlink>
      <w:r>
        <w:rPr>
          <w:rFonts w:ascii="Calibri" w:cs="Calibri" w:eastAsia="Calibri" w:hAnsi="Calibri"/>
          <w:sz w:val="18"/>
          <w:szCs w:val="18"/>
          <w:u w:val="single" w:color="auto"/>
          <w:color w:val="0000FF"/>
        </w:rPr>
        <w:t xml:space="preserve"> </w:t>
      </w:r>
      <w:hyperlink r:id="rId457">
        <w:r>
          <w:rPr>
            <w:rFonts w:ascii="Calibri" w:cs="Calibri" w:eastAsia="Calibri" w:hAnsi="Calibri"/>
            <w:sz w:val="18"/>
            <w:szCs w:val="18"/>
            <w:u w:val="single" w:color="auto"/>
            <w:color w:val="0000FF"/>
          </w:rPr>
          <w:t>among Stanley Chia, Vivid Seats Inc. and Vivid</w:t>
        </w:r>
      </w:hyperlink>
      <w:r>
        <w:rPr>
          <w:rFonts w:ascii="Calibri" w:cs="Calibri" w:eastAsia="Calibri" w:hAnsi="Calibri"/>
          <w:sz w:val="18"/>
          <w:szCs w:val="18"/>
          <w:u w:val="single" w:color="auto"/>
          <w:color w:val="0000FF"/>
        </w:rPr>
        <w:t xml:space="preserve"> </w:t>
      </w:r>
      <w:hyperlink r:id="rId457">
        <w:r>
          <w:rPr>
            <w:rFonts w:ascii="Calibri" w:cs="Calibri" w:eastAsia="Calibri" w:hAnsi="Calibri"/>
            <w:sz w:val="18"/>
            <w:szCs w:val="18"/>
            <w:u w:val="single" w:color="auto"/>
            <w:color w:val="0000FF"/>
          </w:rPr>
          <w:t>Seats, LLC</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-292100</wp:posOffset>
            </wp:positionV>
            <wp:extent cx="21437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214376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-154940</wp:posOffset>
            </wp:positionV>
            <wp:extent cx="208724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208724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-17780</wp:posOffset>
            </wp:positionV>
            <wp:extent cx="4445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444500" cy="8890"/>
                    </a:xfrm>
                    <a:prstGeom prst="rect">
                      <a:avLst/>
                    </a:prstGeom>
                    <a:noFill/>
                  </pic:spPr>
                </pic:pic>
              </a:graphicData>
            </a:graphic>
          </wp:anchor>
        </w:drawing>
      </w:r>
    </w:p>
    <w:p>
      <w:pPr>
        <w:ind w:left="880" w:right="180" w:hanging="876"/>
        <w:spacing w:after="0" w:line="235" w:lineRule="auto"/>
        <w:tabs>
          <w:tab w:leader="none" w:pos="86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10.19#</w:t>
      </w:r>
      <w:r>
        <w:rPr>
          <w:sz w:val="20"/>
          <w:szCs w:val="20"/>
          <w:color w:val="auto"/>
        </w:rPr>
        <w:tab/>
      </w:r>
      <w:hyperlink r:id="rId461">
        <w:r>
          <w:rPr>
            <w:rFonts w:ascii="Calibri" w:cs="Calibri" w:eastAsia="Calibri" w:hAnsi="Calibri"/>
            <w:sz w:val="18"/>
            <w:szCs w:val="18"/>
            <w:u w:val="single" w:color="auto"/>
            <w:color w:val="0000FF"/>
          </w:rPr>
          <w:t>Employment and Restrictve Covenants Agreement,</w:t>
        </w:r>
      </w:hyperlink>
      <w:r>
        <w:rPr>
          <w:rFonts w:ascii="Calibri" w:cs="Calibri" w:eastAsia="Calibri" w:hAnsi="Calibri"/>
          <w:sz w:val="18"/>
          <w:szCs w:val="18"/>
          <w:u w:val="single" w:color="auto"/>
          <w:color w:val="0000FF"/>
        </w:rPr>
        <w:t xml:space="preserve"> </w:t>
      </w:r>
      <w:hyperlink r:id="rId461">
        <w:r>
          <w:rPr>
            <w:rFonts w:ascii="Calibri" w:cs="Calibri" w:eastAsia="Calibri" w:hAnsi="Calibri"/>
            <w:sz w:val="18"/>
            <w:szCs w:val="18"/>
            <w:u w:val="single" w:color="auto"/>
            <w:color w:val="0000FF"/>
          </w:rPr>
          <w:t>dated April 1, 2020, between Lawrence Fey and</w:t>
        </w:r>
      </w:hyperlink>
      <w:r>
        <w:rPr>
          <w:rFonts w:ascii="Calibri" w:cs="Calibri" w:eastAsia="Calibri" w:hAnsi="Calibri"/>
          <w:sz w:val="18"/>
          <w:szCs w:val="18"/>
          <w:u w:val="single" w:color="auto"/>
          <w:color w:val="0000FF"/>
        </w:rPr>
        <w:t xml:space="preserve"> </w:t>
      </w:r>
      <w:hyperlink r:id="rId461">
        <w:r>
          <w:rPr>
            <w:rFonts w:ascii="Calibri" w:cs="Calibri" w:eastAsia="Calibri" w:hAnsi="Calibri"/>
            <w:sz w:val="18"/>
            <w:szCs w:val="18"/>
            <w:u w:val="single" w:color="auto"/>
            <w:color w:val="0000FF"/>
          </w:rPr>
          <w:t>Vivid Seats LLC</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-292100</wp:posOffset>
            </wp:positionV>
            <wp:extent cx="23488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-154940</wp:posOffset>
            </wp:positionV>
            <wp:extent cx="217043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217043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-17780</wp:posOffset>
            </wp:positionV>
            <wp:extent cx="6654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665480" cy="8255"/>
                    </a:xfrm>
                    <a:prstGeom prst="rect">
                      <a:avLst/>
                    </a:prstGeom>
                    <a:noFill/>
                  </pic:spPr>
                </pic:pic>
              </a:graphicData>
            </a:graphic>
          </wp:anchor>
        </w:drawing>
      </w:r>
    </w:p>
    <w:p>
      <w:pPr>
        <w:jc w:val="both"/>
        <w:ind w:left="880" w:right="520" w:hanging="876"/>
        <w:spacing w:after="0" w:line="235" w:lineRule="auto"/>
        <w:tabs>
          <w:tab w:leader="none" w:pos="86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10.20#</w:t>
      </w:r>
      <w:r>
        <w:rPr>
          <w:sz w:val="20"/>
          <w:szCs w:val="20"/>
          <w:color w:val="auto"/>
        </w:rPr>
        <w:tab/>
      </w:r>
      <w:hyperlink r:id="rId465">
        <w:r>
          <w:rPr>
            <w:rFonts w:ascii="Calibri" w:cs="Calibri" w:eastAsia="Calibri" w:hAnsi="Calibri"/>
            <w:sz w:val="18"/>
            <w:szCs w:val="18"/>
            <w:u w:val="single" w:color="auto"/>
            <w:color w:val="0000FF"/>
          </w:rPr>
          <w:t>Employment Agreement dated August 9, 2021,</w:t>
        </w:r>
      </w:hyperlink>
      <w:r>
        <w:rPr>
          <w:rFonts w:ascii="Calibri" w:cs="Calibri" w:eastAsia="Calibri" w:hAnsi="Calibri"/>
          <w:sz w:val="18"/>
          <w:szCs w:val="18"/>
          <w:u w:val="single" w:color="auto"/>
          <w:color w:val="0000FF"/>
        </w:rPr>
        <w:t xml:space="preserve"> </w:t>
      </w:r>
      <w:hyperlink r:id="rId465">
        <w:r>
          <w:rPr>
            <w:rFonts w:ascii="Calibri" w:cs="Calibri" w:eastAsia="Calibri" w:hAnsi="Calibri"/>
            <w:sz w:val="18"/>
            <w:szCs w:val="18"/>
            <w:u w:val="single" w:color="auto"/>
            <w:color w:val="0000FF"/>
          </w:rPr>
          <w:t>among Lawrence Fey, Vivid Seats Inc. and Vivid</w:t>
        </w:r>
      </w:hyperlink>
      <w:r>
        <w:rPr>
          <w:rFonts w:ascii="Calibri" w:cs="Calibri" w:eastAsia="Calibri" w:hAnsi="Calibri"/>
          <w:sz w:val="18"/>
          <w:szCs w:val="18"/>
          <w:u w:val="single" w:color="auto"/>
          <w:color w:val="0000FF"/>
        </w:rPr>
        <w:t xml:space="preserve"> </w:t>
      </w:r>
      <w:hyperlink r:id="rId465">
        <w:r>
          <w:rPr>
            <w:rFonts w:ascii="Calibri" w:cs="Calibri" w:eastAsia="Calibri" w:hAnsi="Calibri"/>
            <w:sz w:val="18"/>
            <w:szCs w:val="18"/>
            <w:u w:val="single" w:color="auto"/>
            <w:color w:val="0000FF"/>
          </w:rPr>
          <w:t>Seats, LLC</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-292100</wp:posOffset>
            </wp:positionV>
            <wp:extent cx="21437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6">
                      <a:extLst>
                        <a:ext uri="{28A0092B-C50C-407E-A947-70E740481C1C}"/>
                      </a:extLst>
                    </a:blip>
                    <a:srcRect/>
                    <a:stretch>
                      <a:fillRect/>
                    </a:stretch>
                  </pic:blipFill>
                  <pic:spPr bwMode="auto">
                    <a:xfrm>
                      <a:off x="0" y="0"/>
                      <a:ext cx="214376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-154940</wp:posOffset>
            </wp:positionV>
            <wp:extent cx="213995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7">
                      <a:extLst>
                        <a:ext uri="{28A0092B-C50C-407E-A947-70E740481C1C}"/>
                      </a:extLst>
                    </a:blip>
                    <a:srcRect/>
                    <a:stretch>
                      <a:fillRect/>
                    </a:stretch>
                  </pic:blipFill>
                  <pic:spPr bwMode="auto">
                    <a:xfrm>
                      <a:off x="0" y="0"/>
                      <a:ext cx="213995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-17780</wp:posOffset>
            </wp:positionV>
            <wp:extent cx="4445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8">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ind w:left="880" w:right="180" w:hanging="876"/>
        <w:spacing w:after="0" w:line="235" w:lineRule="auto"/>
        <w:tabs>
          <w:tab w:leader="none" w:pos="86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10.21#</w:t>
      </w:r>
      <w:r>
        <w:rPr>
          <w:sz w:val="20"/>
          <w:szCs w:val="20"/>
          <w:color w:val="auto"/>
        </w:rPr>
        <w:tab/>
      </w:r>
      <w:hyperlink r:id="rId469">
        <w:r>
          <w:rPr>
            <w:rFonts w:ascii="Calibri" w:cs="Calibri" w:eastAsia="Calibri" w:hAnsi="Calibri"/>
            <w:sz w:val="18"/>
            <w:szCs w:val="18"/>
            <w:u w:val="single" w:color="auto"/>
            <w:color w:val="0000FF"/>
          </w:rPr>
          <w:t>Employment and Restrictve Covenants Agreement,</w:t>
        </w:r>
      </w:hyperlink>
      <w:r>
        <w:rPr>
          <w:rFonts w:ascii="Calibri" w:cs="Calibri" w:eastAsia="Calibri" w:hAnsi="Calibri"/>
          <w:sz w:val="18"/>
          <w:szCs w:val="18"/>
          <w:u w:val="single" w:color="auto"/>
          <w:color w:val="0000FF"/>
        </w:rPr>
        <w:t xml:space="preserve"> </w:t>
      </w:r>
      <w:hyperlink r:id="rId469">
        <w:r>
          <w:rPr>
            <w:rFonts w:ascii="Calibri" w:cs="Calibri" w:eastAsia="Calibri" w:hAnsi="Calibri"/>
            <w:sz w:val="18"/>
            <w:szCs w:val="18"/>
            <w:u w:val="single" w:color="auto"/>
            <w:color w:val="0000FF"/>
          </w:rPr>
          <w:t>dated December 12, 2018, between Jon Wagner</w:t>
        </w:r>
      </w:hyperlink>
      <w:r>
        <w:rPr>
          <w:rFonts w:ascii="Calibri" w:cs="Calibri" w:eastAsia="Calibri" w:hAnsi="Calibri"/>
          <w:sz w:val="18"/>
          <w:szCs w:val="18"/>
          <w:u w:val="single" w:color="auto"/>
          <w:color w:val="0000FF"/>
        </w:rPr>
        <w:t xml:space="preserve"> </w:t>
      </w:r>
      <w:hyperlink r:id="rId469">
        <w:r>
          <w:rPr>
            <w:rFonts w:ascii="Calibri" w:cs="Calibri" w:eastAsia="Calibri" w:hAnsi="Calibri"/>
            <w:sz w:val="18"/>
            <w:szCs w:val="18"/>
            <w:u w:val="single" w:color="auto"/>
            <w:color w:val="0000FF"/>
          </w:rPr>
          <w:t>and Vivid Seats LLC</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-292100</wp:posOffset>
            </wp:positionV>
            <wp:extent cx="234886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0">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-154940</wp:posOffset>
            </wp:positionV>
            <wp:extent cx="22059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1">
                      <a:extLst>
                        <a:ext uri="{28A0092B-C50C-407E-A947-70E740481C1C}"/>
                      </a:extLst>
                    </a:blip>
                    <a:srcRect/>
                    <a:stretch>
                      <a:fillRect/>
                    </a:stretch>
                  </pic:blipFill>
                  <pic:spPr bwMode="auto">
                    <a:xfrm>
                      <a:off x="0" y="0"/>
                      <a:ext cx="220599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-17780</wp:posOffset>
            </wp:positionV>
            <wp:extent cx="8610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ind w:left="880" w:right="180" w:hanging="876"/>
        <w:spacing w:after="0" w:line="249" w:lineRule="auto"/>
        <w:tabs>
          <w:tab w:leader="none" w:pos="86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10.22#</w:t>
      </w:r>
      <w:r>
        <w:rPr>
          <w:sz w:val="20"/>
          <w:szCs w:val="20"/>
          <w:color w:val="auto"/>
        </w:rPr>
        <w:tab/>
      </w:r>
      <w:hyperlink r:id="rId473">
        <w:r>
          <w:rPr>
            <w:rFonts w:ascii="Calibri" w:cs="Calibri" w:eastAsia="Calibri" w:hAnsi="Calibri"/>
            <w:sz w:val="17"/>
            <w:szCs w:val="17"/>
            <w:u w:val="single" w:color="auto"/>
            <w:color w:val="0000FF"/>
          </w:rPr>
          <w:t>Employment Agreement dated August 9, 2021,</w:t>
        </w:r>
      </w:hyperlink>
      <w:r>
        <w:rPr>
          <w:rFonts w:ascii="Calibri" w:cs="Calibri" w:eastAsia="Calibri" w:hAnsi="Calibri"/>
          <w:sz w:val="17"/>
          <w:szCs w:val="17"/>
          <w:u w:val="single" w:color="auto"/>
          <w:color w:val="0000FF"/>
        </w:rPr>
        <w:t xml:space="preserve"> </w:t>
      </w:r>
      <w:hyperlink r:id="rId473">
        <w:r>
          <w:rPr>
            <w:rFonts w:ascii="Calibri" w:cs="Calibri" w:eastAsia="Calibri" w:hAnsi="Calibri"/>
            <w:sz w:val="17"/>
            <w:szCs w:val="17"/>
            <w:u w:val="single" w:color="auto"/>
            <w:color w:val="0000FF"/>
          </w:rPr>
          <w:t>among Jon Wagner, Vivid Seats Inc. and Vivid Seats,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-155575</wp:posOffset>
            </wp:positionV>
            <wp:extent cx="21437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4">
                      <a:extLst>
                        <a:ext uri="{28A0092B-C50C-407E-A947-70E740481C1C}"/>
                      </a:extLst>
                    </a:blip>
                    <a:srcRect/>
                    <a:stretch>
                      <a:fillRect/>
                    </a:stretch>
                  </pic:blipFill>
                  <pic:spPr bwMode="auto">
                    <a:xfrm>
                      <a:off x="0" y="0"/>
                      <a:ext cx="214376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-18415</wp:posOffset>
            </wp:positionV>
            <wp:extent cx="2349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5">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ind w:left="880"/>
        <w:spacing w:after="0" w:line="236" w:lineRule="auto"/>
        <w:rPr>
          <w:rFonts w:ascii="Calibri" w:cs="Calibri" w:eastAsia="Calibri" w:hAnsi="Calibri"/>
          <w:sz w:val="18"/>
          <w:szCs w:val="18"/>
          <w:u w:val="single" w:color="auto"/>
          <w:color w:val="0000FF"/>
        </w:rPr>
      </w:pPr>
      <w:hyperlink r:id="rId473">
        <w:r>
          <w:rPr>
            <w:rFonts w:ascii="Calibri" w:cs="Calibri" w:eastAsia="Calibri" w:hAnsi="Calibri"/>
            <w:sz w:val="18"/>
            <w:szCs w:val="18"/>
            <w:u w:val="single" w:color="auto"/>
            <w:color w:val="0000FF"/>
          </w:rPr>
          <w:t>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-18415</wp:posOffset>
            </wp:positionV>
            <wp:extent cx="15176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6">
                      <a:extLst>
                        <a:ext uri="{28A0092B-C50C-407E-A947-70E740481C1C}"/>
                      </a:extLst>
                    </a:blip>
                    <a:srcRect/>
                    <a:stretch>
                      <a:fillRect/>
                    </a:stretch>
                  </pic:blipFill>
                  <pic:spPr bwMode="auto">
                    <a:xfrm>
                      <a:off x="0" y="0"/>
                      <a:ext cx="151765" cy="8890"/>
                    </a:xfrm>
                    <a:prstGeom prst="rect">
                      <a:avLst/>
                    </a:prstGeom>
                    <a:noFill/>
                  </pic:spPr>
                </pic:pic>
              </a:graphicData>
            </a:graphic>
          </wp:anchor>
        </w:drawing>
      </w:r>
    </w:p>
    <w:p>
      <w:pPr>
        <w:jc w:val="right"/>
        <w:ind w:right="340"/>
        <w:spacing w:after="0"/>
        <w:tabs>
          <w:tab w:leader="none" w:pos="382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10.23#</w:t>
      </w:r>
      <w:r>
        <w:rPr>
          <w:sz w:val="20"/>
          <w:szCs w:val="20"/>
          <w:color w:val="auto"/>
        </w:rPr>
        <w:tab/>
      </w:r>
      <w:hyperlink r:id="rId477">
        <w:r>
          <w:rPr>
            <w:rFonts w:ascii="Calibri" w:cs="Calibri" w:eastAsia="Calibri" w:hAnsi="Calibri"/>
            <w:sz w:val="17"/>
            <w:szCs w:val="17"/>
            <w:u w:val="single" w:color="auto"/>
            <w:color w:val="0000FF"/>
          </w:rPr>
          <w:t>Class E Securites Agreement, dated November 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-19050</wp:posOffset>
            </wp:positionV>
            <wp:extent cx="22485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8">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jc w:val="right"/>
        <w:ind w:right="380"/>
        <w:spacing w:after="0" w:line="235" w:lineRule="auto"/>
        <w:rPr>
          <w:rFonts w:ascii="Calibri" w:cs="Calibri" w:eastAsia="Calibri" w:hAnsi="Calibri"/>
          <w:sz w:val="18"/>
          <w:szCs w:val="18"/>
          <w:u w:val="single" w:color="auto"/>
          <w:color w:val="0000FF"/>
        </w:rPr>
      </w:pPr>
      <w:hyperlink r:id="rId477">
        <w:r>
          <w:rPr>
            <w:rFonts w:ascii="Calibri" w:cs="Calibri" w:eastAsia="Calibri" w:hAnsi="Calibri"/>
            <w:sz w:val="18"/>
            <w:szCs w:val="18"/>
            <w:u w:val="single" w:color="auto"/>
            <w:color w:val="0000FF"/>
          </w:rPr>
          <w:t>2018, between Stanley Chia and Hoya Topco,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-18415</wp:posOffset>
            </wp:positionV>
            <wp:extent cx="219964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9">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tabs>
          <w:tab w:leader="none" w:pos="86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10.24#</w:t>
      </w:r>
      <w:r>
        <w:rPr>
          <w:sz w:val="20"/>
          <w:szCs w:val="20"/>
          <w:color w:val="auto"/>
        </w:rPr>
        <w:tab/>
      </w:r>
      <w:hyperlink r:id="rId480">
        <w:r>
          <w:rPr>
            <w:rFonts w:ascii="Calibri" w:cs="Calibri" w:eastAsia="Calibri" w:hAnsi="Calibri"/>
            <w:sz w:val="17"/>
            <w:szCs w:val="17"/>
            <w:u w:val="single" w:color="auto"/>
            <w:color w:val="0000FF"/>
          </w:rPr>
          <w:t>Class B Securites Agreement, dated September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-19050</wp:posOffset>
            </wp:positionV>
            <wp:extent cx="22758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1">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ind w:left="880"/>
        <w:spacing w:after="0" w:line="235" w:lineRule="auto"/>
        <w:rPr>
          <w:rFonts w:ascii="Calibri" w:cs="Calibri" w:eastAsia="Calibri" w:hAnsi="Calibri"/>
          <w:sz w:val="18"/>
          <w:szCs w:val="18"/>
          <w:u w:val="single" w:color="auto"/>
          <w:color w:val="0000FF"/>
        </w:rPr>
      </w:pPr>
      <w:hyperlink r:id="rId480">
        <w:r>
          <w:rPr>
            <w:rFonts w:ascii="Calibri" w:cs="Calibri" w:eastAsia="Calibri" w:hAnsi="Calibri"/>
            <w:sz w:val="18"/>
            <w:szCs w:val="18"/>
            <w:u w:val="single" w:color="auto"/>
            <w:color w:val="0000FF"/>
          </w:rPr>
          <w:t>2020, between Stanley Chia and Hoya Topco,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-18415</wp:posOffset>
            </wp:positionV>
            <wp:extent cx="219964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2">
                      <a:extLst>
                        <a:ext uri="{28A0092B-C50C-407E-A947-70E740481C1C}"/>
                      </a:extLst>
                    </a:blip>
                    <a:srcRect/>
                    <a:stretch>
                      <a:fillRect/>
                    </a:stretch>
                  </pic:blipFill>
                  <pic:spPr bwMode="auto">
                    <a:xfrm>
                      <a:off x="0" y="0"/>
                      <a:ext cx="2199640" cy="8890"/>
                    </a:xfrm>
                    <a:prstGeom prst="rect">
                      <a:avLst/>
                    </a:prstGeom>
                    <a:noFill/>
                  </pic:spPr>
                </pic:pic>
              </a:graphicData>
            </a:graphic>
          </wp:anchor>
        </w:drawing>
      </w:r>
    </w:p>
    <w:p>
      <w:pPr>
        <w:ind w:left="880" w:right="140" w:hanging="876"/>
        <w:spacing w:after="0" w:line="235" w:lineRule="auto"/>
        <w:tabs>
          <w:tab w:leader="none" w:pos="86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10.25#</w:t>
      </w:r>
      <w:r>
        <w:rPr>
          <w:sz w:val="20"/>
          <w:szCs w:val="20"/>
          <w:color w:val="auto"/>
        </w:rPr>
        <w:tab/>
      </w:r>
      <w:hyperlink r:id="rId483">
        <w:r>
          <w:rPr>
            <w:rFonts w:ascii="Calibri" w:cs="Calibri" w:eastAsia="Calibri" w:hAnsi="Calibri"/>
            <w:sz w:val="18"/>
            <w:szCs w:val="18"/>
            <w:u w:val="single" w:color="auto"/>
            <w:color w:val="0000FF"/>
          </w:rPr>
          <w:t>First Amendment to Class E Securites Agreement,</w:t>
        </w:r>
      </w:hyperlink>
      <w:r>
        <w:rPr>
          <w:rFonts w:ascii="Calibri" w:cs="Calibri" w:eastAsia="Calibri" w:hAnsi="Calibri"/>
          <w:sz w:val="18"/>
          <w:szCs w:val="18"/>
          <w:u w:val="single" w:color="auto"/>
          <w:color w:val="0000FF"/>
        </w:rPr>
        <w:t xml:space="preserve"> </w:t>
      </w:r>
      <w:hyperlink r:id="rId483">
        <w:r>
          <w:rPr>
            <w:rFonts w:ascii="Calibri" w:cs="Calibri" w:eastAsia="Calibri" w:hAnsi="Calibri"/>
            <w:sz w:val="18"/>
            <w:szCs w:val="18"/>
            <w:u w:val="single" w:color="auto"/>
            <w:color w:val="0000FF"/>
          </w:rPr>
          <w:t>dated November 5, 2018, between Stanley Chia and</w:t>
        </w:r>
      </w:hyperlink>
      <w:r>
        <w:rPr>
          <w:rFonts w:ascii="Calibri" w:cs="Calibri" w:eastAsia="Calibri" w:hAnsi="Calibri"/>
          <w:sz w:val="18"/>
          <w:szCs w:val="18"/>
          <w:u w:val="single" w:color="auto"/>
          <w:color w:val="0000FF"/>
        </w:rPr>
        <w:t xml:space="preserve"> </w:t>
      </w:r>
      <w:hyperlink r:id="rId483">
        <w:r>
          <w:rPr>
            <w:rFonts w:ascii="Calibri" w:cs="Calibri" w:eastAsia="Calibri" w:hAnsi="Calibri"/>
            <w:sz w:val="18"/>
            <w:szCs w:val="18"/>
            <w:u w:val="single" w:color="auto"/>
            <w:color w:val="0000FF"/>
          </w:rPr>
          <w:t>Hoya Topco, LLC, and Class B Securites Agreement,</w:t>
        </w:r>
      </w:hyperlink>
      <w:r>
        <w:rPr>
          <w:rFonts w:ascii="Calibri" w:cs="Calibri" w:eastAsia="Calibri" w:hAnsi="Calibri"/>
          <w:sz w:val="18"/>
          <w:szCs w:val="18"/>
          <w:u w:val="single" w:color="auto"/>
          <w:color w:val="0000FF"/>
        </w:rPr>
        <w:t xml:space="preserve"> </w:t>
      </w:r>
      <w:hyperlink r:id="rId483">
        <w:r>
          <w:rPr>
            <w:rFonts w:ascii="Calibri" w:cs="Calibri" w:eastAsia="Calibri" w:hAnsi="Calibri"/>
            <w:sz w:val="18"/>
            <w:szCs w:val="18"/>
            <w:u w:val="single" w:color="auto"/>
            <w:color w:val="0000FF"/>
          </w:rPr>
          <w:t>dated September 1, 2020, between Stanley Chia</w:t>
        </w:r>
      </w:hyperlink>
      <w:r>
        <w:rPr>
          <w:rFonts w:ascii="Calibri" w:cs="Calibri" w:eastAsia="Calibri" w:hAnsi="Calibri"/>
          <w:sz w:val="18"/>
          <w:szCs w:val="18"/>
          <w:u w:val="single" w:color="auto"/>
          <w:color w:val="0000FF"/>
        </w:rPr>
        <w:t xml:space="preserve"> </w:t>
      </w:r>
      <w:hyperlink r:id="rId483">
        <w:r>
          <w:rPr>
            <w:rFonts w:ascii="Calibri" w:cs="Calibri" w:eastAsia="Calibri" w:hAnsi="Calibri"/>
            <w:sz w:val="18"/>
            <w:szCs w:val="18"/>
            <w:u w:val="single" w:color="auto"/>
            <w:color w:val="0000FF"/>
          </w:rPr>
          <w:t>and Hoya Topco, LLC</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-565150</wp:posOffset>
            </wp:positionV>
            <wp:extent cx="228028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4">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-427990</wp:posOffset>
            </wp:positionV>
            <wp:extent cx="23495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5">
                      <a:extLst>
                        <a:ext uri="{28A0092B-C50C-407E-A947-70E740481C1C}"/>
                      </a:extLst>
                    </a:blip>
                    <a:srcRect/>
                    <a:stretch>
                      <a:fillRect/>
                    </a:stretch>
                  </pic:blipFill>
                  <pic:spPr bwMode="auto">
                    <a:xfrm>
                      <a:off x="0" y="0"/>
                      <a:ext cx="234950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-290830</wp:posOffset>
            </wp:positionV>
            <wp:extent cx="23291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6">
                      <a:extLst>
                        <a:ext uri="{28A0092B-C50C-407E-A947-70E740481C1C}"/>
                      </a:extLst>
                    </a:blip>
                    <a:srcRect/>
                    <a:stretch>
                      <a:fillRect/>
                    </a:stretch>
                  </pic:blipFill>
                  <pic:spPr bwMode="auto">
                    <a:xfrm>
                      <a:off x="0" y="0"/>
                      <a:ext cx="232918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-153670</wp:posOffset>
            </wp:positionV>
            <wp:extent cx="219900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7">
                      <a:extLst>
                        <a:ext uri="{28A0092B-C50C-407E-A947-70E740481C1C}"/>
                      </a:extLst>
                    </a:blip>
                    <a:srcRect/>
                    <a:stretch>
                      <a:fillRect/>
                    </a:stretch>
                  </pic:blipFill>
                  <pic:spPr bwMode="auto">
                    <a:xfrm>
                      <a:off x="0" y="0"/>
                      <a:ext cx="2199005"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-16510</wp:posOffset>
            </wp:positionV>
            <wp:extent cx="9194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8">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jc w:val="right"/>
        <w:ind w:right="280"/>
        <w:spacing w:after="0"/>
        <w:tabs>
          <w:tab w:leader="none" w:pos="382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10.26#</w:t>
      </w:r>
      <w:r>
        <w:rPr>
          <w:sz w:val="20"/>
          <w:szCs w:val="20"/>
          <w:color w:val="auto"/>
        </w:rPr>
        <w:tab/>
      </w:r>
      <w:hyperlink r:id="rId489">
        <w:r>
          <w:rPr>
            <w:rFonts w:ascii="Calibri" w:cs="Calibri" w:eastAsia="Calibri" w:hAnsi="Calibri"/>
            <w:sz w:val="17"/>
            <w:szCs w:val="17"/>
            <w:u w:val="single" w:color="auto"/>
            <w:color w:val="0000FF"/>
          </w:rPr>
          <w:t>Class D Securites Agreement, dated September 1,</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-19050</wp:posOffset>
            </wp:positionV>
            <wp:extent cx="228409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0">
                      <a:extLst>
                        <a:ext uri="{28A0092B-C50C-407E-A947-70E740481C1C}"/>
                      </a:extLst>
                    </a:blip>
                    <a:srcRect/>
                    <a:stretch>
                      <a:fillRect/>
                    </a:stretch>
                  </pic:blipFill>
                  <pic:spPr bwMode="auto">
                    <a:xfrm>
                      <a:off x="0" y="0"/>
                      <a:ext cx="2284095" cy="8255"/>
                    </a:xfrm>
                    <a:prstGeom prst="rect">
                      <a:avLst/>
                    </a:prstGeom>
                    <a:noFill/>
                  </pic:spPr>
                </pic:pic>
              </a:graphicData>
            </a:graphic>
          </wp:anchor>
        </w:drawing>
      </w:r>
    </w:p>
    <w:p>
      <w:pPr>
        <w:jc w:val="right"/>
        <w:ind w:right="280"/>
        <w:spacing w:after="0" w:line="235" w:lineRule="auto"/>
        <w:rPr>
          <w:rFonts w:ascii="Calibri" w:cs="Calibri" w:eastAsia="Calibri" w:hAnsi="Calibri"/>
          <w:sz w:val="18"/>
          <w:szCs w:val="18"/>
          <w:u w:val="single" w:color="auto"/>
          <w:color w:val="0000FF"/>
        </w:rPr>
      </w:pPr>
      <w:hyperlink r:id="rId489">
        <w:r>
          <w:rPr>
            <w:rFonts w:ascii="Calibri" w:cs="Calibri" w:eastAsia="Calibri" w:hAnsi="Calibri"/>
            <w:sz w:val="18"/>
            <w:szCs w:val="18"/>
            <w:u w:val="single" w:color="auto"/>
            <w:color w:val="0000FF"/>
          </w:rPr>
          <w:t>2020, between Lawrence Fey and Hoya Topco, LLC</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-18415</wp:posOffset>
            </wp:positionV>
            <wp:extent cx="22606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1">
                      <a:extLst>
                        <a:ext uri="{28A0092B-C50C-407E-A947-70E740481C1C}"/>
                      </a:extLst>
                    </a:blip>
                    <a:srcRect/>
                    <a:stretch>
                      <a:fillRect/>
                    </a:stretch>
                  </pic:blipFill>
                  <pic:spPr bwMode="auto">
                    <a:xfrm>
                      <a:off x="0" y="0"/>
                      <a:ext cx="2260600" cy="8255"/>
                    </a:xfrm>
                    <a:prstGeom prst="rect">
                      <a:avLst/>
                    </a:prstGeom>
                    <a:noFill/>
                  </pic:spPr>
                </pic:pic>
              </a:graphicData>
            </a:graphic>
          </wp:anchor>
        </w:drawing>
      </w:r>
    </w:p>
    <w:p>
      <w:pPr>
        <w:jc w:val="right"/>
        <w:ind w:right="300"/>
        <w:spacing w:after="0"/>
        <w:tabs>
          <w:tab w:leader="none" w:pos="382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10.27#</w:t>
      </w:r>
      <w:r>
        <w:rPr>
          <w:sz w:val="20"/>
          <w:szCs w:val="20"/>
          <w:color w:val="auto"/>
        </w:rPr>
        <w:tab/>
      </w:r>
      <w:hyperlink r:id="rId492">
        <w:r>
          <w:rPr>
            <w:rFonts w:ascii="Calibri" w:cs="Calibri" w:eastAsia="Calibri" w:hAnsi="Calibri"/>
            <w:sz w:val="17"/>
            <w:szCs w:val="17"/>
            <w:u w:val="single" w:color="auto"/>
            <w:color w:val="0000FF"/>
          </w:rPr>
          <w:t>Class B Securites Agreement, dated September 1,</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-19050</wp:posOffset>
            </wp:positionV>
            <wp:extent cx="227584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3">
                      <a:extLst>
                        <a:ext uri="{28A0092B-C50C-407E-A947-70E740481C1C}"/>
                      </a:extLst>
                    </a:blip>
                    <a:srcRect/>
                    <a:stretch>
                      <a:fillRect/>
                    </a:stretch>
                  </pic:blipFill>
                  <pic:spPr bwMode="auto">
                    <a:xfrm>
                      <a:off x="0" y="0"/>
                      <a:ext cx="2275840" cy="8890"/>
                    </a:xfrm>
                    <a:prstGeom prst="rect">
                      <a:avLst/>
                    </a:prstGeom>
                    <a:noFill/>
                  </pic:spPr>
                </pic:pic>
              </a:graphicData>
            </a:graphic>
          </wp:anchor>
        </w:drawing>
      </w:r>
    </w:p>
    <w:p>
      <w:pPr>
        <w:jc w:val="right"/>
        <w:ind w:right="280"/>
        <w:spacing w:after="0" w:line="235" w:lineRule="auto"/>
        <w:rPr>
          <w:rFonts w:ascii="Calibri" w:cs="Calibri" w:eastAsia="Calibri" w:hAnsi="Calibri"/>
          <w:sz w:val="18"/>
          <w:szCs w:val="18"/>
          <w:u w:val="single" w:color="auto"/>
          <w:color w:val="0000FF"/>
        </w:rPr>
      </w:pPr>
      <w:hyperlink r:id="rId492">
        <w:r>
          <w:rPr>
            <w:rFonts w:ascii="Calibri" w:cs="Calibri" w:eastAsia="Calibri" w:hAnsi="Calibri"/>
            <w:sz w:val="18"/>
            <w:szCs w:val="18"/>
            <w:u w:val="single" w:color="auto"/>
            <w:color w:val="0000FF"/>
          </w:rPr>
          <w:t>2020, between Lawrence Fey and Hoya Topco, LLC</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-18415</wp:posOffset>
            </wp:positionV>
            <wp:extent cx="22606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4">
                      <a:extLst>
                        <a:ext uri="{28A0092B-C50C-407E-A947-70E740481C1C}"/>
                      </a:extLst>
                    </a:blip>
                    <a:srcRect/>
                    <a:stretch>
                      <a:fillRect/>
                    </a:stretch>
                  </pic:blipFill>
                  <pic:spPr bwMode="auto">
                    <a:xfrm>
                      <a:off x="0" y="0"/>
                      <a:ext cx="2260600" cy="8255"/>
                    </a:xfrm>
                    <a:prstGeom prst="rect">
                      <a:avLst/>
                    </a:prstGeom>
                    <a:noFill/>
                  </pic:spPr>
                </pic:pic>
              </a:graphicData>
            </a:graphic>
          </wp:anchor>
        </w:drawing>
      </w:r>
    </w:p>
    <w:p>
      <w:pPr>
        <w:ind w:left="880" w:right="280" w:hanging="876"/>
        <w:spacing w:after="0" w:line="235" w:lineRule="auto"/>
        <w:tabs>
          <w:tab w:leader="none" w:pos="86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10.28#</w:t>
      </w:r>
      <w:r>
        <w:rPr>
          <w:sz w:val="20"/>
          <w:szCs w:val="20"/>
          <w:color w:val="auto"/>
        </w:rPr>
        <w:tab/>
      </w:r>
      <w:hyperlink r:id="rId495">
        <w:r>
          <w:rPr>
            <w:rFonts w:ascii="Calibri" w:cs="Calibri" w:eastAsia="Calibri" w:hAnsi="Calibri"/>
            <w:sz w:val="18"/>
            <w:szCs w:val="18"/>
            <w:u w:val="single" w:color="auto"/>
            <w:color w:val="0000FF"/>
          </w:rPr>
          <w:t>First Amendment to Class D Securites Agreement,</w:t>
        </w:r>
      </w:hyperlink>
      <w:r>
        <w:rPr>
          <w:rFonts w:ascii="Calibri" w:cs="Calibri" w:eastAsia="Calibri" w:hAnsi="Calibri"/>
          <w:sz w:val="18"/>
          <w:szCs w:val="18"/>
          <w:u w:val="single" w:color="auto"/>
          <w:color w:val="0000FF"/>
        </w:rPr>
        <w:t xml:space="preserve"> </w:t>
      </w:r>
      <w:hyperlink r:id="rId495">
        <w:r>
          <w:rPr>
            <w:rFonts w:ascii="Calibri" w:cs="Calibri" w:eastAsia="Calibri" w:hAnsi="Calibri"/>
            <w:sz w:val="18"/>
            <w:szCs w:val="18"/>
            <w:u w:val="single" w:color="auto"/>
            <w:color w:val="0000FF"/>
          </w:rPr>
          <w:t>dated September 1, 2020, between Lawrence Fey</w:t>
        </w:r>
      </w:hyperlink>
      <w:r>
        <w:rPr>
          <w:rFonts w:ascii="Calibri" w:cs="Calibri" w:eastAsia="Calibri" w:hAnsi="Calibri"/>
          <w:sz w:val="18"/>
          <w:szCs w:val="18"/>
          <w:u w:val="single" w:color="auto"/>
          <w:color w:val="0000FF"/>
        </w:rPr>
        <w:t xml:space="preserve"> </w:t>
      </w:r>
      <w:hyperlink r:id="rId495">
        <w:r>
          <w:rPr>
            <w:rFonts w:ascii="Calibri" w:cs="Calibri" w:eastAsia="Calibri" w:hAnsi="Calibri"/>
            <w:sz w:val="18"/>
            <w:szCs w:val="18"/>
            <w:u w:val="single" w:color="auto"/>
            <w:color w:val="0000FF"/>
          </w:rPr>
          <w:t>and Hoya Topco, LLC, and Class B Securites</w:t>
        </w:r>
      </w:hyperlink>
      <w:r>
        <w:rPr>
          <w:rFonts w:ascii="Calibri" w:cs="Calibri" w:eastAsia="Calibri" w:hAnsi="Calibri"/>
          <w:sz w:val="18"/>
          <w:szCs w:val="18"/>
          <w:u w:val="single" w:color="auto"/>
          <w:color w:val="0000FF"/>
        </w:rPr>
        <w:t xml:space="preserve"> </w:t>
      </w:r>
      <w:hyperlink r:id="rId495">
        <w:r>
          <w:rPr>
            <w:rFonts w:ascii="Calibri" w:cs="Calibri" w:eastAsia="Calibri" w:hAnsi="Calibri"/>
            <w:sz w:val="18"/>
            <w:szCs w:val="18"/>
            <w:u w:val="single" w:color="auto"/>
            <w:color w:val="0000FF"/>
          </w:rPr>
          <w:t>Agreement, dated September 1, 2020, between</w:t>
        </w:r>
      </w:hyperlink>
      <w:r>
        <w:rPr>
          <w:rFonts w:ascii="Calibri" w:cs="Calibri" w:eastAsia="Calibri" w:hAnsi="Calibri"/>
          <w:sz w:val="18"/>
          <w:szCs w:val="18"/>
          <w:u w:val="single" w:color="auto"/>
          <w:color w:val="0000FF"/>
        </w:rPr>
        <w:t xml:space="preserve"> </w:t>
      </w:r>
      <w:hyperlink r:id="rId495">
        <w:r>
          <w:rPr>
            <w:rFonts w:ascii="Calibri" w:cs="Calibri" w:eastAsia="Calibri" w:hAnsi="Calibri"/>
            <w:sz w:val="18"/>
            <w:szCs w:val="18"/>
            <w:u w:val="single" w:color="auto"/>
            <w:color w:val="0000FF"/>
          </w:rPr>
          <w:t>Lawrence Fey and Hoya Topco, LLC</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-565150</wp:posOffset>
            </wp:positionV>
            <wp:extent cx="229425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6">
                      <a:extLst>
                        <a:ext uri="{28A0092B-C50C-407E-A947-70E740481C1C}"/>
                      </a:extLst>
                    </a:blip>
                    <a:srcRect/>
                    <a:stretch>
                      <a:fillRect/>
                    </a:stretch>
                  </pic:blipFill>
                  <pic:spPr bwMode="auto">
                    <a:xfrm>
                      <a:off x="0" y="0"/>
                      <a:ext cx="2294255"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-427990</wp:posOffset>
            </wp:positionV>
            <wp:extent cx="225996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7">
                      <a:extLst>
                        <a:ext uri="{28A0092B-C50C-407E-A947-70E740481C1C}"/>
                      </a:extLst>
                    </a:blip>
                    <a:srcRect/>
                    <a:stretch>
                      <a:fillRect/>
                    </a:stretch>
                  </pic:blipFill>
                  <pic:spPr bwMode="auto">
                    <a:xfrm>
                      <a:off x="0" y="0"/>
                      <a:ext cx="2259965"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-290830</wp:posOffset>
            </wp:positionV>
            <wp:extent cx="196723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8">
                      <a:extLst>
                        <a:ext uri="{28A0092B-C50C-407E-A947-70E740481C1C}"/>
                      </a:extLst>
                    </a:blip>
                    <a:srcRect/>
                    <a:stretch>
                      <a:fillRect/>
                    </a:stretch>
                  </pic:blipFill>
                  <pic:spPr bwMode="auto">
                    <a:xfrm>
                      <a:off x="0" y="0"/>
                      <a:ext cx="196723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-153670</wp:posOffset>
            </wp:positionV>
            <wp:extent cx="21793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9">
                      <a:extLst>
                        <a:ext uri="{28A0092B-C50C-407E-A947-70E740481C1C}"/>
                      </a:extLst>
                    </a:blip>
                    <a:srcRect/>
                    <a:stretch>
                      <a:fillRect/>
                    </a:stretch>
                  </pic:blipFill>
                  <pic:spPr bwMode="auto">
                    <a:xfrm>
                      <a:off x="0" y="0"/>
                      <a:ext cx="217932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-16510</wp:posOffset>
            </wp:positionV>
            <wp:extent cx="15576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0">
                      <a:extLst>
                        <a:ext uri="{28A0092B-C50C-407E-A947-70E740481C1C}"/>
                      </a:extLst>
                    </a:blip>
                    <a:srcRect/>
                    <a:stretch>
                      <a:fillRect/>
                    </a:stretch>
                  </pic:blipFill>
                  <pic:spPr bwMode="auto">
                    <a:xfrm>
                      <a:off x="0" y="0"/>
                      <a:ext cx="1557655" cy="8255"/>
                    </a:xfrm>
                    <a:prstGeom prst="rect">
                      <a:avLst/>
                    </a:prstGeom>
                    <a:noFill/>
                  </pic:spPr>
                </pic:pic>
              </a:graphicData>
            </a:graphic>
          </wp:anchor>
        </w:drawing>
      </w:r>
    </w:p>
    <w:p>
      <w:pPr>
        <w:spacing w:after="0"/>
        <w:tabs>
          <w:tab w:leader="none" w:pos="86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10.29#</w:t>
      </w:r>
      <w:r>
        <w:rPr>
          <w:sz w:val="20"/>
          <w:szCs w:val="20"/>
          <w:color w:val="auto"/>
        </w:rPr>
        <w:tab/>
      </w:r>
      <w:hyperlink r:id="rId501">
        <w:r>
          <w:rPr>
            <w:rFonts w:ascii="Calibri" w:cs="Calibri" w:eastAsia="Calibri" w:hAnsi="Calibri"/>
            <w:sz w:val="17"/>
            <w:szCs w:val="17"/>
            <w:u w:val="single" w:color="auto"/>
            <w:color w:val="0000FF"/>
          </w:rPr>
          <w:t>Class D Securites Agreement, dated December 17,</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-19050</wp:posOffset>
            </wp:positionV>
            <wp:extent cx="231076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2">
                      <a:extLst>
                        <a:ext uri="{28A0092B-C50C-407E-A947-70E740481C1C}"/>
                      </a:extLst>
                    </a:blip>
                    <a:srcRect/>
                    <a:stretch>
                      <a:fillRect/>
                    </a:stretch>
                  </pic:blipFill>
                  <pic:spPr bwMode="auto">
                    <a:xfrm>
                      <a:off x="0" y="0"/>
                      <a:ext cx="2310765" cy="8890"/>
                    </a:xfrm>
                    <a:prstGeom prst="rect">
                      <a:avLst/>
                    </a:prstGeom>
                    <a:noFill/>
                  </pic:spPr>
                </pic:pic>
              </a:graphicData>
            </a:graphic>
          </wp:anchor>
        </w:drawing>
      </w:r>
    </w:p>
    <w:p>
      <w:pPr>
        <w:ind w:left="880"/>
        <w:spacing w:after="0" w:line="235" w:lineRule="auto"/>
        <w:rPr>
          <w:rFonts w:ascii="Calibri" w:cs="Calibri" w:eastAsia="Calibri" w:hAnsi="Calibri"/>
          <w:sz w:val="18"/>
          <w:szCs w:val="18"/>
          <w:u w:val="single" w:color="auto"/>
          <w:color w:val="0000FF"/>
        </w:rPr>
      </w:pPr>
      <w:hyperlink r:id="rId501">
        <w:r>
          <w:rPr>
            <w:rFonts w:ascii="Calibri" w:cs="Calibri" w:eastAsia="Calibri" w:hAnsi="Calibri"/>
            <w:sz w:val="18"/>
            <w:szCs w:val="18"/>
            <w:u w:val="single" w:color="auto"/>
            <w:color w:val="0000FF"/>
          </w:rPr>
          <w:t>2018, between Jon Wagner and Hoya Topco, LLC</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-18415</wp:posOffset>
            </wp:positionV>
            <wp:extent cx="21799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3">
                      <a:extLst>
                        <a:ext uri="{28A0092B-C50C-407E-A947-70E740481C1C}"/>
                      </a:extLst>
                    </a:blip>
                    <a:srcRect/>
                    <a:stretch>
                      <a:fillRect/>
                    </a:stretch>
                  </pic:blipFill>
                  <pic:spPr bwMode="auto">
                    <a:xfrm>
                      <a:off x="0" y="0"/>
                      <a:ext cx="2179955" cy="8255"/>
                    </a:xfrm>
                    <a:prstGeom prst="rect">
                      <a:avLst/>
                    </a:prstGeom>
                    <a:noFill/>
                  </pic:spPr>
                </pic:pic>
              </a:graphicData>
            </a:graphic>
          </wp:anchor>
        </w:drawing>
      </w:r>
    </w:p>
    <w:p>
      <w:pPr>
        <w:spacing w:after="0"/>
        <w:tabs>
          <w:tab w:leader="none" w:pos="86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10.30#</w:t>
      </w:r>
      <w:r>
        <w:rPr>
          <w:sz w:val="20"/>
          <w:szCs w:val="20"/>
          <w:color w:val="auto"/>
        </w:rPr>
        <w:tab/>
      </w:r>
      <w:hyperlink r:id="rId504">
        <w:r>
          <w:rPr>
            <w:rFonts w:ascii="Calibri" w:cs="Calibri" w:eastAsia="Calibri" w:hAnsi="Calibri"/>
            <w:sz w:val="17"/>
            <w:szCs w:val="17"/>
            <w:u w:val="single" w:color="auto"/>
            <w:color w:val="0000FF"/>
          </w:rPr>
          <w:t>Class B Securites Agreement, dated September 1,</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-19050</wp:posOffset>
            </wp:positionV>
            <wp:extent cx="227584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5">
                      <a:extLst>
                        <a:ext uri="{28A0092B-C50C-407E-A947-70E740481C1C}"/>
                      </a:extLst>
                    </a:blip>
                    <a:srcRect/>
                    <a:stretch>
                      <a:fillRect/>
                    </a:stretch>
                  </pic:blipFill>
                  <pic:spPr bwMode="auto">
                    <a:xfrm>
                      <a:off x="0" y="0"/>
                      <a:ext cx="2275840" cy="8890"/>
                    </a:xfrm>
                    <a:prstGeom prst="rect">
                      <a:avLst/>
                    </a:prstGeom>
                    <a:noFill/>
                  </pic:spPr>
                </pic:pic>
              </a:graphicData>
            </a:graphic>
          </wp:anchor>
        </w:drawing>
      </w:r>
    </w:p>
    <w:p>
      <w:pPr>
        <w:ind w:left="880"/>
        <w:spacing w:after="0" w:line="235" w:lineRule="auto"/>
        <w:rPr>
          <w:rFonts w:ascii="Calibri" w:cs="Calibri" w:eastAsia="Calibri" w:hAnsi="Calibri"/>
          <w:sz w:val="18"/>
          <w:szCs w:val="18"/>
          <w:u w:val="single" w:color="auto"/>
          <w:color w:val="0000FF"/>
        </w:rPr>
      </w:pPr>
      <w:hyperlink r:id="rId504">
        <w:r>
          <w:rPr>
            <w:rFonts w:ascii="Calibri" w:cs="Calibri" w:eastAsia="Calibri" w:hAnsi="Calibri"/>
            <w:sz w:val="18"/>
            <w:szCs w:val="18"/>
            <w:u w:val="single" w:color="auto"/>
            <w:color w:val="0000FF"/>
          </w:rPr>
          <w:t>2020, between Jon Wagner and Hoya Topco, LLC</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-18415</wp:posOffset>
            </wp:positionV>
            <wp:extent cx="21799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6">
                      <a:extLst>
                        <a:ext uri="{28A0092B-C50C-407E-A947-70E740481C1C}"/>
                      </a:extLst>
                    </a:blip>
                    <a:srcRect/>
                    <a:stretch>
                      <a:fillRect/>
                    </a:stretch>
                  </pic:blipFill>
                  <pic:spPr bwMode="auto">
                    <a:xfrm>
                      <a:off x="0" y="0"/>
                      <a:ext cx="2179955" cy="8255"/>
                    </a:xfrm>
                    <a:prstGeom prst="rect">
                      <a:avLst/>
                    </a:prstGeom>
                    <a:noFill/>
                  </pic:spPr>
                </pic:pic>
              </a:graphicData>
            </a:graphic>
          </wp:anchor>
        </w:drawing>
      </w:r>
    </w:p>
    <w:p>
      <w:pPr>
        <w:spacing w:after="0"/>
        <w:tabs>
          <w:tab w:leader="none" w:pos="86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10.31#</w:t>
      </w:r>
      <w:r>
        <w:rPr>
          <w:sz w:val="20"/>
          <w:szCs w:val="20"/>
          <w:color w:val="auto"/>
        </w:rPr>
        <w:tab/>
      </w:r>
      <w:hyperlink r:id="rId507">
        <w:r>
          <w:rPr>
            <w:rFonts w:ascii="Calibri" w:cs="Calibri" w:eastAsia="Calibri" w:hAnsi="Calibri"/>
            <w:sz w:val="17"/>
            <w:szCs w:val="17"/>
            <w:u w:val="single" w:color="auto"/>
            <w:color w:val="0000FF"/>
          </w:rPr>
          <w:t>Class D Securites Agreement, dated September 1,</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-18415</wp:posOffset>
            </wp:positionV>
            <wp:extent cx="228409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8">
                      <a:extLst>
                        <a:ext uri="{28A0092B-C50C-407E-A947-70E740481C1C}"/>
                      </a:extLst>
                    </a:blip>
                    <a:srcRect/>
                    <a:stretch>
                      <a:fillRect/>
                    </a:stretch>
                  </pic:blipFill>
                  <pic:spPr bwMode="auto">
                    <a:xfrm>
                      <a:off x="0" y="0"/>
                      <a:ext cx="2284095" cy="8255"/>
                    </a:xfrm>
                    <a:prstGeom prst="rect">
                      <a:avLst/>
                    </a:prstGeom>
                    <a:noFill/>
                  </pic:spPr>
                </pic:pic>
              </a:graphicData>
            </a:graphic>
          </wp:anchor>
        </w:drawing>
      </w:r>
    </w:p>
    <w:p>
      <w:pPr>
        <w:ind w:left="880"/>
        <w:spacing w:after="0" w:line="235" w:lineRule="auto"/>
        <w:rPr>
          <w:rFonts w:ascii="Calibri" w:cs="Calibri" w:eastAsia="Calibri" w:hAnsi="Calibri"/>
          <w:sz w:val="18"/>
          <w:szCs w:val="18"/>
          <w:u w:val="single" w:color="auto"/>
          <w:color w:val="0000FF"/>
        </w:rPr>
      </w:pPr>
      <w:hyperlink r:id="rId507">
        <w:r>
          <w:rPr>
            <w:rFonts w:ascii="Calibri" w:cs="Calibri" w:eastAsia="Calibri" w:hAnsi="Calibri"/>
            <w:sz w:val="18"/>
            <w:szCs w:val="18"/>
            <w:u w:val="single" w:color="auto"/>
            <w:color w:val="0000FF"/>
          </w:rPr>
          <w:t>2020, between Jon Wagner and Hoya Topco, LLC</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-18415</wp:posOffset>
            </wp:positionV>
            <wp:extent cx="21799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9">
                      <a:extLst>
                        <a:ext uri="{28A0092B-C50C-407E-A947-70E740481C1C}"/>
                      </a:extLst>
                    </a:blip>
                    <a:srcRect/>
                    <a:stretch>
                      <a:fillRect/>
                    </a:stretch>
                  </pic:blipFill>
                  <pic:spPr bwMode="auto">
                    <a:xfrm>
                      <a:off x="0" y="0"/>
                      <a:ext cx="2179955" cy="8255"/>
                    </a:xfrm>
                    <a:prstGeom prst="rect">
                      <a:avLst/>
                    </a:prstGeom>
                    <a:noFill/>
                  </pic:spPr>
                </pic:pic>
              </a:graphicData>
            </a:graphic>
          </wp:anchor>
        </w:drawing>
      </w:r>
    </w:p>
    <w:p>
      <w:pPr>
        <w:jc w:val="right"/>
        <w:spacing w:after="0"/>
        <w:rPr>
          <w:sz w:val="20"/>
          <w:szCs w:val="20"/>
          <w:color w:val="auto"/>
        </w:rPr>
      </w:pPr>
      <w:r>
        <w:rPr>
          <w:rFonts w:ascii="Calibri" w:cs="Calibri" w:eastAsia="Calibri" w:hAnsi="Calibri"/>
          <w:sz w:val="18"/>
          <w:szCs w:val="18"/>
          <w:color w:val="auto"/>
        </w:rPr>
        <w:t>105</w:t>
      </w:r>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-667385</wp:posOffset>
            </wp:positionH>
            <wp:positionV relativeFrom="paragraph">
              <wp:posOffset>70485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br w:type="column"/>
      </w:r>
    </w:p>
    <w:p>
      <w:pPr>
        <w:spacing w:after="0" w:line="1" w:lineRule="exact"/>
        <w:rPr>
          <w:rFonts w:ascii="Calibri" w:cs="Calibri" w:eastAsia="Calibri" w:hAnsi="Calibri"/>
          <w:sz w:val="1"/>
          <w:szCs w:val="1"/>
          <w:u w:val="single" w:color="auto"/>
          <w:color w:val="0000FF"/>
        </w:rPr>
      </w:pPr>
    </w:p>
    <w:tbl>
      <w:tblPr>
        <w:tblLayout w:type="fixed"/>
        <w:tblInd w:w="0" w:type="dxa"/>
        <w:tblCellMar>
          <w:top w:w="0" w:type="dxa"/>
          <w:left w:w="0" w:type="dxa"/>
          <w:bottom w:w="0" w:type="dxa"/>
          <w:right w:w="0" w:type="dxa"/>
        </w:tblCellMar>
      </w:tblPr>
      <w:tr>
        <w:trPr>
          <w:trHeight w:val="220"/>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10.14</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r>
        <w:trPr>
          <w:trHeight w:val="662"/>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10.19</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r>
        <w:trPr>
          <w:trHeight w:val="661"/>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10.18</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r>
        <w:trPr>
          <w:trHeight w:val="662"/>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10.24</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r>
        <w:trPr>
          <w:trHeight w:val="662"/>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10.23</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r>
        <w:trPr>
          <w:trHeight w:val="662"/>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10.15</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r>
        <w:trPr>
          <w:trHeight w:val="445"/>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10.16</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r>
        <w:trPr>
          <w:trHeight w:val="446"/>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10.17</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bl>
    <w:p>
      <w:pPr>
        <w:spacing w:after="0" w:line="200" w:lineRule="exact"/>
        <w:rPr>
          <w:rFonts w:ascii="Calibri" w:cs="Calibri" w:eastAsia="Calibri" w:hAnsi="Calibri"/>
          <w:sz w:val="18"/>
          <w:szCs w:val="18"/>
          <w:u w:val="single" w:color="auto"/>
          <w:color w:val="0000FF"/>
        </w:rPr>
      </w:pPr>
    </w:p>
    <w:p>
      <w:pPr>
        <w:spacing w:after="0" w:line="200" w:lineRule="exact"/>
        <w:rPr>
          <w:rFonts w:ascii="Calibri" w:cs="Calibri" w:eastAsia="Calibri" w:hAnsi="Calibri"/>
          <w:sz w:val="18"/>
          <w:szCs w:val="18"/>
          <w:u w:val="single" w:color="auto"/>
          <w:color w:val="0000FF"/>
        </w:rPr>
      </w:pPr>
    </w:p>
    <w:p>
      <w:pPr>
        <w:spacing w:after="0" w:line="200" w:lineRule="exact"/>
        <w:rPr>
          <w:rFonts w:ascii="Calibri" w:cs="Calibri" w:eastAsia="Calibri" w:hAnsi="Calibri"/>
          <w:sz w:val="18"/>
          <w:szCs w:val="18"/>
          <w:u w:val="single" w:color="auto"/>
          <w:color w:val="0000FF"/>
        </w:rPr>
      </w:pPr>
    </w:p>
    <w:p>
      <w:pPr>
        <w:spacing w:after="0" w:line="274" w:lineRule="exact"/>
        <w:rPr>
          <w:rFonts w:ascii="Calibri" w:cs="Calibri" w:eastAsia="Calibri" w:hAnsi="Calibri"/>
          <w:sz w:val="18"/>
          <w:szCs w:val="18"/>
          <w:u w:val="single" w:color="auto"/>
          <w:color w:val="0000FF"/>
        </w:rPr>
      </w:pPr>
    </w:p>
    <w:tbl>
      <w:tblPr>
        <w:tblLayout w:type="fixed"/>
        <w:tblInd w:w="0" w:type="dxa"/>
        <w:tblCellMar>
          <w:top w:w="0" w:type="dxa"/>
          <w:left w:w="0" w:type="dxa"/>
          <w:bottom w:w="0" w:type="dxa"/>
          <w:right w:w="0" w:type="dxa"/>
        </w:tblCellMar>
      </w:tblPr>
      <w:tr>
        <w:trPr>
          <w:trHeight w:val="220"/>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10.20</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r>
        <w:trPr>
          <w:trHeight w:val="445"/>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10.21</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r>
        <w:trPr>
          <w:trHeight w:val="446"/>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10.22</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bl>
    <w:p>
      <w:pPr>
        <w:spacing w:after="0" w:line="200" w:lineRule="exact"/>
        <w:rPr>
          <w:rFonts w:ascii="Calibri" w:cs="Calibri" w:eastAsia="Calibri" w:hAnsi="Calibri"/>
          <w:sz w:val="18"/>
          <w:szCs w:val="18"/>
          <w:u w:val="single" w:color="auto"/>
          <w:color w:val="0000FF"/>
        </w:rPr>
      </w:pPr>
    </w:p>
    <w:p>
      <w:pPr>
        <w:spacing w:after="0" w:line="200" w:lineRule="exact"/>
        <w:rPr>
          <w:rFonts w:ascii="Calibri" w:cs="Calibri" w:eastAsia="Calibri" w:hAnsi="Calibri"/>
          <w:sz w:val="18"/>
          <w:szCs w:val="18"/>
          <w:u w:val="single" w:color="auto"/>
          <w:color w:val="0000FF"/>
        </w:rPr>
      </w:pPr>
    </w:p>
    <w:p>
      <w:pPr>
        <w:spacing w:after="0" w:line="200" w:lineRule="exact"/>
        <w:rPr>
          <w:rFonts w:ascii="Calibri" w:cs="Calibri" w:eastAsia="Calibri" w:hAnsi="Calibri"/>
          <w:sz w:val="18"/>
          <w:szCs w:val="18"/>
          <w:u w:val="single" w:color="auto"/>
          <w:color w:val="0000FF"/>
        </w:rPr>
      </w:pPr>
    </w:p>
    <w:p>
      <w:pPr>
        <w:spacing w:after="0" w:line="274" w:lineRule="exact"/>
        <w:rPr>
          <w:rFonts w:ascii="Calibri" w:cs="Calibri" w:eastAsia="Calibri" w:hAnsi="Calibri"/>
          <w:sz w:val="18"/>
          <w:szCs w:val="18"/>
          <w:u w:val="single" w:color="auto"/>
          <w:color w:val="0000FF"/>
        </w:rPr>
      </w:pPr>
    </w:p>
    <w:tbl>
      <w:tblPr>
        <w:tblLayout w:type="fixed"/>
        <w:tblInd w:w="0" w:type="dxa"/>
        <w:tblCellMar>
          <w:top w:w="0" w:type="dxa"/>
          <w:left w:w="0" w:type="dxa"/>
          <w:bottom w:w="0" w:type="dxa"/>
          <w:right w:w="0" w:type="dxa"/>
        </w:tblCellMar>
      </w:tblPr>
      <w:tr>
        <w:trPr>
          <w:trHeight w:val="220"/>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10.25</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r>
        <w:trPr>
          <w:trHeight w:val="445"/>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10.26</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r>
        <w:trPr>
          <w:trHeight w:val="445"/>
        </w:trPr>
        <w:tc>
          <w:tcPr>
            <w:tcW w:w="720" w:type="dxa"/>
            <w:vAlign w:val="bottom"/>
          </w:tcPr>
          <w:p>
            <w:pPr>
              <w:spacing w:after="0"/>
              <w:rPr>
                <w:sz w:val="20"/>
                <w:szCs w:val="20"/>
                <w:color w:val="auto"/>
              </w:rPr>
            </w:pPr>
            <w:r>
              <w:rPr>
                <w:rFonts w:ascii="Calibri" w:cs="Calibri" w:eastAsia="Calibri" w:hAnsi="Calibri"/>
                <w:sz w:val="18"/>
                <w:szCs w:val="18"/>
                <w:color w:val="auto"/>
              </w:rPr>
              <w:t>S-4/A</w:t>
            </w:r>
          </w:p>
        </w:tc>
        <w:tc>
          <w:tcPr>
            <w:tcW w:w="980" w:type="dxa"/>
            <w:vAlign w:val="bottom"/>
          </w:tcPr>
          <w:p>
            <w:pPr>
              <w:jc w:val="right"/>
              <w:ind w:right="170"/>
              <w:spacing w:after="0"/>
              <w:rPr>
                <w:sz w:val="20"/>
                <w:szCs w:val="20"/>
                <w:color w:val="auto"/>
              </w:rPr>
            </w:pPr>
            <w:r>
              <w:rPr>
                <w:rFonts w:ascii="Calibri" w:cs="Calibri" w:eastAsia="Calibri" w:hAnsi="Calibri"/>
                <w:sz w:val="18"/>
                <w:szCs w:val="18"/>
                <w:color w:val="auto"/>
              </w:rPr>
              <w:t>10.27</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08/16/2021</w:t>
            </w:r>
          </w:p>
        </w:tc>
      </w:tr>
    </w:tbl>
    <w:p>
      <w:pPr>
        <w:sectPr>
          <w:pgSz w:w="11900" w:h="16838" w:orient="portrait"/>
          <w:cols w:equalWidth="0" w:num="2">
            <w:col w:w="4720" w:space="220"/>
            <w:col w:w="4159"/>
          </w:cols>
          <w:pgMar w:left="1360" w:top="328" w:right="1440"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0" w:type="dxa"/>
            <w:vAlign w:val="bottom"/>
          </w:tcPr>
          <w:p>
            <w:pPr>
              <w:spacing w:after="0"/>
              <w:rPr>
                <w:sz w:val="20"/>
                <w:szCs w:val="20"/>
                <w:color w:val="auto"/>
              </w:rPr>
            </w:pPr>
            <w:r>
              <w:rPr>
                <w:rFonts w:ascii="Calibri" w:cs="Calibri" w:eastAsia="Calibri" w:hAnsi="Calibri"/>
                <w:sz w:val="18"/>
                <w:szCs w:val="18"/>
                <w:color w:val="auto"/>
              </w:rPr>
              <w:t>10.32†</w:t>
            </w:r>
          </w:p>
        </w:tc>
        <w:tc>
          <w:tcPr>
            <w:tcW w:w="3680" w:type="dxa"/>
            <w:vAlign w:val="bottom"/>
            <w:gridSpan w:val="13"/>
          </w:tcPr>
          <w:p>
            <w:pPr>
              <w:spacing w:after="0"/>
              <w:rPr>
                <w:rFonts w:ascii="Calibri" w:cs="Calibri" w:eastAsia="Calibri" w:hAnsi="Calibri"/>
                <w:sz w:val="18"/>
                <w:szCs w:val="18"/>
                <w:color w:val="0000FF"/>
              </w:rPr>
            </w:pPr>
            <w:hyperlink r:id="rId511">
              <w:r>
                <w:rPr>
                  <w:rFonts w:ascii="Calibri" w:cs="Calibri" w:eastAsia="Calibri" w:hAnsi="Calibri"/>
                  <w:sz w:val="18"/>
                  <w:szCs w:val="18"/>
                  <w:color w:val="0000FF"/>
                </w:rPr>
                <w:t>Lease dated December 21, 2021 between Vivid</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rPr>
            </w:pPr>
            <w:hyperlink r:id="rId511">
              <w:r>
                <w:rPr>
                  <w:rFonts w:ascii="Calibri" w:cs="Calibri" w:eastAsia="Calibri" w:hAnsi="Calibri"/>
                  <w:sz w:val="18"/>
                  <w:szCs w:val="18"/>
                  <w:color w:val="0000FF"/>
                </w:rPr>
                <w:t>Seats, LLC and BSREP II SS Chicago LLC</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tcPr>
          <w:p>
            <w:pPr>
              <w:spacing w:after="0" w:line="209" w:lineRule="exact"/>
              <w:rPr>
                <w:sz w:val="20"/>
                <w:szCs w:val="20"/>
                <w:color w:val="auto"/>
              </w:rPr>
            </w:pPr>
            <w:r>
              <w:rPr>
                <w:rFonts w:ascii="Calibri" w:cs="Calibri" w:eastAsia="Calibri" w:hAnsi="Calibri"/>
                <w:sz w:val="18"/>
                <w:szCs w:val="18"/>
                <w:color w:val="auto"/>
              </w:rPr>
              <w:t>10.33†</w:t>
            </w:r>
          </w:p>
        </w:tc>
        <w:tc>
          <w:tcPr>
            <w:tcW w:w="3680" w:type="dxa"/>
            <w:vAlign w:val="bottom"/>
            <w:gridSpan w:val="13"/>
          </w:tcPr>
          <w:p>
            <w:pPr>
              <w:spacing w:after="0" w:line="209" w:lineRule="exact"/>
              <w:rPr>
                <w:rFonts w:ascii="Calibri" w:cs="Calibri" w:eastAsia="Calibri" w:hAnsi="Calibri"/>
                <w:sz w:val="18"/>
                <w:szCs w:val="18"/>
                <w:color w:val="0000FF"/>
              </w:rPr>
            </w:pPr>
            <w:hyperlink r:id="rId512">
              <w:r>
                <w:rPr>
                  <w:rFonts w:ascii="Calibri" w:cs="Calibri" w:eastAsia="Calibri" w:hAnsi="Calibri"/>
                  <w:sz w:val="18"/>
                  <w:szCs w:val="18"/>
                  <w:color w:val="0000FF"/>
                </w:rPr>
                <w:t>First Lien Credit Agreement, dated June 30, 2017,</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rPr>
            </w:pPr>
            <w:hyperlink r:id="rId512">
              <w:r>
                <w:rPr>
                  <w:rFonts w:ascii="Calibri" w:cs="Calibri" w:eastAsia="Calibri" w:hAnsi="Calibri"/>
                  <w:sz w:val="18"/>
                  <w:szCs w:val="18"/>
                  <w:color w:val="0000FF"/>
                </w:rPr>
                <w:t>among Hoya Midco, LLC, Hoya Intermediate, LLC,</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rPr>
            </w:pPr>
            <w:hyperlink r:id="rId512">
              <w:r>
                <w:rPr>
                  <w:rFonts w:ascii="Calibri" w:cs="Calibri" w:eastAsia="Calibri" w:hAnsi="Calibri"/>
                  <w:sz w:val="18"/>
                  <w:szCs w:val="18"/>
                  <w:color w:val="0000FF"/>
                </w:rPr>
                <w:t>Barclays Bank PLC, RBC Capital Markets, SunTrust</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rPr>
            </w:pPr>
            <w:hyperlink r:id="rId512">
              <w:r>
                <w:rPr>
                  <w:rFonts w:ascii="Calibri" w:cs="Calibri" w:eastAsia="Calibri" w:hAnsi="Calibri"/>
                  <w:sz w:val="18"/>
                  <w:szCs w:val="18"/>
                  <w:color w:val="0000FF"/>
                </w:rPr>
                <w:t>Robinson Humphrey, Inc. and Jeferies Finance LLC</w:t>
              </w:r>
            </w:hyperlink>
          </w:p>
        </w:tc>
      </w:tr>
      <w:tr>
        <w:trPr>
          <w:trHeight w:val="20"/>
        </w:trPr>
        <w:tc>
          <w:tcPr>
            <w:tcW w:w="900" w:type="dxa"/>
            <w:vAlign w:val="bottom"/>
            <w:tcBorders>
              <w:right w:val="single" w:sz="8" w:color="0000FF"/>
            </w:tcBorders>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tcPr>
          <w:p>
            <w:pPr>
              <w:spacing w:after="0" w:line="209" w:lineRule="exact"/>
              <w:rPr>
                <w:sz w:val="20"/>
                <w:szCs w:val="20"/>
                <w:color w:val="auto"/>
              </w:rPr>
            </w:pPr>
            <w:r>
              <w:rPr>
                <w:rFonts w:ascii="Calibri" w:cs="Calibri" w:eastAsia="Calibri" w:hAnsi="Calibri"/>
                <w:sz w:val="18"/>
                <w:szCs w:val="18"/>
                <w:color w:val="auto"/>
              </w:rPr>
              <w:t>10.34†</w:t>
            </w:r>
          </w:p>
        </w:tc>
        <w:tc>
          <w:tcPr>
            <w:tcW w:w="3680" w:type="dxa"/>
            <w:vAlign w:val="bottom"/>
            <w:gridSpan w:val="13"/>
          </w:tcPr>
          <w:p>
            <w:pPr>
              <w:spacing w:after="0" w:line="209" w:lineRule="exact"/>
              <w:rPr>
                <w:rFonts w:ascii="Calibri" w:cs="Calibri" w:eastAsia="Calibri" w:hAnsi="Calibri"/>
                <w:sz w:val="18"/>
                <w:szCs w:val="18"/>
                <w:color w:val="0000FF"/>
              </w:rPr>
            </w:pPr>
            <w:hyperlink r:id="rId513">
              <w:r>
                <w:rPr>
                  <w:rFonts w:ascii="Calibri" w:cs="Calibri" w:eastAsia="Calibri" w:hAnsi="Calibri"/>
                  <w:sz w:val="18"/>
                  <w:szCs w:val="18"/>
                  <w:color w:val="0000FF"/>
                </w:rPr>
                <w:t>Amendment No. 1, dated March 28, 2018, to First</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w w:val="96"/>
              </w:rPr>
            </w:pPr>
            <w:hyperlink r:id="rId513">
              <w:r>
                <w:rPr>
                  <w:rFonts w:ascii="Calibri" w:cs="Calibri" w:eastAsia="Calibri" w:hAnsi="Calibri"/>
                  <w:sz w:val="18"/>
                  <w:szCs w:val="18"/>
                  <w:color w:val="0000FF"/>
                  <w:w w:val="96"/>
                </w:rPr>
                <w:t>Lien Credit Agreement, dated June 30, 2017, among</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w w:val="99"/>
              </w:rPr>
            </w:pPr>
            <w:hyperlink r:id="rId513">
              <w:r>
                <w:rPr>
                  <w:rFonts w:ascii="Calibri" w:cs="Calibri" w:eastAsia="Calibri" w:hAnsi="Calibri"/>
                  <w:sz w:val="18"/>
                  <w:szCs w:val="18"/>
                  <w:color w:val="0000FF"/>
                  <w:w w:val="99"/>
                </w:rPr>
                <w:t>Hoya Midco, LLC, Hoya Intermediate, LLC, Barclays</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w w:val="99"/>
              </w:rPr>
            </w:pPr>
            <w:hyperlink r:id="rId513">
              <w:r>
                <w:rPr>
                  <w:rFonts w:ascii="Calibri" w:cs="Calibri" w:eastAsia="Calibri" w:hAnsi="Calibri"/>
                  <w:sz w:val="18"/>
                  <w:szCs w:val="18"/>
                  <w:color w:val="0000FF"/>
                  <w:w w:val="99"/>
                </w:rPr>
                <w:t>Bank PLC, RBC Capital Markets, SunTrust Robinson</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rPr>
            </w:pPr>
            <w:hyperlink r:id="rId513">
              <w:r>
                <w:rPr>
                  <w:rFonts w:ascii="Calibri" w:cs="Calibri" w:eastAsia="Calibri" w:hAnsi="Calibri"/>
                  <w:sz w:val="18"/>
                  <w:szCs w:val="18"/>
                  <w:color w:val="0000FF"/>
                </w:rPr>
                <w:t>Humphrey, Inc. and Jeferies Finance LLC</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tcPr>
          <w:p>
            <w:pPr>
              <w:spacing w:after="0" w:line="209" w:lineRule="exact"/>
              <w:rPr>
                <w:sz w:val="20"/>
                <w:szCs w:val="20"/>
                <w:color w:val="auto"/>
              </w:rPr>
            </w:pPr>
            <w:r>
              <w:rPr>
                <w:rFonts w:ascii="Calibri" w:cs="Calibri" w:eastAsia="Calibri" w:hAnsi="Calibri"/>
                <w:sz w:val="18"/>
                <w:szCs w:val="18"/>
                <w:color w:val="auto"/>
              </w:rPr>
              <w:t>10.35†</w:t>
            </w:r>
          </w:p>
        </w:tc>
        <w:tc>
          <w:tcPr>
            <w:tcW w:w="3680" w:type="dxa"/>
            <w:vAlign w:val="bottom"/>
            <w:gridSpan w:val="13"/>
          </w:tcPr>
          <w:p>
            <w:pPr>
              <w:spacing w:after="0" w:line="209" w:lineRule="exact"/>
              <w:rPr>
                <w:rFonts w:ascii="Calibri" w:cs="Calibri" w:eastAsia="Calibri" w:hAnsi="Calibri"/>
                <w:sz w:val="18"/>
                <w:szCs w:val="18"/>
                <w:color w:val="0000FF"/>
                <w:w w:val="99"/>
              </w:rPr>
            </w:pPr>
            <w:hyperlink r:id="rId514">
              <w:r>
                <w:rPr>
                  <w:rFonts w:ascii="Calibri" w:cs="Calibri" w:eastAsia="Calibri" w:hAnsi="Calibri"/>
                  <w:sz w:val="18"/>
                  <w:szCs w:val="18"/>
                  <w:color w:val="0000FF"/>
                  <w:w w:val="99"/>
                </w:rPr>
                <w:t>Amendment No. 2, dated July 2, 2018, to First Lien</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rPr>
            </w:pPr>
            <w:hyperlink r:id="rId514">
              <w:r>
                <w:rPr>
                  <w:rFonts w:ascii="Calibri" w:cs="Calibri" w:eastAsia="Calibri" w:hAnsi="Calibri"/>
                  <w:sz w:val="18"/>
                  <w:szCs w:val="18"/>
                  <w:color w:val="0000FF"/>
                </w:rPr>
                <w:t>Credit Agreement, dated June 30, 2017, among</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w w:val="99"/>
              </w:rPr>
            </w:pPr>
            <w:hyperlink r:id="rId514">
              <w:r>
                <w:rPr>
                  <w:rFonts w:ascii="Calibri" w:cs="Calibri" w:eastAsia="Calibri" w:hAnsi="Calibri"/>
                  <w:sz w:val="18"/>
                  <w:szCs w:val="18"/>
                  <w:color w:val="0000FF"/>
                  <w:w w:val="99"/>
                </w:rPr>
                <w:t>Hoya Midco, LLC, Hoya Intermediate, LLC, Barclays</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w w:val="99"/>
              </w:rPr>
            </w:pPr>
            <w:hyperlink r:id="rId514">
              <w:r>
                <w:rPr>
                  <w:rFonts w:ascii="Calibri" w:cs="Calibri" w:eastAsia="Calibri" w:hAnsi="Calibri"/>
                  <w:sz w:val="18"/>
                  <w:szCs w:val="18"/>
                  <w:color w:val="0000FF"/>
                  <w:w w:val="99"/>
                </w:rPr>
                <w:t>Bank PLC, RBC Capital Markets, SunTrust Robinson</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rPr>
            </w:pPr>
            <w:hyperlink r:id="rId514">
              <w:r>
                <w:rPr>
                  <w:rFonts w:ascii="Calibri" w:cs="Calibri" w:eastAsia="Calibri" w:hAnsi="Calibri"/>
                  <w:sz w:val="18"/>
                  <w:szCs w:val="18"/>
                  <w:color w:val="0000FF"/>
                </w:rPr>
                <w:t>Humphrey, Inc. and Jeferies Finance LLC</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tcPr>
          <w:p>
            <w:pPr>
              <w:spacing w:after="0" w:line="209" w:lineRule="exact"/>
              <w:rPr>
                <w:sz w:val="20"/>
                <w:szCs w:val="20"/>
                <w:color w:val="auto"/>
              </w:rPr>
            </w:pPr>
            <w:r>
              <w:rPr>
                <w:rFonts w:ascii="Calibri" w:cs="Calibri" w:eastAsia="Calibri" w:hAnsi="Calibri"/>
                <w:sz w:val="18"/>
                <w:szCs w:val="18"/>
                <w:color w:val="auto"/>
              </w:rPr>
              <w:t>10.36†</w:t>
            </w:r>
          </w:p>
        </w:tc>
        <w:tc>
          <w:tcPr>
            <w:tcW w:w="3680" w:type="dxa"/>
            <w:vAlign w:val="bottom"/>
            <w:gridSpan w:val="13"/>
          </w:tcPr>
          <w:p>
            <w:pPr>
              <w:spacing w:after="0" w:line="209" w:lineRule="exact"/>
              <w:rPr>
                <w:rFonts w:ascii="Calibri" w:cs="Calibri" w:eastAsia="Calibri" w:hAnsi="Calibri"/>
                <w:sz w:val="18"/>
                <w:szCs w:val="18"/>
                <w:color w:val="0000FF"/>
              </w:rPr>
            </w:pPr>
            <w:hyperlink r:id="rId515">
              <w:r>
                <w:rPr>
                  <w:rFonts w:ascii="Calibri" w:cs="Calibri" w:eastAsia="Calibri" w:hAnsi="Calibri"/>
                  <w:sz w:val="18"/>
                  <w:szCs w:val="18"/>
                  <w:color w:val="0000FF"/>
                </w:rPr>
                <w:t>Amendment No. 3, dated May 22, 2020, to First</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w w:val="96"/>
              </w:rPr>
            </w:pPr>
            <w:hyperlink r:id="rId515">
              <w:r>
                <w:rPr>
                  <w:rFonts w:ascii="Calibri" w:cs="Calibri" w:eastAsia="Calibri" w:hAnsi="Calibri"/>
                  <w:sz w:val="18"/>
                  <w:szCs w:val="18"/>
                  <w:color w:val="0000FF"/>
                  <w:w w:val="96"/>
                </w:rPr>
                <w:t>Lien Credit Agreement, dated June 30, 2017, among</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w w:val="99"/>
              </w:rPr>
            </w:pPr>
            <w:hyperlink r:id="rId515">
              <w:r>
                <w:rPr>
                  <w:rFonts w:ascii="Calibri" w:cs="Calibri" w:eastAsia="Calibri" w:hAnsi="Calibri"/>
                  <w:sz w:val="18"/>
                  <w:szCs w:val="18"/>
                  <w:color w:val="0000FF"/>
                  <w:w w:val="99"/>
                </w:rPr>
                <w:t>Hoya Midco, LLC, Hoya Intermediate, LLC, Barclays</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w w:val="99"/>
              </w:rPr>
            </w:pPr>
            <w:hyperlink r:id="rId515">
              <w:r>
                <w:rPr>
                  <w:rFonts w:ascii="Calibri" w:cs="Calibri" w:eastAsia="Calibri" w:hAnsi="Calibri"/>
                  <w:sz w:val="18"/>
                  <w:szCs w:val="18"/>
                  <w:color w:val="0000FF"/>
                  <w:w w:val="99"/>
                </w:rPr>
                <w:t>Bank PLC, RBC Capital Markets, SunTrust Robinson</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rPr>
            </w:pPr>
            <w:hyperlink r:id="rId515">
              <w:r>
                <w:rPr>
                  <w:rFonts w:ascii="Calibri" w:cs="Calibri" w:eastAsia="Calibri" w:hAnsi="Calibri"/>
                  <w:sz w:val="18"/>
                  <w:szCs w:val="18"/>
                  <w:color w:val="0000FF"/>
                </w:rPr>
                <w:t>Humphrey, Inc. and Jeferies Finance LLC</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tcPr>
          <w:p>
            <w:pPr>
              <w:spacing w:after="0" w:line="209" w:lineRule="exact"/>
              <w:rPr>
                <w:sz w:val="20"/>
                <w:szCs w:val="20"/>
                <w:color w:val="auto"/>
              </w:rPr>
            </w:pPr>
            <w:r>
              <w:rPr>
                <w:rFonts w:ascii="Calibri" w:cs="Calibri" w:eastAsia="Calibri" w:hAnsi="Calibri"/>
                <w:sz w:val="18"/>
                <w:szCs w:val="18"/>
                <w:color w:val="auto"/>
              </w:rPr>
              <w:t>10.37†</w:t>
            </w:r>
          </w:p>
        </w:tc>
        <w:tc>
          <w:tcPr>
            <w:tcW w:w="3680" w:type="dxa"/>
            <w:vAlign w:val="bottom"/>
            <w:gridSpan w:val="13"/>
          </w:tcPr>
          <w:p>
            <w:pPr>
              <w:spacing w:after="0" w:line="209" w:lineRule="exact"/>
              <w:rPr>
                <w:rFonts w:ascii="Calibri" w:cs="Calibri" w:eastAsia="Calibri" w:hAnsi="Calibri"/>
                <w:sz w:val="18"/>
                <w:szCs w:val="18"/>
                <w:color w:val="0000FF"/>
                <w:w w:val="98"/>
              </w:rPr>
            </w:pPr>
            <w:hyperlink r:id="rId516">
              <w:r>
                <w:rPr>
                  <w:rFonts w:ascii="Calibri" w:cs="Calibri" w:eastAsia="Calibri" w:hAnsi="Calibri"/>
                  <w:sz w:val="18"/>
                  <w:szCs w:val="18"/>
                  <w:color w:val="0000FF"/>
                  <w:w w:val="98"/>
                </w:rPr>
                <w:t>Amendment No. 4, dated February 3, 2022, to First</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w w:val="96"/>
              </w:rPr>
            </w:pPr>
            <w:hyperlink r:id="rId516">
              <w:r>
                <w:rPr>
                  <w:rFonts w:ascii="Calibri" w:cs="Calibri" w:eastAsia="Calibri" w:hAnsi="Calibri"/>
                  <w:sz w:val="18"/>
                  <w:szCs w:val="18"/>
                  <w:color w:val="0000FF"/>
                  <w:w w:val="96"/>
                </w:rPr>
                <w:t>Lien Credit Agreement, dated June 30, 2017, among</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w w:val="99"/>
              </w:rPr>
            </w:pPr>
            <w:hyperlink r:id="rId516">
              <w:r>
                <w:rPr>
                  <w:rFonts w:ascii="Calibri" w:cs="Calibri" w:eastAsia="Calibri" w:hAnsi="Calibri"/>
                  <w:sz w:val="18"/>
                  <w:szCs w:val="18"/>
                  <w:color w:val="0000FF"/>
                  <w:w w:val="99"/>
                </w:rPr>
                <w:t>Hoya Midco, LLC, Hoya Intermediate, LLC, Barclays</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w w:val="99"/>
              </w:rPr>
            </w:pPr>
            <w:hyperlink r:id="rId516">
              <w:r>
                <w:rPr>
                  <w:rFonts w:ascii="Calibri" w:cs="Calibri" w:eastAsia="Calibri" w:hAnsi="Calibri"/>
                  <w:sz w:val="18"/>
                  <w:szCs w:val="18"/>
                  <w:color w:val="0000FF"/>
                  <w:w w:val="99"/>
                </w:rPr>
                <w:t>Bank PLC, RBC Capital Markets, SunTrust Robinson</w:t>
              </w:r>
            </w:hyperlink>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rFonts w:ascii="Calibri" w:cs="Calibri" w:eastAsia="Calibri" w:hAnsi="Calibri"/>
                <w:sz w:val="18"/>
                <w:szCs w:val="18"/>
                <w:color w:val="0000FF"/>
              </w:rPr>
            </w:pPr>
            <w:hyperlink r:id="rId516">
              <w:r>
                <w:rPr>
                  <w:rFonts w:ascii="Calibri" w:cs="Calibri" w:eastAsia="Calibri" w:hAnsi="Calibri"/>
                  <w:sz w:val="18"/>
                  <w:szCs w:val="18"/>
                  <w:color w:val="0000FF"/>
                </w:rPr>
                <w:t>Humphrey, Inc. and Jeferies Finance LLC</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900" w:type="dxa"/>
            <w:vAlign w:val="bottom"/>
          </w:tcPr>
          <w:p>
            <w:pPr>
              <w:spacing w:after="0" w:line="209" w:lineRule="exact"/>
              <w:rPr>
                <w:sz w:val="20"/>
                <w:szCs w:val="20"/>
                <w:color w:val="auto"/>
              </w:rPr>
            </w:pPr>
            <w:r>
              <w:rPr>
                <w:rFonts w:ascii="Calibri" w:cs="Calibri" w:eastAsia="Calibri" w:hAnsi="Calibri"/>
                <w:sz w:val="18"/>
                <w:szCs w:val="18"/>
                <w:color w:val="auto"/>
              </w:rPr>
              <w:t>10.38</w:t>
            </w:r>
          </w:p>
        </w:tc>
        <w:tc>
          <w:tcPr>
            <w:tcW w:w="3680" w:type="dxa"/>
            <w:vAlign w:val="bottom"/>
            <w:gridSpan w:val="13"/>
          </w:tcPr>
          <w:p>
            <w:pPr>
              <w:spacing w:after="0" w:line="209" w:lineRule="exact"/>
              <w:rPr>
                <w:sz w:val="20"/>
                <w:szCs w:val="20"/>
                <w:color w:val="auto"/>
              </w:rPr>
            </w:pPr>
            <w:r>
              <w:rPr>
                <w:rFonts w:ascii="Calibri" w:cs="Calibri" w:eastAsia="Calibri" w:hAnsi="Calibri"/>
                <w:sz w:val="18"/>
                <w:szCs w:val="18"/>
                <w:color w:val="0000FF"/>
              </w:rPr>
              <w:t>Hoya Intermediate, LLC Second Amended and</w:t>
            </w:r>
          </w:p>
        </w:tc>
      </w:tr>
      <w:tr>
        <w:trPr>
          <w:trHeight w:val="20"/>
        </w:trPr>
        <w:tc>
          <w:tcPr>
            <w:tcW w:w="9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sz w:val="20"/>
                <w:szCs w:val="20"/>
                <w:color w:val="auto"/>
              </w:rPr>
            </w:pPr>
            <w:r>
              <w:rPr>
                <w:rFonts w:ascii="Calibri" w:cs="Calibri" w:eastAsia="Calibri" w:hAnsi="Calibri"/>
                <w:sz w:val="18"/>
                <w:szCs w:val="18"/>
                <w:color w:val="0000FF"/>
              </w:rPr>
              <w:t>Restated Limited Liability Company Agreement</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900" w:type="dxa"/>
            <w:vAlign w:val="bottom"/>
          </w:tcPr>
          <w:p>
            <w:pPr>
              <w:spacing w:after="0" w:line="209" w:lineRule="exact"/>
              <w:rPr>
                <w:sz w:val="20"/>
                <w:szCs w:val="20"/>
                <w:color w:val="auto"/>
              </w:rPr>
            </w:pPr>
            <w:r>
              <w:rPr>
                <w:rFonts w:ascii="Calibri" w:cs="Calibri" w:eastAsia="Calibri" w:hAnsi="Calibri"/>
                <w:sz w:val="18"/>
                <w:szCs w:val="18"/>
                <w:color w:val="auto"/>
              </w:rPr>
              <w:t>21.1</w:t>
            </w:r>
          </w:p>
        </w:tc>
        <w:tc>
          <w:tcPr>
            <w:tcW w:w="3680" w:type="dxa"/>
            <w:vAlign w:val="bottom"/>
            <w:gridSpan w:val="13"/>
          </w:tcPr>
          <w:p>
            <w:pPr>
              <w:spacing w:after="0" w:line="209" w:lineRule="exact"/>
              <w:rPr>
                <w:sz w:val="20"/>
                <w:szCs w:val="20"/>
                <w:color w:val="auto"/>
              </w:rPr>
            </w:pPr>
            <w:r>
              <w:rPr>
                <w:rFonts w:ascii="Calibri" w:cs="Calibri" w:eastAsia="Calibri" w:hAnsi="Calibri"/>
                <w:sz w:val="18"/>
                <w:szCs w:val="18"/>
                <w:color w:val="0000FF"/>
              </w:rPr>
              <w:t>Subsidiaries</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900" w:type="dxa"/>
            <w:vAlign w:val="bottom"/>
          </w:tcPr>
          <w:p>
            <w:pPr>
              <w:spacing w:after="0" w:line="209" w:lineRule="exact"/>
              <w:rPr>
                <w:sz w:val="20"/>
                <w:szCs w:val="20"/>
                <w:color w:val="auto"/>
              </w:rPr>
            </w:pPr>
            <w:r>
              <w:rPr>
                <w:rFonts w:ascii="Calibri" w:cs="Calibri" w:eastAsia="Calibri" w:hAnsi="Calibri"/>
                <w:sz w:val="18"/>
                <w:szCs w:val="18"/>
                <w:color w:val="auto"/>
              </w:rPr>
              <w:t>23.1</w:t>
            </w:r>
          </w:p>
        </w:tc>
        <w:tc>
          <w:tcPr>
            <w:tcW w:w="3680" w:type="dxa"/>
            <w:vAlign w:val="bottom"/>
            <w:gridSpan w:val="13"/>
          </w:tcPr>
          <w:p>
            <w:pPr>
              <w:spacing w:after="0" w:line="209" w:lineRule="exact"/>
              <w:rPr>
                <w:sz w:val="20"/>
                <w:szCs w:val="20"/>
                <w:color w:val="auto"/>
              </w:rPr>
            </w:pPr>
            <w:r>
              <w:rPr>
                <w:rFonts w:ascii="Calibri" w:cs="Calibri" w:eastAsia="Calibri" w:hAnsi="Calibri"/>
                <w:sz w:val="18"/>
                <w:szCs w:val="18"/>
                <w:color w:val="0000FF"/>
              </w:rPr>
              <w:t>Consent of Deloite &amp; Touche LLP</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2"/>
            <w:shd w:val="clear" w:color="auto" w:fill="0000FF"/>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900" w:type="dxa"/>
            <w:vAlign w:val="bottom"/>
          </w:tcPr>
          <w:p>
            <w:pPr>
              <w:spacing w:after="0" w:line="209" w:lineRule="exact"/>
              <w:rPr>
                <w:sz w:val="20"/>
                <w:szCs w:val="20"/>
                <w:color w:val="auto"/>
              </w:rPr>
            </w:pPr>
            <w:r>
              <w:rPr>
                <w:rFonts w:ascii="Calibri" w:cs="Calibri" w:eastAsia="Calibri" w:hAnsi="Calibri"/>
                <w:sz w:val="18"/>
                <w:szCs w:val="18"/>
                <w:color w:val="auto"/>
              </w:rPr>
              <w:t>31.1</w:t>
            </w:r>
          </w:p>
        </w:tc>
        <w:tc>
          <w:tcPr>
            <w:tcW w:w="3680" w:type="dxa"/>
            <w:vAlign w:val="bottom"/>
            <w:gridSpan w:val="13"/>
          </w:tcPr>
          <w:p>
            <w:pPr>
              <w:spacing w:after="0" w:line="209" w:lineRule="exact"/>
              <w:rPr>
                <w:sz w:val="20"/>
                <w:szCs w:val="20"/>
                <w:color w:val="auto"/>
              </w:rPr>
            </w:pPr>
            <w:r>
              <w:rPr>
                <w:rFonts w:ascii="Calibri" w:cs="Calibri" w:eastAsia="Calibri" w:hAnsi="Calibri"/>
                <w:sz w:val="18"/>
                <w:szCs w:val="18"/>
                <w:color w:val="0000FF"/>
              </w:rPr>
              <w:t>Certfcaton of Principal Executve Ofcer Pursuant</w:t>
            </w:r>
          </w:p>
        </w:tc>
      </w:tr>
      <w:tr>
        <w:trPr>
          <w:trHeight w:val="20"/>
        </w:trPr>
        <w:tc>
          <w:tcPr>
            <w:tcW w:w="900" w:type="dxa"/>
            <w:vAlign w:val="bottom"/>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sz w:val="20"/>
                <w:szCs w:val="20"/>
                <w:color w:val="auto"/>
              </w:rPr>
            </w:pPr>
            <w:r>
              <w:rPr>
                <w:rFonts w:ascii="Calibri" w:cs="Calibri" w:eastAsia="Calibri" w:hAnsi="Calibri"/>
                <w:sz w:val="18"/>
                <w:szCs w:val="18"/>
                <w:color w:val="0000FF"/>
              </w:rPr>
              <w:t>to Rules 13a-14(a) and 15d-14(a).</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900" w:type="dxa"/>
            <w:vAlign w:val="bottom"/>
          </w:tcPr>
          <w:p>
            <w:pPr>
              <w:spacing w:after="0" w:line="209" w:lineRule="exact"/>
              <w:rPr>
                <w:sz w:val="20"/>
                <w:szCs w:val="20"/>
                <w:color w:val="auto"/>
              </w:rPr>
            </w:pPr>
            <w:r>
              <w:rPr>
                <w:rFonts w:ascii="Calibri" w:cs="Calibri" w:eastAsia="Calibri" w:hAnsi="Calibri"/>
                <w:sz w:val="18"/>
                <w:szCs w:val="18"/>
                <w:color w:val="auto"/>
              </w:rPr>
              <w:t>31.2</w:t>
            </w:r>
          </w:p>
        </w:tc>
        <w:tc>
          <w:tcPr>
            <w:tcW w:w="3680" w:type="dxa"/>
            <w:vAlign w:val="bottom"/>
            <w:gridSpan w:val="13"/>
          </w:tcPr>
          <w:p>
            <w:pPr>
              <w:spacing w:after="0" w:line="209" w:lineRule="exact"/>
              <w:rPr>
                <w:sz w:val="20"/>
                <w:szCs w:val="20"/>
                <w:color w:val="auto"/>
              </w:rPr>
            </w:pPr>
            <w:r>
              <w:rPr>
                <w:rFonts w:ascii="Calibri" w:cs="Calibri" w:eastAsia="Calibri" w:hAnsi="Calibri"/>
                <w:sz w:val="18"/>
                <w:szCs w:val="18"/>
                <w:color w:val="0000FF"/>
              </w:rPr>
              <w:t>Certfcaton of Principal Financial Ofcer Pursuant</w:t>
            </w:r>
          </w:p>
        </w:tc>
      </w:tr>
      <w:tr>
        <w:trPr>
          <w:trHeight w:val="20"/>
        </w:trPr>
        <w:tc>
          <w:tcPr>
            <w:tcW w:w="900" w:type="dxa"/>
            <w:vAlign w:val="bottom"/>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80" w:type="dxa"/>
            <w:vAlign w:val="bottom"/>
            <w:gridSpan w:val="13"/>
          </w:tcPr>
          <w:p>
            <w:pPr>
              <w:spacing w:after="0" w:line="196" w:lineRule="exact"/>
              <w:rPr>
                <w:sz w:val="20"/>
                <w:szCs w:val="20"/>
                <w:color w:val="auto"/>
              </w:rPr>
            </w:pPr>
            <w:r>
              <w:rPr>
                <w:rFonts w:ascii="Calibri" w:cs="Calibri" w:eastAsia="Calibri" w:hAnsi="Calibri"/>
                <w:sz w:val="18"/>
                <w:szCs w:val="18"/>
                <w:color w:val="0000FF"/>
              </w:rPr>
              <w:t>to Rules 13a-14(a) and 15d-14(a).</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71120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720" w:type="dxa"/>
            <w:vAlign w:val="bottom"/>
          </w:tcPr>
          <w:p>
            <w:pPr>
              <w:jc w:val="center"/>
              <w:ind w:right="230"/>
              <w:spacing w:after="0"/>
              <w:rPr>
                <w:sz w:val="20"/>
                <w:szCs w:val="20"/>
                <w:color w:val="auto"/>
              </w:rPr>
            </w:pPr>
            <w:r>
              <w:rPr>
                <w:rFonts w:ascii="Calibri" w:cs="Calibri" w:eastAsia="Calibri" w:hAnsi="Calibri"/>
                <w:sz w:val="18"/>
                <w:szCs w:val="18"/>
                <w:color w:val="auto"/>
                <w:w w:val="99"/>
              </w:rPr>
              <w:t>8-K</w:t>
            </w:r>
          </w:p>
        </w:tc>
        <w:tc>
          <w:tcPr>
            <w:tcW w:w="98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12/22/2021</w:t>
            </w:r>
          </w:p>
        </w:tc>
      </w:tr>
      <w:tr>
        <w:trPr>
          <w:trHeight w:val="445"/>
        </w:trPr>
        <w:tc>
          <w:tcPr>
            <w:tcW w:w="720" w:type="dxa"/>
            <w:vAlign w:val="bottom"/>
          </w:tcPr>
          <w:p>
            <w:pPr>
              <w:jc w:val="center"/>
              <w:ind w:right="230"/>
              <w:spacing w:after="0"/>
              <w:rPr>
                <w:sz w:val="20"/>
                <w:szCs w:val="20"/>
                <w:color w:val="auto"/>
              </w:rPr>
            </w:pPr>
            <w:r>
              <w:rPr>
                <w:rFonts w:ascii="Calibri" w:cs="Calibri" w:eastAsia="Calibri" w:hAnsi="Calibri"/>
                <w:sz w:val="18"/>
                <w:szCs w:val="18"/>
                <w:color w:val="auto"/>
                <w:w w:val="99"/>
              </w:rPr>
              <w:t>S-4/A</w:t>
            </w:r>
          </w:p>
        </w:tc>
        <w:tc>
          <w:tcPr>
            <w:tcW w:w="980" w:type="dxa"/>
            <w:vAlign w:val="bottom"/>
          </w:tcPr>
          <w:p>
            <w:pPr>
              <w:jc w:val="center"/>
              <w:spacing w:after="0"/>
              <w:rPr>
                <w:sz w:val="20"/>
                <w:szCs w:val="20"/>
                <w:color w:val="auto"/>
              </w:rPr>
            </w:pPr>
            <w:r>
              <w:rPr>
                <w:rFonts w:ascii="Calibri" w:cs="Calibri" w:eastAsia="Calibri" w:hAnsi="Calibri"/>
                <w:sz w:val="18"/>
                <w:szCs w:val="18"/>
                <w:color w:val="auto"/>
              </w:rPr>
              <w:t>10.7</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07/07/2021</w:t>
            </w:r>
          </w:p>
        </w:tc>
      </w:tr>
      <w:tr>
        <w:trPr>
          <w:trHeight w:val="878"/>
        </w:trPr>
        <w:tc>
          <w:tcPr>
            <w:tcW w:w="720" w:type="dxa"/>
            <w:vAlign w:val="bottom"/>
          </w:tcPr>
          <w:p>
            <w:pPr>
              <w:jc w:val="center"/>
              <w:ind w:right="230"/>
              <w:spacing w:after="0"/>
              <w:rPr>
                <w:sz w:val="20"/>
                <w:szCs w:val="20"/>
                <w:color w:val="auto"/>
              </w:rPr>
            </w:pPr>
            <w:r>
              <w:rPr>
                <w:rFonts w:ascii="Calibri" w:cs="Calibri" w:eastAsia="Calibri" w:hAnsi="Calibri"/>
                <w:sz w:val="18"/>
                <w:szCs w:val="18"/>
                <w:color w:val="auto"/>
                <w:w w:val="99"/>
              </w:rPr>
              <w:t>S-4/A</w:t>
            </w:r>
          </w:p>
        </w:tc>
        <w:tc>
          <w:tcPr>
            <w:tcW w:w="980" w:type="dxa"/>
            <w:vAlign w:val="bottom"/>
          </w:tcPr>
          <w:p>
            <w:pPr>
              <w:jc w:val="center"/>
              <w:spacing w:after="0"/>
              <w:rPr>
                <w:sz w:val="20"/>
                <w:szCs w:val="20"/>
                <w:color w:val="auto"/>
              </w:rPr>
            </w:pPr>
            <w:r>
              <w:rPr>
                <w:rFonts w:ascii="Calibri" w:cs="Calibri" w:eastAsia="Calibri" w:hAnsi="Calibri"/>
                <w:sz w:val="18"/>
                <w:szCs w:val="18"/>
                <w:color w:val="auto"/>
              </w:rPr>
              <w:t>10.8</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07/07/2021</w:t>
            </w:r>
          </w:p>
        </w:tc>
      </w:tr>
      <w:tr>
        <w:trPr>
          <w:trHeight w:val="1093"/>
        </w:trPr>
        <w:tc>
          <w:tcPr>
            <w:tcW w:w="720" w:type="dxa"/>
            <w:vAlign w:val="bottom"/>
          </w:tcPr>
          <w:p>
            <w:pPr>
              <w:jc w:val="center"/>
              <w:ind w:right="230"/>
              <w:spacing w:after="0"/>
              <w:rPr>
                <w:sz w:val="20"/>
                <w:szCs w:val="20"/>
                <w:color w:val="auto"/>
              </w:rPr>
            </w:pPr>
            <w:r>
              <w:rPr>
                <w:rFonts w:ascii="Calibri" w:cs="Calibri" w:eastAsia="Calibri" w:hAnsi="Calibri"/>
                <w:sz w:val="18"/>
                <w:szCs w:val="18"/>
                <w:color w:val="auto"/>
                <w:w w:val="99"/>
              </w:rPr>
              <w:t>S-4/A</w:t>
            </w:r>
          </w:p>
        </w:tc>
        <w:tc>
          <w:tcPr>
            <w:tcW w:w="980" w:type="dxa"/>
            <w:vAlign w:val="bottom"/>
          </w:tcPr>
          <w:p>
            <w:pPr>
              <w:jc w:val="center"/>
              <w:spacing w:after="0"/>
              <w:rPr>
                <w:sz w:val="20"/>
                <w:szCs w:val="20"/>
                <w:color w:val="auto"/>
              </w:rPr>
            </w:pPr>
            <w:r>
              <w:rPr>
                <w:rFonts w:ascii="Calibri" w:cs="Calibri" w:eastAsia="Calibri" w:hAnsi="Calibri"/>
                <w:sz w:val="18"/>
                <w:szCs w:val="18"/>
                <w:color w:val="auto"/>
              </w:rPr>
              <w:t>10.9</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07/07/2021</w:t>
            </w:r>
          </w:p>
        </w:tc>
      </w:tr>
      <w:tr>
        <w:trPr>
          <w:trHeight w:val="1094"/>
        </w:trPr>
        <w:tc>
          <w:tcPr>
            <w:tcW w:w="720" w:type="dxa"/>
            <w:vAlign w:val="bottom"/>
          </w:tcPr>
          <w:p>
            <w:pPr>
              <w:jc w:val="center"/>
              <w:ind w:right="230"/>
              <w:spacing w:after="0"/>
              <w:rPr>
                <w:sz w:val="20"/>
                <w:szCs w:val="20"/>
                <w:color w:val="auto"/>
              </w:rPr>
            </w:pPr>
            <w:r>
              <w:rPr>
                <w:rFonts w:ascii="Calibri" w:cs="Calibri" w:eastAsia="Calibri" w:hAnsi="Calibri"/>
                <w:sz w:val="18"/>
                <w:szCs w:val="18"/>
                <w:color w:val="auto"/>
                <w:w w:val="99"/>
              </w:rPr>
              <w:t>S-4/A</w:t>
            </w:r>
          </w:p>
        </w:tc>
        <w:tc>
          <w:tcPr>
            <w:tcW w:w="980" w:type="dxa"/>
            <w:vAlign w:val="bottom"/>
          </w:tcPr>
          <w:p>
            <w:pPr>
              <w:jc w:val="center"/>
              <w:spacing w:after="0"/>
              <w:rPr>
                <w:sz w:val="20"/>
                <w:szCs w:val="20"/>
                <w:color w:val="auto"/>
              </w:rPr>
            </w:pPr>
            <w:r>
              <w:rPr>
                <w:rFonts w:ascii="Calibri" w:cs="Calibri" w:eastAsia="Calibri" w:hAnsi="Calibri"/>
                <w:sz w:val="18"/>
                <w:szCs w:val="18"/>
                <w:color w:val="auto"/>
                <w:w w:val="97"/>
              </w:rPr>
              <w:t>10.10</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07/07/2021</w:t>
            </w:r>
          </w:p>
        </w:tc>
      </w:tr>
      <w:tr>
        <w:trPr>
          <w:trHeight w:val="1093"/>
        </w:trPr>
        <w:tc>
          <w:tcPr>
            <w:tcW w:w="720" w:type="dxa"/>
            <w:vAlign w:val="bottom"/>
          </w:tcPr>
          <w:p>
            <w:pPr>
              <w:jc w:val="center"/>
              <w:ind w:right="230"/>
              <w:spacing w:after="0"/>
              <w:rPr>
                <w:sz w:val="20"/>
                <w:szCs w:val="20"/>
                <w:color w:val="auto"/>
              </w:rPr>
            </w:pPr>
            <w:r>
              <w:rPr>
                <w:rFonts w:ascii="Calibri" w:cs="Calibri" w:eastAsia="Calibri" w:hAnsi="Calibri"/>
                <w:sz w:val="18"/>
                <w:szCs w:val="18"/>
                <w:color w:val="auto"/>
                <w:w w:val="99"/>
              </w:rPr>
              <w:t>8-K</w:t>
            </w:r>
          </w:p>
        </w:tc>
        <w:tc>
          <w:tcPr>
            <w:tcW w:w="98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02/07/2022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79"/>
        <w:spacing w:after="0"/>
        <w:rPr>
          <w:sz w:val="20"/>
          <w:szCs w:val="20"/>
          <w:color w:val="auto"/>
        </w:rPr>
      </w:pPr>
      <w:r>
        <w:rPr>
          <w:rFonts w:ascii="Calibri" w:cs="Calibri" w:eastAsia="Calibri" w:hAnsi="Calibri"/>
          <w:sz w:val="18"/>
          <w:szCs w:val="18"/>
          <w:color w:val="auto"/>
        </w:rPr>
        <w:t>*</w:t>
      </w:r>
    </w:p>
    <w:p>
      <w:pPr>
        <w:spacing w:after="0" w:line="226" w:lineRule="exact"/>
        <w:rPr>
          <w:sz w:val="20"/>
          <w:szCs w:val="20"/>
          <w:color w:val="auto"/>
        </w:rPr>
      </w:pPr>
    </w:p>
    <w:p>
      <w:pPr>
        <w:jc w:val="right"/>
        <w:ind w:right="479"/>
        <w:spacing w:after="0"/>
        <w:rPr>
          <w:sz w:val="20"/>
          <w:szCs w:val="20"/>
          <w:color w:val="auto"/>
        </w:rPr>
      </w:pPr>
      <w:r>
        <w:rPr>
          <w:rFonts w:ascii="Calibri" w:cs="Calibri" w:eastAsia="Calibri" w:hAnsi="Calibri"/>
          <w:sz w:val="18"/>
          <w:szCs w:val="18"/>
          <w:color w:val="auto"/>
        </w:rPr>
        <w:t>*</w:t>
      </w:r>
    </w:p>
    <w:p>
      <w:pPr>
        <w:spacing w:after="0" w:line="10" w:lineRule="exact"/>
        <w:rPr>
          <w:sz w:val="20"/>
          <w:szCs w:val="20"/>
          <w:color w:val="auto"/>
        </w:rPr>
      </w:pPr>
    </w:p>
    <w:p>
      <w:pPr>
        <w:jc w:val="right"/>
        <w:ind w:right="479"/>
        <w:spacing w:after="0"/>
        <w:rPr>
          <w:sz w:val="20"/>
          <w:szCs w:val="20"/>
          <w:color w:val="auto"/>
        </w:rPr>
      </w:pPr>
      <w:r>
        <w:rPr>
          <w:rFonts w:ascii="Calibri" w:cs="Calibri" w:eastAsia="Calibri" w:hAnsi="Calibri"/>
          <w:sz w:val="18"/>
          <w:szCs w:val="18"/>
          <w:color w:val="auto"/>
        </w:rPr>
        <w:t>*</w:t>
      </w:r>
    </w:p>
    <w:p>
      <w:pPr>
        <w:spacing w:after="0" w:line="10" w:lineRule="exact"/>
        <w:rPr>
          <w:sz w:val="20"/>
          <w:szCs w:val="20"/>
          <w:color w:val="auto"/>
        </w:rPr>
      </w:pPr>
    </w:p>
    <w:p>
      <w:pPr>
        <w:jc w:val="right"/>
        <w:ind w:right="479"/>
        <w:spacing w:after="0"/>
        <w:rPr>
          <w:sz w:val="20"/>
          <w:szCs w:val="20"/>
          <w:color w:val="auto"/>
        </w:rPr>
      </w:pPr>
      <w:r>
        <w:rPr>
          <w:rFonts w:ascii="Calibri" w:cs="Calibri" w:eastAsia="Calibri" w:hAnsi="Calibri"/>
          <w:sz w:val="18"/>
          <w:szCs w:val="18"/>
          <w:color w:val="auto"/>
        </w:rPr>
        <w:t>*</w:t>
      </w:r>
    </w:p>
    <w:p>
      <w:pPr>
        <w:spacing w:after="0" w:line="226" w:lineRule="exact"/>
        <w:rPr>
          <w:sz w:val="20"/>
          <w:szCs w:val="20"/>
          <w:color w:val="auto"/>
        </w:rPr>
      </w:pPr>
    </w:p>
    <w:p>
      <w:pPr>
        <w:jc w:val="right"/>
        <w:ind w:right="479"/>
        <w:spacing w:after="0"/>
        <w:rPr>
          <w:sz w:val="20"/>
          <w:szCs w:val="20"/>
          <w:color w:val="auto"/>
        </w:rPr>
      </w:pPr>
      <w:r>
        <w:rPr>
          <w:rFonts w:ascii="Calibri" w:cs="Calibri" w:eastAsia="Calibri" w:hAnsi="Calibri"/>
          <w:sz w:val="18"/>
          <w:szCs w:val="18"/>
          <w:color w:val="auto"/>
        </w:rPr>
        <w:t>*</w:t>
      </w:r>
    </w:p>
    <w:p>
      <w:pPr>
        <w:sectPr>
          <w:pgSz w:w="11900" w:h="16838" w:orient="portrait"/>
          <w:cols w:equalWidth="0" w:num="2">
            <w:col w:w="4720" w:space="220"/>
            <w:col w:w="4159"/>
          </w:cols>
          <w:pgMar w:left="1360" w:top="298" w:right="1440" w:bottom="1440" w:gutter="0" w:footer="0" w:header="0"/>
        </w:sectPr>
      </w:pPr>
    </w:p>
    <w:bookmarkStart w:id="109" w:name="page110"/>
    <w:bookmarkEnd w:id="109"/>
    <w:tbl>
      <w:tblPr>
        <w:tblLayout w:type="fixed"/>
        <w:tblInd w:w="1040" w:type="dxa"/>
        <w:tblCellMar>
          <w:top w:w="0" w:type="dxa"/>
          <w:left w:w="0" w:type="dxa"/>
          <w:bottom w:w="0" w:type="dxa"/>
          <w:right w:w="0" w:type="dxa"/>
        </w:tblCellMar>
      </w:tblPr>
      <w:tr>
        <w:trPr>
          <w:trHeight w:val="220"/>
        </w:trPr>
        <w:tc>
          <w:tcPr>
            <w:tcW w:w="900" w:type="dxa"/>
            <w:vAlign w:val="bottom"/>
          </w:tcPr>
          <w:p>
            <w:pPr>
              <w:spacing w:after="0"/>
              <w:rPr>
                <w:sz w:val="20"/>
                <w:szCs w:val="20"/>
                <w:color w:val="auto"/>
              </w:rPr>
            </w:pPr>
            <w:r>
              <w:rPr>
                <w:rFonts w:ascii="Calibri" w:cs="Calibri" w:eastAsia="Calibri" w:hAnsi="Calibri"/>
                <w:sz w:val="18"/>
                <w:szCs w:val="18"/>
                <w:color w:val="auto"/>
              </w:rPr>
              <w:t>32.1</w:t>
            </w:r>
          </w:p>
        </w:tc>
        <w:tc>
          <w:tcPr>
            <w:tcW w:w="5620" w:type="dxa"/>
            <w:vAlign w:val="bottom"/>
            <w:gridSpan w:val="3"/>
          </w:tcPr>
          <w:p>
            <w:pPr>
              <w:spacing w:after="0"/>
              <w:rPr>
                <w:sz w:val="20"/>
                <w:szCs w:val="20"/>
                <w:color w:val="auto"/>
              </w:rPr>
            </w:pPr>
            <w:r>
              <w:rPr>
                <w:rFonts w:ascii="Calibri" w:cs="Calibri" w:eastAsia="Calibri" w:hAnsi="Calibri"/>
                <w:sz w:val="18"/>
                <w:szCs w:val="18"/>
                <w:color w:val="0000FF"/>
              </w:rPr>
              <w:t>Certfcaton of Principal Executve Ofcer Pursuant</w:t>
            </w:r>
          </w:p>
        </w:tc>
        <w:tc>
          <w:tcPr>
            <w:tcW w:w="2160" w:type="dxa"/>
            <w:vAlign w:val="bottom"/>
          </w:tcPr>
          <w:p>
            <w:pPr>
              <w:jc w:val="center"/>
              <w:ind w:left="1890"/>
              <w:spacing w:after="0"/>
              <w:rPr>
                <w:sz w:val="20"/>
                <w:szCs w:val="20"/>
                <w:color w:val="auto"/>
              </w:rPr>
            </w:pPr>
            <w:r>
              <w:rPr>
                <w:rFonts w:ascii="Calibri" w:cs="Calibri" w:eastAsia="Calibri" w:hAnsi="Calibri"/>
                <w:sz w:val="18"/>
                <w:szCs w:val="18"/>
                <w:color w:val="auto"/>
              </w:rPr>
              <w:t>**</w:t>
            </w:r>
          </w:p>
        </w:tc>
      </w:tr>
      <w:tr>
        <w:trPr>
          <w:trHeight w:val="20"/>
        </w:trPr>
        <w:tc>
          <w:tcPr>
            <w:tcW w:w="900" w:type="dxa"/>
            <w:vAlign w:val="bottom"/>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620" w:type="dxa"/>
            <w:vAlign w:val="bottom"/>
            <w:gridSpan w:val="3"/>
          </w:tcPr>
          <w:p>
            <w:pPr>
              <w:spacing w:after="0" w:line="196" w:lineRule="exact"/>
              <w:rPr>
                <w:sz w:val="20"/>
                <w:szCs w:val="20"/>
                <w:color w:val="auto"/>
              </w:rPr>
            </w:pPr>
            <w:r>
              <w:rPr>
                <w:rFonts w:ascii="Calibri" w:cs="Calibri" w:eastAsia="Calibri" w:hAnsi="Calibri"/>
                <w:sz w:val="18"/>
                <w:szCs w:val="18"/>
                <w:color w:val="0000FF"/>
              </w:rPr>
              <w:t>to 18 U.S.C. Secton 1350.</w:t>
            </w:r>
          </w:p>
        </w:tc>
        <w:tc>
          <w:tcPr>
            <w:tcW w:w="2160" w:type="dxa"/>
            <w:vAlign w:val="bottom"/>
          </w:tcPr>
          <w:p>
            <w:pPr>
              <w:spacing w:after="0"/>
              <w:rPr>
                <w:sz w:val="17"/>
                <w:szCs w:val="17"/>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0"/>
        </w:trPr>
        <w:tc>
          <w:tcPr>
            <w:tcW w:w="900" w:type="dxa"/>
            <w:vAlign w:val="bottom"/>
          </w:tcPr>
          <w:p>
            <w:pPr>
              <w:spacing w:after="0" w:line="209" w:lineRule="exact"/>
              <w:rPr>
                <w:sz w:val="20"/>
                <w:szCs w:val="20"/>
                <w:color w:val="auto"/>
              </w:rPr>
            </w:pPr>
            <w:r>
              <w:rPr>
                <w:rFonts w:ascii="Calibri" w:cs="Calibri" w:eastAsia="Calibri" w:hAnsi="Calibri"/>
                <w:sz w:val="18"/>
                <w:szCs w:val="18"/>
                <w:color w:val="auto"/>
              </w:rPr>
              <w:t>32.2</w:t>
            </w:r>
          </w:p>
        </w:tc>
        <w:tc>
          <w:tcPr>
            <w:tcW w:w="5620" w:type="dxa"/>
            <w:vAlign w:val="bottom"/>
            <w:gridSpan w:val="3"/>
          </w:tcPr>
          <w:p>
            <w:pPr>
              <w:spacing w:after="0" w:line="209" w:lineRule="exact"/>
              <w:rPr>
                <w:sz w:val="20"/>
                <w:szCs w:val="20"/>
                <w:color w:val="auto"/>
              </w:rPr>
            </w:pPr>
            <w:r>
              <w:rPr>
                <w:rFonts w:ascii="Calibri" w:cs="Calibri" w:eastAsia="Calibri" w:hAnsi="Calibri"/>
                <w:sz w:val="18"/>
                <w:szCs w:val="18"/>
                <w:color w:val="0000FF"/>
              </w:rPr>
              <w:t>Certfcaton of Principal Financial Ofcer Pursuant</w:t>
            </w:r>
          </w:p>
        </w:tc>
        <w:tc>
          <w:tcPr>
            <w:tcW w:w="2160" w:type="dxa"/>
            <w:vAlign w:val="bottom"/>
          </w:tcPr>
          <w:p>
            <w:pPr>
              <w:jc w:val="center"/>
              <w:ind w:left="1890"/>
              <w:spacing w:after="0" w:line="209" w:lineRule="exact"/>
              <w:rPr>
                <w:sz w:val="20"/>
                <w:szCs w:val="20"/>
                <w:color w:val="auto"/>
              </w:rPr>
            </w:pPr>
            <w:r>
              <w:rPr>
                <w:rFonts w:ascii="Calibri" w:cs="Calibri" w:eastAsia="Calibri" w:hAnsi="Calibri"/>
                <w:sz w:val="18"/>
                <w:szCs w:val="18"/>
                <w:color w:val="auto"/>
              </w:rPr>
              <w:t>**</w:t>
            </w:r>
          </w:p>
        </w:tc>
      </w:tr>
      <w:tr>
        <w:trPr>
          <w:trHeight w:val="20"/>
        </w:trPr>
        <w:tc>
          <w:tcPr>
            <w:tcW w:w="900" w:type="dxa"/>
            <w:vAlign w:val="bottom"/>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620" w:type="dxa"/>
            <w:vAlign w:val="bottom"/>
            <w:gridSpan w:val="3"/>
          </w:tcPr>
          <w:p>
            <w:pPr>
              <w:spacing w:after="0" w:line="196" w:lineRule="exact"/>
              <w:rPr>
                <w:sz w:val="20"/>
                <w:szCs w:val="20"/>
                <w:color w:val="auto"/>
              </w:rPr>
            </w:pPr>
            <w:r>
              <w:rPr>
                <w:rFonts w:ascii="Calibri" w:cs="Calibri" w:eastAsia="Calibri" w:hAnsi="Calibri"/>
                <w:sz w:val="18"/>
                <w:szCs w:val="18"/>
                <w:color w:val="0000FF"/>
              </w:rPr>
              <w:t>to 18 U.S.C. Secton 1350.</w:t>
            </w:r>
          </w:p>
        </w:tc>
        <w:tc>
          <w:tcPr>
            <w:tcW w:w="2160" w:type="dxa"/>
            <w:vAlign w:val="bottom"/>
          </w:tcPr>
          <w:p>
            <w:pPr>
              <w:spacing w:after="0"/>
              <w:rPr>
                <w:sz w:val="17"/>
                <w:szCs w:val="17"/>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40"/>
        </w:trPr>
        <w:tc>
          <w:tcPr>
            <w:tcW w:w="900" w:type="dxa"/>
            <w:vAlign w:val="bottom"/>
          </w:tcPr>
          <w:p>
            <w:pPr>
              <w:spacing w:after="0"/>
              <w:rPr>
                <w:sz w:val="20"/>
                <w:szCs w:val="20"/>
                <w:color w:val="auto"/>
              </w:rPr>
            </w:pPr>
            <w:r>
              <w:rPr>
                <w:rFonts w:ascii="Calibri" w:cs="Calibri" w:eastAsia="Calibri" w:hAnsi="Calibri"/>
                <w:sz w:val="18"/>
                <w:szCs w:val="18"/>
                <w:color w:val="auto"/>
              </w:rPr>
              <w:t>101.INS</w:t>
            </w:r>
          </w:p>
        </w:tc>
        <w:tc>
          <w:tcPr>
            <w:tcW w:w="5620" w:type="dxa"/>
            <w:vAlign w:val="bottom"/>
            <w:gridSpan w:val="3"/>
          </w:tcPr>
          <w:p>
            <w:pPr>
              <w:spacing w:after="0"/>
              <w:rPr>
                <w:sz w:val="20"/>
                <w:szCs w:val="20"/>
                <w:color w:val="auto"/>
              </w:rPr>
            </w:pPr>
            <w:r>
              <w:rPr>
                <w:rFonts w:ascii="Calibri" w:cs="Calibri" w:eastAsia="Calibri" w:hAnsi="Calibri"/>
                <w:sz w:val="18"/>
                <w:szCs w:val="18"/>
                <w:color w:val="auto"/>
              </w:rPr>
              <w:t>Inline XBRL Instance Document – the instance</w:t>
            </w:r>
          </w:p>
        </w:tc>
        <w:tc>
          <w:tcPr>
            <w:tcW w:w="2160" w:type="dxa"/>
            <w:vAlign w:val="bottom"/>
          </w:tcPr>
          <w:p>
            <w:pPr>
              <w:jc w:val="center"/>
              <w:ind w:left="1870"/>
              <w:spacing w:after="0"/>
              <w:rPr>
                <w:sz w:val="20"/>
                <w:szCs w:val="20"/>
                <w:color w:val="auto"/>
              </w:rPr>
            </w:pPr>
            <w:r>
              <w:rPr>
                <w:rFonts w:ascii="Calibri" w:cs="Calibri" w:eastAsia="Calibri" w:hAnsi="Calibri"/>
                <w:sz w:val="18"/>
                <w:szCs w:val="18"/>
                <w:color w:val="auto"/>
                <w:w w:val="88"/>
              </w:rPr>
              <w:t>*</w:t>
            </w:r>
          </w:p>
        </w:tc>
      </w:tr>
      <w:tr>
        <w:trPr>
          <w:trHeight w:val="216"/>
        </w:trPr>
        <w:tc>
          <w:tcPr>
            <w:tcW w:w="900" w:type="dxa"/>
            <w:vAlign w:val="bottom"/>
          </w:tcPr>
          <w:p>
            <w:pPr>
              <w:spacing w:after="0"/>
              <w:rPr>
                <w:sz w:val="18"/>
                <w:szCs w:val="18"/>
                <w:color w:val="auto"/>
              </w:rPr>
            </w:pPr>
          </w:p>
        </w:tc>
        <w:tc>
          <w:tcPr>
            <w:tcW w:w="5620" w:type="dxa"/>
            <w:vAlign w:val="bottom"/>
            <w:gridSpan w:val="3"/>
          </w:tcPr>
          <w:p>
            <w:pPr>
              <w:spacing w:after="0" w:line="216" w:lineRule="exact"/>
              <w:rPr>
                <w:sz w:val="20"/>
                <w:szCs w:val="20"/>
                <w:color w:val="auto"/>
              </w:rPr>
            </w:pPr>
            <w:r>
              <w:rPr>
                <w:rFonts w:ascii="Calibri" w:cs="Calibri" w:eastAsia="Calibri" w:hAnsi="Calibri"/>
                <w:sz w:val="18"/>
                <w:szCs w:val="18"/>
                <w:color w:val="auto"/>
              </w:rPr>
              <w:t>document does not appear in the Interactve Data</w:t>
            </w:r>
          </w:p>
        </w:tc>
        <w:tc>
          <w:tcPr>
            <w:tcW w:w="21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620" w:type="dxa"/>
            <w:vAlign w:val="bottom"/>
            <w:gridSpan w:val="3"/>
          </w:tcPr>
          <w:p>
            <w:pPr>
              <w:spacing w:after="0" w:line="216" w:lineRule="exact"/>
              <w:rPr>
                <w:sz w:val="20"/>
                <w:szCs w:val="20"/>
                <w:color w:val="auto"/>
              </w:rPr>
            </w:pPr>
            <w:r>
              <w:rPr>
                <w:rFonts w:ascii="Calibri" w:cs="Calibri" w:eastAsia="Calibri" w:hAnsi="Calibri"/>
                <w:sz w:val="18"/>
                <w:szCs w:val="18"/>
                <w:color w:val="auto"/>
              </w:rPr>
              <w:t>File because XBRL tags are embedded within the</w:t>
            </w:r>
          </w:p>
        </w:tc>
        <w:tc>
          <w:tcPr>
            <w:tcW w:w="21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620" w:type="dxa"/>
            <w:vAlign w:val="bottom"/>
            <w:gridSpan w:val="3"/>
          </w:tcPr>
          <w:p>
            <w:pPr>
              <w:spacing w:after="0" w:line="216" w:lineRule="exact"/>
              <w:rPr>
                <w:sz w:val="20"/>
                <w:szCs w:val="20"/>
                <w:color w:val="auto"/>
              </w:rPr>
            </w:pPr>
            <w:r>
              <w:rPr>
                <w:rFonts w:ascii="Calibri" w:cs="Calibri" w:eastAsia="Calibri" w:hAnsi="Calibri"/>
                <w:sz w:val="18"/>
                <w:szCs w:val="18"/>
                <w:color w:val="auto"/>
              </w:rPr>
              <w:t>Inline XBRL document.</w:t>
            </w:r>
          </w:p>
        </w:tc>
        <w:tc>
          <w:tcPr>
            <w:tcW w:w="2160" w:type="dxa"/>
            <w:vAlign w:val="bottom"/>
          </w:tcPr>
          <w:p>
            <w:pPr>
              <w:spacing w:after="0"/>
              <w:rPr>
                <w:sz w:val="18"/>
                <w:szCs w:val="18"/>
                <w:color w:val="auto"/>
              </w:rPr>
            </w:pPr>
          </w:p>
        </w:tc>
      </w:tr>
      <w:tr>
        <w:trPr>
          <w:trHeight w:val="229"/>
        </w:trPr>
        <w:tc>
          <w:tcPr>
            <w:tcW w:w="900" w:type="dxa"/>
            <w:vAlign w:val="bottom"/>
          </w:tcPr>
          <w:p>
            <w:pPr>
              <w:spacing w:after="0"/>
              <w:rPr>
                <w:sz w:val="20"/>
                <w:szCs w:val="20"/>
                <w:color w:val="auto"/>
              </w:rPr>
            </w:pPr>
            <w:r>
              <w:rPr>
                <w:rFonts w:ascii="Calibri" w:cs="Calibri" w:eastAsia="Calibri" w:hAnsi="Calibri"/>
                <w:sz w:val="18"/>
                <w:szCs w:val="18"/>
                <w:color w:val="auto"/>
              </w:rPr>
              <w:t>101.SCH</w:t>
            </w:r>
          </w:p>
        </w:tc>
        <w:tc>
          <w:tcPr>
            <w:tcW w:w="5620" w:type="dxa"/>
            <w:vAlign w:val="bottom"/>
            <w:gridSpan w:val="3"/>
          </w:tcPr>
          <w:p>
            <w:pPr>
              <w:spacing w:after="0"/>
              <w:rPr>
                <w:sz w:val="20"/>
                <w:szCs w:val="20"/>
                <w:color w:val="auto"/>
              </w:rPr>
            </w:pPr>
            <w:r>
              <w:rPr>
                <w:rFonts w:ascii="Calibri" w:cs="Calibri" w:eastAsia="Calibri" w:hAnsi="Calibri"/>
                <w:sz w:val="18"/>
                <w:szCs w:val="18"/>
                <w:color w:val="auto"/>
              </w:rPr>
              <w:t>Inline XBRL Taxonomy Extension Schema Document</w:t>
            </w:r>
          </w:p>
        </w:tc>
        <w:tc>
          <w:tcPr>
            <w:tcW w:w="2160" w:type="dxa"/>
            <w:vAlign w:val="bottom"/>
          </w:tcPr>
          <w:p>
            <w:pPr>
              <w:jc w:val="center"/>
              <w:ind w:left="1870"/>
              <w:spacing w:after="0"/>
              <w:rPr>
                <w:sz w:val="20"/>
                <w:szCs w:val="20"/>
                <w:color w:val="auto"/>
              </w:rPr>
            </w:pPr>
            <w:r>
              <w:rPr>
                <w:rFonts w:ascii="Calibri" w:cs="Calibri" w:eastAsia="Calibri" w:hAnsi="Calibri"/>
                <w:sz w:val="18"/>
                <w:szCs w:val="18"/>
                <w:color w:val="auto"/>
                <w:w w:val="88"/>
              </w:rPr>
              <w:t>*</w:t>
            </w:r>
          </w:p>
        </w:tc>
      </w:tr>
      <w:tr>
        <w:trPr>
          <w:trHeight w:val="229"/>
        </w:trPr>
        <w:tc>
          <w:tcPr>
            <w:tcW w:w="900" w:type="dxa"/>
            <w:vAlign w:val="bottom"/>
          </w:tcPr>
          <w:p>
            <w:pPr>
              <w:spacing w:after="0"/>
              <w:rPr>
                <w:sz w:val="20"/>
                <w:szCs w:val="20"/>
                <w:color w:val="auto"/>
              </w:rPr>
            </w:pPr>
            <w:r>
              <w:rPr>
                <w:rFonts w:ascii="Calibri" w:cs="Calibri" w:eastAsia="Calibri" w:hAnsi="Calibri"/>
                <w:sz w:val="18"/>
                <w:szCs w:val="18"/>
                <w:color w:val="auto"/>
              </w:rPr>
              <w:t>101.CAL</w:t>
            </w:r>
          </w:p>
        </w:tc>
        <w:tc>
          <w:tcPr>
            <w:tcW w:w="5620" w:type="dxa"/>
            <w:vAlign w:val="bottom"/>
            <w:gridSpan w:val="3"/>
          </w:tcPr>
          <w:p>
            <w:pPr>
              <w:spacing w:after="0"/>
              <w:rPr>
                <w:sz w:val="20"/>
                <w:szCs w:val="20"/>
                <w:color w:val="auto"/>
              </w:rPr>
            </w:pPr>
            <w:r>
              <w:rPr>
                <w:rFonts w:ascii="Calibri" w:cs="Calibri" w:eastAsia="Calibri" w:hAnsi="Calibri"/>
                <w:sz w:val="18"/>
                <w:szCs w:val="18"/>
                <w:color w:val="auto"/>
              </w:rPr>
              <w:t>Inline XBRL Taxonomy Extension Calculaton</w:t>
            </w:r>
          </w:p>
        </w:tc>
        <w:tc>
          <w:tcPr>
            <w:tcW w:w="2160" w:type="dxa"/>
            <w:vAlign w:val="bottom"/>
          </w:tcPr>
          <w:p>
            <w:pPr>
              <w:jc w:val="center"/>
              <w:ind w:left="1870"/>
              <w:spacing w:after="0"/>
              <w:rPr>
                <w:sz w:val="20"/>
                <w:szCs w:val="20"/>
                <w:color w:val="auto"/>
              </w:rPr>
            </w:pPr>
            <w:r>
              <w:rPr>
                <w:rFonts w:ascii="Calibri" w:cs="Calibri" w:eastAsia="Calibri" w:hAnsi="Calibri"/>
                <w:sz w:val="18"/>
                <w:szCs w:val="18"/>
                <w:color w:val="auto"/>
                <w:w w:val="88"/>
              </w:rPr>
              <w:t>*</w:t>
            </w:r>
          </w:p>
        </w:tc>
      </w:tr>
      <w:tr>
        <w:trPr>
          <w:trHeight w:val="216"/>
        </w:trPr>
        <w:tc>
          <w:tcPr>
            <w:tcW w:w="900" w:type="dxa"/>
            <w:vAlign w:val="bottom"/>
          </w:tcPr>
          <w:p>
            <w:pPr>
              <w:spacing w:after="0"/>
              <w:rPr>
                <w:sz w:val="18"/>
                <w:szCs w:val="18"/>
                <w:color w:val="auto"/>
              </w:rPr>
            </w:pPr>
          </w:p>
        </w:tc>
        <w:tc>
          <w:tcPr>
            <w:tcW w:w="5620" w:type="dxa"/>
            <w:vAlign w:val="bottom"/>
            <w:gridSpan w:val="3"/>
          </w:tcPr>
          <w:p>
            <w:pPr>
              <w:spacing w:after="0" w:line="216" w:lineRule="exact"/>
              <w:rPr>
                <w:sz w:val="20"/>
                <w:szCs w:val="20"/>
                <w:color w:val="auto"/>
              </w:rPr>
            </w:pPr>
            <w:r>
              <w:rPr>
                <w:rFonts w:ascii="Calibri" w:cs="Calibri" w:eastAsia="Calibri" w:hAnsi="Calibri"/>
                <w:sz w:val="18"/>
                <w:szCs w:val="18"/>
                <w:color w:val="auto"/>
              </w:rPr>
              <w:t>Linkbase Document</w:t>
            </w:r>
          </w:p>
        </w:tc>
        <w:tc>
          <w:tcPr>
            <w:tcW w:w="216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r>
              <w:rPr>
                <w:rFonts w:ascii="Calibri" w:cs="Calibri" w:eastAsia="Calibri" w:hAnsi="Calibri"/>
                <w:sz w:val="18"/>
                <w:szCs w:val="18"/>
                <w:color w:val="auto"/>
              </w:rPr>
              <w:t>101.DEF</w:t>
            </w:r>
          </w:p>
        </w:tc>
        <w:tc>
          <w:tcPr>
            <w:tcW w:w="5620" w:type="dxa"/>
            <w:vAlign w:val="bottom"/>
            <w:gridSpan w:val="3"/>
          </w:tcPr>
          <w:p>
            <w:pPr>
              <w:spacing w:after="0"/>
              <w:rPr>
                <w:sz w:val="20"/>
                <w:szCs w:val="20"/>
                <w:color w:val="auto"/>
              </w:rPr>
            </w:pPr>
            <w:r>
              <w:rPr>
                <w:rFonts w:ascii="Calibri" w:cs="Calibri" w:eastAsia="Calibri" w:hAnsi="Calibri"/>
                <w:sz w:val="18"/>
                <w:szCs w:val="18"/>
                <w:color w:val="auto"/>
              </w:rPr>
              <w:t>Inline XBRL Taxonomy Extension Defniton Linkbase</w:t>
            </w:r>
          </w:p>
        </w:tc>
        <w:tc>
          <w:tcPr>
            <w:tcW w:w="2160" w:type="dxa"/>
            <w:vAlign w:val="bottom"/>
          </w:tcPr>
          <w:p>
            <w:pPr>
              <w:jc w:val="center"/>
              <w:ind w:left="1870"/>
              <w:spacing w:after="0"/>
              <w:rPr>
                <w:sz w:val="20"/>
                <w:szCs w:val="20"/>
                <w:color w:val="auto"/>
              </w:rPr>
            </w:pPr>
            <w:r>
              <w:rPr>
                <w:rFonts w:ascii="Calibri" w:cs="Calibri" w:eastAsia="Calibri" w:hAnsi="Calibri"/>
                <w:sz w:val="18"/>
                <w:szCs w:val="18"/>
                <w:color w:val="auto"/>
                <w:w w:val="88"/>
              </w:rPr>
              <w:t>*</w:t>
            </w:r>
          </w:p>
        </w:tc>
      </w:tr>
      <w:tr>
        <w:trPr>
          <w:trHeight w:val="216"/>
        </w:trPr>
        <w:tc>
          <w:tcPr>
            <w:tcW w:w="900" w:type="dxa"/>
            <w:vAlign w:val="bottom"/>
          </w:tcPr>
          <w:p>
            <w:pPr>
              <w:spacing w:after="0"/>
              <w:rPr>
                <w:sz w:val="18"/>
                <w:szCs w:val="18"/>
                <w:color w:val="auto"/>
              </w:rPr>
            </w:pPr>
          </w:p>
        </w:tc>
        <w:tc>
          <w:tcPr>
            <w:tcW w:w="5620" w:type="dxa"/>
            <w:vAlign w:val="bottom"/>
            <w:gridSpan w:val="3"/>
          </w:tcPr>
          <w:p>
            <w:pPr>
              <w:spacing w:after="0" w:line="216" w:lineRule="exact"/>
              <w:rPr>
                <w:sz w:val="20"/>
                <w:szCs w:val="20"/>
                <w:color w:val="auto"/>
              </w:rPr>
            </w:pPr>
            <w:r>
              <w:rPr>
                <w:rFonts w:ascii="Calibri" w:cs="Calibri" w:eastAsia="Calibri" w:hAnsi="Calibri"/>
                <w:sz w:val="18"/>
                <w:szCs w:val="18"/>
                <w:color w:val="auto"/>
              </w:rPr>
              <w:t>Document</w:t>
            </w:r>
          </w:p>
        </w:tc>
        <w:tc>
          <w:tcPr>
            <w:tcW w:w="2160" w:type="dxa"/>
            <w:vAlign w:val="bottom"/>
          </w:tcPr>
          <w:p>
            <w:pPr>
              <w:spacing w:after="0"/>
              <w:rPr>
                <w:sz w:val="18"/>
                <w:szCs w:val="18"/>
                <w:color w:val="auto"/>
              </w:rPr>
            </w:pPr>
          </w:p>
        </w:tc>
      </w:tr>
      <w:tr>
        <w:trPr>
          <w:trHeight w:val="229"/>
        </w:trPr>
        <w:tc>
          <w:tcPr>
            <w:tcW w:w="900" w:type="dxa"/>
            <w:vAlign w:val="bottom"/>
          </w:tcPr>
          <w:p>
            <w:pPr>
              <w:spacing w:after="0"/>
              <w:rPr>
                <w:sz w:val="20"/>
                <w:szCs w:val="20"/>
                <w:color w:val="auto"/>
              </w:rPr>
            </w:pPr>
            <w:r>
              <w:rPr>
                <w:rFonts w:ascii="Calibri" w:cs="Calibri" w:eastAsia="Calibri" w:hAnsi="Calibri"/>
                <w:sz w:val="18"/>
                <w:szCs w:val="18"/>
                <w:color w:val="auto"/>
              </w:rPr>
              <w:t>101.LAB</w:t>
            </w:r>
          </w:p>
        </w:tc>
        <w:tc>
          <w:tcPr>
            <w:tcW w:w="5620" w:type="dxa"/>
            <w:vAlign w:val="bottom"/>
            <w:gridSpan w:val="3"/>
          </w:tcPr>
          <w:p>
            <w:pPr>
              <w:spacing w:after="0"/>
              <w:rPr>
                <w:sz w:val="20"/>
                <w:szCs w:val="20"/>
                <w:color w:val="auto"/>
              </w:rPr>
            </w:pPr>
            <w:r>
              <w:rPr>
                <w:rFonts w:ascii="Calibri" w:cs="Calibri" w:eastAsia="Calibri" w:hAnsi="Calibri"/>
                <w:sz w:val="18"/>
                <w:szCs w:val="18"/>
                <w:color w:val="auto"/>
              </w:rPr>
              <w:t>Inline XBRL Taxonomy Extension Label Linkbase</w:t>
            </w:r>
          </w:p>
        </w:tc>
        <w:tc>
          <w:tcPr>
            <w:tcW w:w="2160" w:type="dxa"/>
            <w:vAlign w:val="bottom"/>
          </w:tcPr>
          <w:p>
            <w:pPr>
              <w:jc w:val="center"/>
              <w:ind w:left="1870"/>
              <w:spacing w:after="0"/>
              <w:rPr>
                <w:sz w:val="20"/>
                <w:szCs w:val="20"/>
                <w:color w:val="auto"/>
              </w:rPr>
            </w:pPr>
            <w:r>
              <w:rPr>
                <w:rFonts w:ascii="Calibri" w:cs="Calibri" w:eastAsia="Calibri" w:hAnsi="Calibri"/>
                <w:sz w:val="18"/>
                <w:szCs w:val="18"/>
                <w:color w:val="auto"/>
                <w:w w:val="88"/>
              </w:rPr>
              <w:t>*</w:t>
            </w:r>
          </w:p>
        </w:tc>
      </w:tr>
      <w:tr>
        <w:trPr>
          <w:trHeight w:val="216"/>
        </w:trPr>
        <w:tc>
          <w:tcPr>
            <w:tcW w:w="900" w:type="dxa"/>
            <w:vAlign w:val="bottom"/>
          </w:tcPr>
          <w:p>
            <w:pPr>
              <w:spacing w:after="0"/>
              <w:rPr>
                <w:sz w:val="18"/>
                <w:szCs w:val="18"/>
                <w:color w:val="auto"/>
              </w:rPr>
            </w:pPr>
          </w:p>
        </w:tc>
        <w:tc>
          <w:tcPr>
            <w:tcW w:w="5620" w:type="dxa"/>
            <w:vAlign w:val="bottom"/>
            <w:gridSpan w:val="3"/>
          </w:tcPr>
          <w:p>
            <w:pPr>
              <w:spacing w:after="0" w:line="216" w:lineRule="exact"/>
              <w:rPr>
                <w:sz w:val="20"/>
                <w:szCs w:val="20"/>
                <w:color w:val="auto"/>
              </w:rPr>
            </w:pPr>
            <w:r>
              <w:rPr>
                <w:rFonts w:ascii="Calibri" w:cs="Calibri" w:eastAsia="Calibri" w:hAnsi="Calibri"/>
                <w:sz w:val="18"/>
                <w:szCs w:val="18"/>
                <w:color w:val="auto"/>
              </w:rPr>
              <w:t>Document</w:t>
            </w:r>
          </w:p>
        </w:tc>
        <w:tc>
          <w:tcPr>
            <w:tcW w:w="2160" w:type="dxa"/>
            <w:vAlign w:val="bottom"/>
          </w:tcPr>
          <w:p>
            <w:pPr>
              <w:spacing w:after="0"/>
              <w:rPr>
                <w:sz w:val="18"/>
                <w:szCs w:val="18"/>
                <w:color w:val="auto"/>
              </w:rPr>
            </w:pPr>
          </w:p>
        </w:tc>
      </w:tr>
      <w:tr>
        <w:trPr>
          <w:trHeight w:val="229"/>
        </w:trPr>
        <w:tc>
          <w:tcPr>
            <w:tcW w:w="900" w:type="dxa"/>
            <w:vAlign w:val="bottom"/>
          </w:tcPr>
          <w:p>
            <w:pPr>
              <w:spacing w:after="0"/>
              <w:rPr>
                <w:sz w:val="20"/>
                <w:szCs w:val="20"/>
                <w:color w:val="auto"/>
              </w:rPr>
            </w:pPr>
            <w:r>
              <w:rPr>
                <w:rFonts w:ascii="Calibri" w:cs="Calibri" w:eastAsia="Calibri" w:hAnsi="Calibri"/>
                <w:sz w:val="18"/>
                <w:szCs w:val="18"/>
                <w:color w:val="auto"/>
              </w:rPr>
              <w:t>101.PRE</w:t>
            </w:r>
          </w:p>
        </w:tc>
        <w:tc>
          <w:tcPr>
            <w:tcW w:w="5620" w:type="dxa"/>
            <w:vAlign w:val="bottom"/>
            <w:gridSpan w:val="3"/>
          </w:tcPr>
          <w:p>
            <w:pPr>
              <w:spacing w:after="0"/>
              <w:rPr>
                <w:sz w:val="20"/>
                <w:szCs w:val="20"/>
                <w:color w:val="auto"/>
              </w:rPr>
            </w:pPr>
            <w:r>
              <w:rPr>
                <w:rFonts w:ascii="Calibri" w:cs="Calibri" w:eastAsia="Calibri" w:hAnsi="Calibri"/>
                <w:sz w:val="18"/>
                <w:szCs w:val="18"/>
                <w:color w:val="auto"/>
              </w:rPr>
              <w:t>Inline XBRL Taxonomy Extension Presentaton</w:t>
            </w:r>
          </w:p>
        </w:tc>
        <w:tc>
          <w:tcPr>
            <w:tcW w:w="2160" w:type="dxa"/>
            <w:vAlign w:val="bottom"/>
          </w:tcPr>
          <w:p>
            <w:pPr>
              <w:jc w:val="center"/>
              <w:ind w:left="1870"/>
              <w:spacing w:after="0"/>
              <w:rPr>
                <w:sz w:val="20"/>
                <w:szCs w:val="20"/>
                <w:color w:val="auto"/>
              </w:rPr>
            </w:pPr>
            <w:r>
              <w:rPr>
                <w:rFonts w:ascii="Calibri" w:cs="Calibri" w:eastAsia="Calibri" w:hAnsi="Calibri"/>
                <w:sz w:val="18"/>
                <w:szCs w:val="18"/>
                <w:color w:val="auto"/>
                <w:w w:val="88"/>
              </w:rPr>
              <w:t>*</w:t>
            </w:r>
          </w:p>
        </w:tc>
      </w:tr>
      <w:tr>
        <w:trPr>
          <w:trHeight w:val="216"/>
        </w:trPr>
        <w:tc>
          <w:tcPr>
            <w:tcW w:w="900" w:type="dxa"/>
            <w:vAlign w:val="bottom"/>
          </w:tcPr>
          <w:p>
            <w:pPr>
              <w:spacing w:after="0"/>
              <w:rPr>
                <w:sz w:val="18"/>
                <w:szCs w:val="18"/>
                <w:color w:val="auto"/>
              </w:rPr>
            </w:pPr>
          </w:p>
        </w:tc>
        <w:tc>
          <w:tcPr>
            <w:tcW w:w="5620" w:type="dxa"/>
            <w:vAlign w:val="bottom"/>
            <w:gridSpan w:val="3"/>
          </w:tcPr>
          <w:p>
            <w:pPr>
              <w:spacing w:after="0" w:line="216" w:lineRule="exact"/>
              <w:rPr>
                <w:sz w:val="20"/>
                <w:szCs w:val="20"/>
                <w:color w:val="auto"/>
              </w:rPr>
            </w:pPr>
            <w:r>
              <w:rPr>
                <w:rFonts w:ascii="Calibri" w:cs="Calibri" w:eastAsia="Calibri" w:hAnsi="Calibri"/>
                <w:sz w:val="18"/>
                <w:szCs w:val="18"/>
                <w:color w:val="auto"/>
              </w:rPr>
              <w:t>Linkbase Document</w:t>
            </w:r>
          </w:p>
        </w:tc>
        <w:tc>
          <w:tcPr>
            <w:tcW w:w="216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r>
              <w:rPr>
                <w:rFonts w:ascii="Calibri" w:cs="Calibri" w:eastAsia="Calibri" w:hAnsi="Calibri"/>
                <w:sz w:val="18"/>
                <w:szCs w:val="18"/>
                <w:color w:val="auto"/>
              </w:rPr>
              <w:t>104</w:t>
            </w:r>
          </w:p>
        </w:tc>
        <w:tc>
          <w:tcPr>
            <w:tcW w:w="5620" w:type="dxa"/>
            <w:vAlign w:val="bottom"/>
            <w:gridSpan w:val="3"/>
          </w:tcPr>
          <w:p>
            <w:pPr>
              <w:spacing w:after="0"/>
              <w:rPr>
                <w:sz w:val="20"/>
                <w:szCs w:val="20"/>
                <w:color w:val="auto"/>
              </w:rPr>
            </w:pPr>
            <w:r>
              <w:rPr>
                <w:rFonts w:ascii="Calibri" w:cs="Calibri" w:eastAsia="Calibri" w:hAnsi="Calibri"/>
                <w:sz w:val="18"/>
                <w:szCs w:val="18"/>
                <w:color w:val="auto"/>
              </w:rPr>
              <w:t>Cover Page Interactve Data File (embedded within</w:t>
            </w:r>
          </w:p>
        </w:tc>
        <w:tc>
          <w:tcPr>
            <w:tcW w:w="2160" w:type="dxa"/>
            <w:vAlign w:val="bottom"/>
          </w:tcPr>
          <w:p>
            <w:pPr>
              <w:jc w:val="center"/>
              <w:ind w:left="1870"/>
              <w:spacing w:after="0"/>
              <w:rPr>
                <w:sz w:val="20"/>
                <w:szCs w:val="20"/>
                <w:color w:val="auto"/>
              </w:rPr>
            </w:pPr>
            <w:r>
              <w:rPr>
                <w:rFonts w:ascii="Calibri" w:cs="Calibri" w:eastAsia="Calibri" w:hAnsi="Calibri"/>
                <w:sz w:val="18"/>
                <w:szCs w:val="18"/>
                <w:color w:val="auto"/>
                <w:w w:val="88"/>
              </w:rPr>
              <w:t>*</w:t>
            </w:r>
          </w:p>
        </w:tc>
      </w:tr>
      <w:tr>
        <w:trPr>
          <w:trHeight w:val="216"/>
        </w:trPr>
        <w:tc>
          <w:tcPr>
            <w:tcW w:w="900" w:type="dxa"/>
            <w:vAlign w:val="bottom"/>
          </w:tcPr>
          <w:p>
            <w:pPr>
              <w:spacing w:after="0"/>
              <w:rPr>
                <w:sz w:val="18"/>
                <w:szCs w:val="18"/>
                <w:color w:val="auto"/>
              </w:rPr>
            </w:pPr>
          </w:p>
        </w:tc>
        <w:tc>
          <w:tcPr>
            <w:tcW w:w="5620" w:type="dxa"/>
            <w:vAlign w:val="bottom"/>
            <w:gridSpan w:val="3"/>
          </w:tcPr>
          <w:p>
            <w:pPr>
              <w:spacing w:after="0" w:line="216" w:lineRule="exact"/>
              <w:rPr>
                <w:sz w:val="20"/>
                <w:szCs w:val="20"/>
                <w:color w:val="auto"/>
              </w:rPr>
            </w:pPr>
            <w:r>
              <w:rPr>
                <w:rFonts w:ascii="Calibri" w:cs="Calibri" w:eastAsia="Calibri" w:hAnsi="Calibri"/>
                <w:sz w:val="18"/>
                <w:szCs w:val="18"/>
                <w:color w:val="auto"/>
              </w:rPr>
              <w:t>the Inline XBRL document)</w:t>
            </w:r>
          </w:p>
        </w:tc>
        <w:tc>
          <w:tcPr>
            <w:tcW w:w="2160" w:type="dxa"/>
            <w:vAlign w:val="bottom"/>
          </w:tcPr>
          <w:p>
            <w:pPr>
              <w:spacing w:after="0"/>
              <w:rPr>
                <w:sz w:val="18"/>
                <w:szCs w:val="18"/>
                <w:color w:val="auto"/>
              </w:rPr>
            </w:pPr>
          </w:p>
        </w:tc>
      </w:tr>
    </w:tbl>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 Filed herewith.</w:t>
      </w:r>
    </w:p>
    <w:p>
      <w:pPr>
        <w:spacing w:after="0" w:line="235" w:lineRule="auto"/>
        <w:rPr>
          <w:sz w:val="20"/>
          <w:szCs w:val="20"/>
          <w:color w:val="auto"/>
        </w:rPr>
      </w:pPr>
      <w:r>
        <w:rPr>
          <w:rFonts w:ascii="Calibri" w:cs="Calibri" w:eastAsia="Calibri" w:hAnsi="Calibri"/>
          <w:sz w:val="18"/>
          <w:szCs w:val="18"/>
          <w:color w:val="auto"/>
        </w:rPr>
        <w:t>** Furnished herewith.</w:t>
      </w:r>
    </w:p>
    <w:p>
      <w:pPr>
        <w:spacing w:after="0" w:line="236" w:lineRule="auto"/>
        <w:rPr>
          <w:sz w:val="20"/>
          <w:szCs w:val="20"/>
          <w:color w:val="auto"/>
        </w:rPr>
      </w:pPr>
      <w:r>
        <w:rPr>
          <w:rFonts w:ascii="Calibri" w:cs="Calibri" w:eastAsia="Calibri" w:hAnsi="Calibri"/>
          <w:sz w:val="18"/>
          <w:szCs w:val="18"/>
          <w:color w:val="auto"/>
        </w:rPr>
        <w:t># Indicates management contract or compensatory plan</w:t>
      </w:r>
    </w:p>
    <w:p>
      <w:pPr>
        <w:spacing w:after="0" w:line="2" w:lineRule="exact"/>
        <w:rPr>
          <w:sz w:val="20"/>
          <w:szCs w:val="20"/>
          <w:color w:val="auto"/>
        </w:rPr>
      </w:pPr>
    </w:p>
    <w:p>
      <w:pPr>
        <w:ind w:firstLine="8"/>
        <w:spacing w:after="0" w:line="235" w:lineRule="auto"/>
        <w:tabs>
          <w:tab w:leader="none" w:pos="127"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Certain of the exhibits and schedules to this Exhibit have been omited in accordance with Regulaton S-K Item 601(a)(5). The Company agrees to provide a copy of all omited exhibits and schedules to the SEC upon its request.</w:t>
      </w: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b w:val="1"/>
          <w:bCs w:val="1"/>
          <w:color w:val="auto"/>
        </w:rPr>
        <w:t>Item 16. Form 10-K Summary</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98" w:right="459" w:bottom="1440" w:gutter="0" w:footer="0" w:header="0"/>
        </w:sectPr>
      </w:pPr>
    </w:p>
    <w:bookmarkStart w:id="110" w:name="page111"/>
    <w:bookmarkEnd w:id="110"/>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13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105" w:lineRule="exact"/>
        <w:rPr>
          <w:sz w:val="20"/>
          <w:szCs w:val="20"/>
          <w:color w:val="auto"/>
        </w:rPr>
      </w:pPr>
    </w:p>
    <w:p>
      <w:pPr>
        <w:ind w:left="5560"/>
        <w:spacing w:after="0"/>
        <w:rPr>
          <w:sz w:val="20"/>
          <w:szCs w:val="20"/>
          <w:color w:val="auto"/>
        </w:rPr>
      </w:pPr>
      <w:r>
        <w:rPr>
          <w:rFonts w:ascii="Calibri" w:cs="Calibri" w:eastAsia="Calibri" w:hAnsi="Calibri"/>
          <w:sz w:val="18"/>
          <w:szCs w:val="18"/>
          <w:color w:val="auto"/>
        </w:rPr>
        <w:t>VIVID SEATS INC.</w:t>
      </w:r>
    </w:p>
    <w:p>
      <w:pPr>
        <w:spacing w:after="0" w:line="239" w:lineRule="exact"/>
        <w:rPr>
          <w:sz w:val="20"/>
          <w:szCs w:val="20"/>
          <w:color w:val="auto"/>
        </w:rPr>
      </w:pPr>
    </w:p>
    <w:tbl>
      <w:tblPr>
        <w:tblLayout w:type="fixed"/>
        <w:tblInd w:w="5560" w:type="dxa"/>
        <w:tblCellMar>
          <w:top w:w="0" w:type="dxa"/>
          <w:left w:w="0" w:type="dxa"/>
          <w:bottom w:w="0" w:type="dxa"/>
          <w:right w:w="0" w:type="dxa"/>
        </w:tblCellMar>
      </w:tblPr>
      <w:tr>
        <w:trPr>
          <w:trHeight w:val="220"/>
        </w:trPr>
        <w:tc>
          <w:tcPr>
            <w:tcW w:w="540" w:type="dxa"/>
            <w:vAlign w:val="bottom"/>
          </w:tcPr>
          <w:p>
            <w:pPr>
              <w:spacing w:after="0"/>
              <w:rPr>
                <w:sz w:val="20"/>
                <w:szCs w:val="20"/>
                <w:color w:val="auto"/>
              </w:rPr>
            </w:pPr>
            <w:r>
              <w:rPr>
                <w:rFonts w:ascii="Calibri" w:cs="Calibri" w:eastAsia="Calibri" w:hAnsi="Calibri"/>
                <w:sz w:val="18"/>
                <w:szCs w:val="18"/>
                <w:color w:val="auto"/>
              </w:rPr>
              <w:t>By:</w:t>
            </w:r>
          </w:p>
        </w:tc>
        <w:tc>
          <w:tcPr>
            <w:tcW w:w="5140" w:type="dxa"/>
            <w:vAlign w:val="bottom"/>
          </w:tcPr>
          <w:p>
            <w:pPr>
              <w:ind w:left="20"/>
              <w:spacing w:after="0"/>
              <w:rPr>
                <w:sz w:val="20"/>
                <w:szCs w:val="20"/>
                <w:color w:val="auto"/>
              </w:rPr>
            </w:pPr>
            <w:r>
              <w:rPr>
                <w:rFonts w:ascii="Calibri" w:cs="Calibri" w:eastAsia="Calibri" w:hAnsi="Calibri"/>
                <w:sz w:val="18"/>
                <w:szCs w:val="18"/>
                <w:color w:val="auto"/>
              </w:rPr>
              <w:t>/s/ Stanley Chia</w:t>
            </w:r>
          </w:p>
        </w:tc>
      </w:tr>
      <w:tr>
        <w:trPr>
          <w:trHeight w:val="37"/>
        </w:trPr>
        <w:tc>
          <w:tcPr>
            <w:tcW w:w="540" w:type="dxa"/>
            <w:vAlign w:val="bottom"/>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r>
      <w:tr>
        <w:trPr>
          <w:trHeight w:val="201"/>
        </w:trPr>
        <w:tc>
          <w:tcPr>
            <w:tcW w:w="540" w:type="dxa"/>
            <w:vAlign w:val="bottom"/>
          </w:tcPr>
          <w:p>
            <w:pPr>
              <w:spacing w:after="0"/>
              <w:rPr>
                <w:sz w:val="17"/>
                <w:szCs w:val="17"/>
                <w:color w:val="auto"/>
              </w:rPr>
            </w:pPr>
          </w:p>
        </w:tc>
        <w:tc>
          <w:tcPr>
            <w:tcW w:w="5140" w:type="dxa"/>
            <w:vAlign w:val="bottom"/>
          </w:tcPr>
          <w:p>
            <w:pPr>
              <w:ind w:left="20"/>
              <w:spacing w:after="0" w:line="201" w:lineRule="exact"/>
              <w:rPr>
                <w:sz w:val="20"/>
                <w:szCs w:val="20"/>
                <w:color w:val="auto"/>
              </w:rPr>
            </w:pPr>
            <w:r>
              <w:rPr>
                <w:rFonts w:ascii="Calibri" w:cs="Calibri" w:eastAsia="Calibri" w:hAnsi="Calibri"/>
                <w:sz w:val="18"/>
                <w:szCs w:val="18"/>
                <w:color w:val="auto"/>
              </w:rPr>
              <w:t>Stanley Chia</w:t>
            </w:r>
          </w:p>
        </w:tc>
      </w:tr>
      <w:tr>
        <w:trPr>
          <w:trHeight w:val="215"/>
        </w:trPr>
        <w:tc>
          <w:tcPr>
            <w:tcW w:w="540" w:type="dxa"/>
            <w:vAlign w:val="bottom"/>
          </w:tcPr>
          <w:p>
            <w:pPr>
              <w:spacing w:after="0"/>
              <w:rPr>
                <w:sz w:val="18"/>
                <w:szCs w:val="18"/>
                <w:color w:val="auto"/>
              </w:rPr>
            </w:pPr>
          </w:p>
        </w:tc>
        <w:tc>
          <w:tcPr>
            <w:tcW w:w="5140" w:type="dxa"/>
            <w:vAlign w:val="bottom"/>
          </w:tcPr>
          <w:p>
            <w:pPr>
              <w:ind w:left="20"/>
              <w:spacing w:after="0" w:line="215" w:lineRule="exact"/>
              <w:rPr>
                <w:sz w:val="20"/>
                <w:szCs w:val="20"/>
                <w:color w:val="auto"/>
              </w:rPr>
            </w:pPr>
            <w:r>
              <w:rPr>
                <w:rFonts w:ascii="Calibri" w:cs="Calibri" w:eastAsia="Calibri" w:hAnsi="Calibri"/>
                <w:sz w:val="18"/>
                <w:szCs w:val="18"/>
                <w:color w:val="auto"/>
              </w:rPr>
              <w:t>Chief Executve Ofcer</w:t>
            </w:r>
          </w:p>
        </w:tc>
      </w:tr>
      <w:tr>
        <w:trPr>
          <w:trHeight w:val="229"/>
        </w:trPr>
        <w:tc>
          <w:tcPr>
            <w:tcW w:w="54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Calibri" w:cs="Calibri" w:eastAsia="Calibri" w:hAnsi="Calibri"/>
                <w:sz w:val="18"/>
                <w:szCs w:val="18"/>
                <w:color w:val="auto"/>
              </w:rPr>
              <w:t>(principal executve ofcer)</w:t>
            </w:r>
          </w:p>
        </w:tc>
      </w:tr>
      <w:tr>
        <w:trPr>
          <w:trHeight w:val="230"/>
        </w:trPr>
        <w:tc>
          <w:tcPr>
            <w:tcW w:w="540" w:type="dxa"/>
            <w:vAlign w:val="bottom"/>
          </w:tcPr>
          <w:p>
            <w:pPr>
              <w:spacing w:after="0"/>
              <w:rPr>
                <w:sz w:val="20"/>
                <w:szCs w:val="20"/>
                <w:color w:val="auto"/>
              </w:rPr>
            </w:pPr>
            <w:r>
              <w:rPr>
                <w:rFonts w:ascii="Calibri" w:cs="Calibri" w:eastAsia="Calibri" w:hAnsi="Calibri"/>
                <w:sz w:val="18"/>
                <w:szCs w:val="18"/>
                <w:color w:val="auto"/>
              </w:rPr>
              <w:t>Date:</w:t>
            </w:r>
          </w:p>
        </w:tc>
        <w:tc>
          <w:tcPr>
            <w:tcW w:w="5140" w:type="dxa"/>
            <w:vAlign w:val="bottom"/>
          </w:tcPr>
          <w:p>
            <w:pPr>
              <w:ind w:left="20"/>
              <w:spacing w:after="0"/>
              <w:rPr>
                <w:sz w:val="20"/>
                <w:szCs w:val="20"/>
                <w:color w:val="auto"/>
              </w:rPr>
            </w:pPr>
            <w:r>
              <w:rPr>
                <w:rFonts w:ascii="Calibri" w:cs="Calibri" w:eastAsia="Calibri" w:hAnsi="Calibri"/>
                <w:sz w:val="18"/>
                <w:szCs w:val="18"/>
                <w:color w:val="auto"/>
              </w:rPr>
              <w:t>March 7, 2023</w:t>
            </w:r>
          </w:p>
        </w:tc>
      </w:tr>
    </w:tbl>
    <w:p>
      <w:pPr>
        <w:spacing w:after="0" w:line="1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Power of Atorney</w:t>
      </w:r>
    </w:p>
    <w:p>
      <w:pPr>
        <w:spacing w:after="0" w:line="15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this report has been signed below by the following persons on behalf of the registrant and in the capacites and on the dates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Signature</w:t>
            </w:r>
          </w:p>
        </w:tc>
        <w:tc>
          <w:tcPr>
            <w:tcW w:w="1520" w:type="dxa"/>
            <w:vAlign w:val="bottom"/>
          </w:tcPr>
          <w:p>
            <w:pPr>
              <w:spacing w:after="0"/>
              <w:rPr>
                <w:sz w:val="19"/>
                <w:szCs w:val="19"/>
                <w:color w:val="auto"/>
              </w:rPr>
            </w:pPr>
          </w:p>
        </w:tc>
        <w:tc>
          <w:tcPr>
            <w:tcW w:w="3980" w:type="dxa"/>
            <w:vAlign w:val="bottom"/>
            <w:gridSpan w:val="3"/>
          </w:tcPr>
          <w:p>
            <w:pPr>
              <w:jc w:val="center"/>
              <w:ind w:right="220"/>
              <w:spacing w:after="0"/>
              <w:rPr>
                <w:sz w:val="20"/>
                <w:szCs w:val="20"/>
                <w:color w:val="auto"/>
              </w:rPr>
            </w:pPr>
            <w:r>
              <w:rPr>
                <w:rFonts w:ascii="Calibri" w:cs="Calibri" w:eastAsia="Calibri" w:hAnsi="Calibri"/>
                <w:sz w:val="18"/>
                <w:szCs w:val="18"/>
                <w:b w:val="1"/>
                <w:bCs w:val="1"/>
                <w:color w:val="auto"/>
                <w:w w:val="96"/>
              </w:rPr>
              <w:t>Title</w:t>
            </w:r>
          </w:p>
        </w:tc>
        <w:tc>
          <w:tcPr>
            <w:tcW w:w="1460" w:type="dxa"/>
            <w:vAlign w:val="bottom"/>
          </w:tcPr>
          <w:p>
            <w:pPr>
              <w:spacing w:after="0"/>
              <w:rPr>
                <w:sz w:val="19"/>
                <w:szCs w:val="19"/>
                <w:color w:val="auto"/>
              </w:rPr>
            </w:pPr>
          </w:p>
        </w:tc>
        <w:tc>
          <w:tcPr>
            <w:tcW w:w="2040" w:type="dxa"/>
            <w:vAlign w:val="bottom"/>
            <w:gridSpan w:val="2"/>
          </w:tcPr>
          <w:p>
            <w:pPr>
              <w:jc w:val="center"/>
              <w:ind w:right="1700"/>
              <w:spacing w:after="0"/>
              <w:rPr>
                <w:sz w:val="20"/>
                <w:szCs w:val="20"/>
                <w:color w:val="auto"/>
              </w:rPr>
            </w:pPr>
            <w:r>
              <w:rPr>
                <w:rFonts w:ascii="Calibri" w:cs="Calibri" w:eastAsia="Calibri" w:hAnsi="Calibri"/>
                <w:sz w:val="18"/>
                <w:szCs w:val="18"/>
                <w:b w:val="1"/>
                <w:bCs w:val="1"/>
                <w:color w:val="auto"/>
                <w:w w:val="95"/>
              </w:rPr>
              <w:t>Date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760" w:type="dxa"/>
            <w:vAlign w:val="bottom"/>
            <w:gridSpan w:val="3"/>
          </w:tcPr>
          <w:p>
            <w:pPr>
              <w:jc w:val="center"/>
              <w:spacing w:after="0"/>
              <w:rPr>
                <w:sz w:val="20"/>
                <w:szCs w:val="20"/>
                <w:color w:val="auto"/>
              </w:rPr>
            </w:pPr>
            <w:r>
              <w:rPr>
                <w:rFonts w:ascii="Calibri" w:cs="Calibri" w:eastAsia="Calibri" w:hAnsi="Calibri"/>
                <w:sz w:val="18"/>
                <w:szCs w:val="18"/>
                <w:color w:val="auto"/>
                <w:w w:val="96"/>
              </w:rPr>
              <w:t>/s/ Stanley Chia</w:t>
            </w:r>
          </w:p>
        </w:tc>
        <w:tc>
          <w:tcPr>
            <w:tcW w:w="3980" w:type="dxa"/>
            <w:vAlign w:val="bottom"/>
            <w:gridSpan w:val="3"/>
          </w:tcPr>
          <w:p>
            <w:pPr>
              <w:jc w:val="center"/>
              <w:ind w:right="280"/>
              <w:spacing w:after="0"/>
              <w:rPr>
                <w:sz w:val="20"/>
                <w:szCs w:val="20"/>
                <w:color w:val="auto"/>
              </w:rPr>
            </w:pPr>
            <w:r>
              <w:rPr>
                <w:rFonts w:ascii="Calibri" w:cs="Calibri" w:eastAsia="Calibri" w:hAnsi="Calibri"/>
                <w:sz w:val="18"/>
                <w:szCs w:val="18"/>
                <w:color w:val="auto"/>
                <w:w w:val="99"/>
              </w:rPr>
              <w:t>Chief Executve and Director</w:t>
            </w:r>
          </w:p>
        </w:tc>
        <w:tc>
          <w:tcPr>
            <w:tcW w:w="350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March 7, 2023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980" w:type="dxa"/>
            <w:vAlign w:val="bottom"/>
            <w:gridSpan w:val="3"/>
            <w:vMerge w:val="restart"/>
          </w:tcPr>
          <w:p>
            <w:pPr>
              <w:jc w:val="center"/>
              <w:ind w:right="240"/>
              <w:spacing w:after="0"/>
              <w:rPr>
                <w:sz w:val="20"/>
                <w:szCs w:val="20"/>
                <w:color w:val="auto"/>
              </w:rPr>
            </w:pPr>
            <w:r>
              <w:rPr>
                <w:rFonts w:ascii="Calibri" w:cs="Calibri" w:eastAsia="Calibri" w:hAnsi="Calibri"/>
                <w:sz w:val="18"/>
                <w:szCs w:val="18"/>
                <w:color w:val="auto"/>
              </w:rPr>
              <w:t>(principal executve ofcer)</w:t>
            </w:r>
          </w:p>
        </w:tc>
        <w:tc>
          <w:tcPr>
            <w:tcW w:w="1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6"/>
              </w:rPr>
              <w:t>Stanley Chia</w:t>
            </w:r>
          </w:p>
        </w:tc>
        <w:tc>
          <w:tcPr>
            <w:tcW w:w="3980" w:type="dxa"/>
            <w:vAlign w:val="bottom"/>
            <w:gridSpan w:val="3"/>
            <w:vMerge w:val="continue"/>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760" w:type="dxa"/>
            <w:vAlign w:val="bottom"/>
            <w:gridSpan w:val="3"/>
          </w:tcPr>
          <w:p>
            <w:pPr>
              <w:jc w:val="center"/>
              <w:spacing w:after="0"/>
              <w:rPr>
                <w:sz w:val="20"/>
                <w:szCs w:val="20"/>
                <w:color w:val="auto"/>
              </w:rPr>
            </w:pPr>
            <w:r>
              <w:rPr>
                <w:rFonts w:ascii="Calibri" w:cs="Calibri" w:eastAsia="Calibri" w:hAnsi="Calibri"/>
                <w:sz w:val="18"/>
                <w:szCs w:val="18"/>
                <w:color w:val="auto"/>
                <w:w w:val="96"/>
              </w:rPr>
              <w:t>/s/ Lawrence Fey</w:t>
            </w:r>
          </w:p>
        </w:tc>
        <w:tc>
          <w:tcPr>
            <w:tcW w:w="3980" w:type="dxa"/>
            <w:vAlign w:val="bottom"/>
            <w:gridSpan w:val="3"/>
          </w:tcPr>
          <w:p>
            <w:pPr>
              <w:jc w:val="center"/>
              <w:ind w:right="280"/>
              <w:spacing w:after="0"/>
              <w:rPr>
                <w:sz w:val="20"/>
                <w:szCs w:val="20"/>
                <w:color w:val="auto"/>
              </w:rPr>
            </w:pPr>
            <w:r>
              <w:rPr>
                <w:rFonts w:ascii="Calibri" w:cs="Calibri" w:eastAsia="Calibri" w:hAnsi="Calibri"/>
                <w:sz w:val="18"/>
                <w:szCs w:val="18"/>
                <w:color w:val="auto"/>
              </w:rPr>
              <w:t>Chief Financial Ofcer</w:t>
            </w:r>
          </w:p>
        </w:tc>
        <w:tc>
          <w:tcPr>
            <w:tcW w:w="350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March 7, 2023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980" w:type="dxa"/>
            <w:vAlign w:val="bottom"/>
            <w:gridSpan w:val="3"/>
            <w:vMerge w:val="restart"/>
          </w:tcPr>
          <w:p>
            <w:pPr>
              <w:jc w:val="center"/>
              <w:ind w:right="240"/>
              <w:spacing w:after="0"/>
              <w:rPr>
                <w:sz w:val="20"/>
                <w:szCs w:val="20"/>
                <w:color w:val="auto"/>
              </w:rPr>
            </w:pPr>
            <w:r>
              <w:rPr>
                <w:rFonts w:ascii="Calibri" w:cs="Calibri" w:eastAsia="Calibri" w:hAnsi="Calibri"/>
                <w:sz w:val="18"/>
                <w:szCs w:val="18"/>
                <w:color w:val="auto"/>
              </w:rPr>
              <w:t>(principal fnancial ofcer)</w:t>
            </w:r>
          </w:p>
        </w:tc>
        <w:tc>
          <w:tcPr>
            <w:tcW w:w="1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6"/>
              </w:rPr>
              <w:t>Lawrence Fey</w:t>
            </w:r>
          </w:p>
        </w:tc>
        <w:tc>
          <w:tcPr>
            <w:tcW w:w="3980" w:type="dxa"/>
            <w:vAlign w:val="bottom"/>
            <w:gridSpan w:val="3"/>
            <w:vMerge w:val="continue"/>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760" w:type="dxa"/>
            <w:vAlign w:val="bottom"/>
            <w:gridSpan w:val="3"/>
          </w:tcPr>
          <w:p>
            <w:pPr>
              <w:jc w:val="center"/>
              <w:spacing w:after="0"/>
              <w:rPr>
                <w:sz w:val="20"/>
                <w:szCs w:val="20"/>
                <w:color w:val="auto"/>
              </w:rPr>
            </w:pPr>
            <w:r>
              <w:rPr>
                <w:rFonts w:ascii="Calibri" w:cs="Calibri" w:eastAsia="Calibri" w:hAnsi="Calibri"/>
                <w:sz w:val="18"/>
                <w:szCs w:val="18"/>
                <w:color w:val="auto"/>
                <w:w w:val="96"/>
              </w:rPr>
              <w:t>/s/ Edward Pickus</w:t>
            </w:r>
          </w:p>
        </w:tc>
        <w:tc>
          <w:tcPr>
            <w:tcW w:w="3980" w:type="dxa"/>
            <w:vAlign w:val="bottom"/>
            <w:gridSpan w:val="3"/>
          </w:tcPr>
          <w:p>
            <w:pPr>
              <w:jc w:val="center"/>
              <w:ind w:right="260"/>
              <w:spacing w:after="0"/>
              <w:rPr>
                <w:sz w:val="20"/>
                <w:szCs w:val="20"/>
                <w:color w:val="auto"/>
              </w:rPr>
            </w:pPr>
            <w:r>
              <w:rPr>
                <w:rFonts w:ascii="Calibri" w:cs="Calibri" w:eastAsia="Calibri" w:hAnsi="Calibri"/>
                <w:sz w:val="18"/>
                <w:szCs w:val="18"/>
                <w:color w:val="auto"/>
              </w:rPr>
              <w:t>Chief Accountng Ofcer</w:t>
            </w:r>
          </w:p>
        </w:tc>
        <w:tc>
          <w:tcPr>
            <w:tcW w:w="350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March 7, 2023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980" w:type="dxa"/>
            <w:vAlign w:val="bottom"/>
            <w:gridSpan w:val="3"/>
            <w:vMerge w:val="restart"/>
          </w:tcPr>
          <w:p>
            <w:pPr>
              <w:jc w:val="center"/>
              <w:ind w:right="260"/>
              <w:spacing w:after="0"/>
              <w:rPr>
                <w:sz w:val="20"/>
                <w:szCs w:val="20"/>
                <w:color w:val="auto"/>
              </w:rPr>
            </w:pPr>
            <w:r>
              <w:rPr>
                <w:rFonts w:ascii="Calibri" w:cs="Calibri" w:eastAsia="Calibri" w:hAnsi="Calibri"/>
                <w:sz w:val="18"/>
                <w:szCs w:val="18"/>
                <w:color w:val="auto"/>
              </w:rPr>
              <w:t>(principal accountng ofcer)</w:t>
            </w:r>
          </w:p>
        </w:tc>
        <w:tc>
          <w:tcPr>
            <w:tcW w:w="1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6"/>
              </w:rPr>
              <w:t>Edward Pickus</w:t>
            </w:r>
          </w:p>
        </w:tc>
        <w:tc>
          <w:tcPr>
            <w:tcW w:w="3980" w:type="dxa"/>
            <w:vAlign w:val="bottom"/>
            <w:gridSpan w:val="3"/>
            <w:vMerge w:val="continue"/>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760" w:type="dxa"/>
            <w:vAlign w:val="bottom"/>
            <w:gridSpan w:val="3"/>
          </w:tcPr>
          <w:p>
            <w:pPr>
              <w:jc w:val="center"/>
              <w:spacing w:after="0"/>
              <w:rPr>
                <w:sz w:val="20"/>
                <w:szCs w:val="20"/>
                <w:color w:val="auto"/>
              </w:rPr>
            </w:pPr>
            <w:r>
              <w:rPr>
                <w:rFonts w:ascii="Calibri" w:cs="Calibri" w:eastAsia="Calibri" w:hAnsi="Calibri"/>
                <w:sz w:val="18"/>
                <w:szCs w:val="18"/>
                <w:color w:val="auto"/>
                <w:w w:val="96"/>
              </w:rPr>
              <w:t>/s/ Mark Anderson</w:t>
            </w:r>
          </w:p>
        </w:tc>
        <w:tc>
          <w:tcPr>
            <w:tcW w:w="398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Director</w:t>
            </w:r>
          </w:p>
        </w:tc>
        <w:tc>
          <w:tcPr>
            <w:tcW w:w="350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March 7, 2023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7"/>
              </w:rPr>
              <w:t>Mark Anderson</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760" w:type="dxa"/>
            <w:vAlign w:val="bottom"/>
            <w:gridSpan w:val="3"/>
          </w:tcPr>
          <w:p>
            <w:pPr>
              <w:jc w:val="center"/>
              <w:spacing w:after="0"/>
              <w:rPr>
                <w:sz w:val="20"/>
                <w:szCs w:val="20"/>
                <w:color w:val="auto"/>
              </w:rPr>
            </w:pPr>
            <w:r>
              <w:rPr>
                <w:rFonts w:ascii="Calibri" w:cs="Calibri" w:eastAsia="Calibri" w:hAnsi="Calibri"/>
                <w:sz w:val="18"/>
                <w:szCs w:val="18"/>
                <w:color w:val="auto"/>
                <w:w w:val="96"/>
              </w:rPr>
              <w:t>/s/ Todd Boehly</w:t>
            </w:r>
          </w:p>
        </w:tc>
        <w:tc>
          <w:tcPr>
            <w:tcW w:w="398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Director</w:t>
            </w:r>
          </w:p>
        </w:tc>
        <w:tc>
          <w:tcPr>
            <w:tcW w:w="350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March 7, 2023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6"/>
              </w:rPr>
              <w:t>Todd Boehly</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760" w:type="dxa"/>
            <w:vAlign w:val="bottom"/>
            <w:gridSpan w:val="3"/>
          </w:tcPr>
          <w:p>
            <w:pPr>
              <w:jc w:val="center"/>
              <w:spacing w:after="0"/>
              <w:rPr>
                <w:sz w:val="20"/>
                <w:szCs w:val="20"/>
                <w:color w:val="auto"/>
              </w:rPr>
            </w:pPr>
            <w:r>
              <w:rPr>
                <w:rFonts w:ascii="Calibri" w:cs="Calibri" w:eastAsia="Calibri" w:hAnsi="Calibri"/>
                <w:sz w:val="18"/>
                <w:szCs w:val="18"/>
                <w:color w:val="auto"/>
                <w:w w:val="97"/>
              </w:rPr>
              <w:t>/s/ Jane DeFlorio</w:t>
            </w:r>
          </w:p>
        </w:tc>
        <w:tc>
          <w:tcPr>
            <w:tcW w:w="398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Director</w:t>
            </w:r>
          </w:p>
        </w:tc>
        <w:tc>
          <w:tcPr>
            <w:tcW w:w="350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March 7, 2023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7"/>
              </w:rPr>
              <w:t>Jane DeFlorio</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760" w:type="dxa"/>
            <w:vAlign w:val="bottom"/>
            <w:gridSpan w:val="3"/>
          </w:tcPr>
          <w:p>
            <w:pPr>
              <w:jc w:val="center"/>
              <w:spacing w:after="0"/>
              <w:rPr>
                <w:sz w:val="20"/>
                <w:szCs w:val="20"/>
                <w:color w:val="auto"/>
              </w:rPr>
            </w:pPr>
            <w:r>
              <w:rPr>
                <w:rFonts w:ascii="Calibri" w:cs="Calibri" w:eastAsia="Calibri" w:hAnsi="Calibri"/>
                <w:sz w:val="18"/>
                <w:szCs w:val="18"/>
                <w:color w:val="auto"/>
                <w:w w:val="96"/>
              </w:rPr>
              <w:t>/s/ Craig Dixon</w:t>
            </w:r>
          </w:p>
        </w:tc>
        <w:tc>
          <w:tcPr>
            <w:tcW w:w="398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Director</w:t>
            </w:r>
          </w:p>
        </w:tc>
        <w:tc>
          <w:tcPr>
            <w:tcW w:w="350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March 7, 2023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6"/>
              </w:rPr>
              <w:t>Craig Dixon</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760" w:type="dxa"/>
            <w:vAlign w:val="bottom"/>
            <w:gridSpan w:val="3"/>
          </w:tcPr>
          <w:p>
            <w:pPr>
              <w:jc w:val="center"/>
              <w:spacing w:after="0"/>
              <w:rPr>
                <w:sz w:val="20"/>
                <w:szCs w:val="20"/>
                <w:color w:val="auto"/>
              </w:rPr>
            </w:pPr>
            <w:r>
              <w:rPr>
                <w:rFonts w:ascii="Calibri" w:cs="Calibri" w:eastAsia="Calibri" w:hAnsi="Calibri"/>
                <w:sz w:val="18"/>
                <w:szCs w:val="18"/>
                <w:color w:val="auto"/>
                <w:w w:val="97"/>
              </w:rPr>
              <w:t>/s/ David Donnini</w:t>
            </w:r>
          </w:p>
        </w:tc>
        <w:tc>
          <w:tcPr>
            <w:tcW w:w="398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Director</w:t>
            </w:r>
          </w:p>
        </w:tc>
        <w:tc>
          <w:tcPr>
            <w:tcW w:w="350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March 7, 2023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7"/>
              </w:rPr>
              <w:t>David Donnini</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760" w:type="dxa"/>
            <w:vAlign w:val="bottom"/>
            <w:gridSpan w:val="3"/>
          </w:tcPr>
          <w:p>
            <w:pPr>
              <w:jc w:val="center"/>
              <w:spacing w:after="0"/>
              <w:rPr>
                <w:sz w:val="20"/>
                <w:szCs w:val="20"/>
                <w:color w:val="auto"/>
              </w:rPr>
            </w:pPr>
            <w:r>
              <w:rPr>
                <w:rFonts w:ascii="Calibri" w:cs="Calibri" w:eastAsia="Calibri" w:hAnsi="Calibri"/>
                <w:sz w:val="18"/>
                <w:szCs w:val="18"/>
                <w:color w:val="auto"/>
                <w:w w:val="96"/>
              </w:rPr>
              <w:t>/s/ Tom Ehrhart</w:t>
            </w:r>
          </w:p>
        </w:tc>
        <w:tc>
          <w:tcPr>
            <w:tcW w:w="398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Director</w:t>
            </w:r>
          </w:p>
        </w:tc>
        <w:tc>
          <w:tcPr>
            <w:tcW w:w="350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March 7, 2023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6"/>
              </w:rPr>
              <w:t>Tom Ehrhart</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760" w:type="dxa"/>
            <w:vAlign w:val="bottom"/>
            <w:gridSpan w:val="3"/>
          </w:tcPr>
          <w:p>
            <w:pPr>
              <w:jc w:val="center"/>
              <w:spacing w:after="0"/>
              <w:rPr>
                <w:sz w:val="20"/>
                <w:szCs w:val="20"/>
                <w:color w:val="auto"/>
              </w:rPr>
            </w:pPr>
            <w:r>
              <w:rPr>
                <w:rFonts w:ascii="Calibri" w:cs="Calibri" w:eastAsia="Calibri" w:hAnsi="Calibri"/>
                <w:sz w:val="18"/>
                <w:szCs w:val="18"/>
                <w:color w:val="auto"/>
                <w:w w:val="96"/>
              </w:rPr>
              <w:t>/s/ Julie Masino</w:t>
            </w:r>
          </w:p>
        </w:tc>
        <w:tc>
          <w:tcPr>
            <w:tcW w:w="398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Director</w:t>
            </w:r>
          </w:p>
        </w:tc>
        <w:tc>
          <w:tcPr>
            <w:tcW w:w="350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March 7, 2023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7"/>
              </w:rPr>
              <w:t>Julie Masino</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760" w:type="dxa"/>
            <w:vAlign w:val="bottom"/>
            <w:gridSpan w:val="3"/>
          </w:tcPr>
          <w:p>
            <w:pPr>
              <w:jc w:val="center"/>
              <w:spacing w:after="0"/>
              <w:rPr>
                <w:sz w:val="20"/>
                <w:szCs w:val="20"/>
                <w:color w:val="auto"/>
              </w:rPr>
            </w:pPr>
            <w:r>
              <w:rPr>
                <w:rFonts w:ascii="Calibri" w:cs="Calibri" w:eastAsia="Calibri" w:hAnsi="Calibri"/>
                <w:sz w:val="18"/>
                <w:szCs w:val="18"/>
                <w:color w:val="auto"/>
                <w:w w:val="99"/>
              </w:rPr>
              <w:t>/s/ Martn Taylor</w:t>
            </w:r>
          </w:p>
        </w:tc>
        <w:tc>
          <w:tcPr>
            <w:tcW w:w="398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Director</w:t>
            </w:r>
          </w:p>
        </w:tc>
        <w:tc>
          <w:tcPr>
            <w:tcW w:w="350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6"/>
              </w:rPr>
              <w:t>March 7, 2023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6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rPr>
              <w:t>Martn Taylor</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40" w:type="dxa"/>
            <w:vAlign w:val="bottom"/>
            <w:gridSpan w:val="2"/>
          </w:tcPr>
          <w:p>
            <w:pPr>
              <w:jc w:val="center"/>
              <w:ind w:left="1610"/>
              <w:spacing w:after="0"/>
              <w:rPr>
                <w:sz w:val="20"/>
                <w:szCs w:val="20"/>
                <w:color w:val="auto"/>
              </w:rPr>
            </w:pPr>
            <w:r>
              <w:rPr>
                <w:rFonts w:ascii="Calibri" w:cs="Calibri" w:eastAsia="Calibri" w:hAnsi="Calibri"/>
                <w:sz w:val="18"/>
                <w:szCs w:val="18"/>
                <w:color w:val="auto"/>
                <w:w w:val="94"/>
              </w:rPr>
              <w:t>108</w:t>
            </w:r>
          </w:p>
        </w:tc>
        <w:tc>
          <w:tcPr>
            <w:tcW w:w="1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5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7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94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11" w:name="page112"/>
    <w:bookmarkEnd w:id="111"/>
    <w:p>
      <w:pPr>
        <w:jc w:val="right"/>
        <w:spacing w:after="0"/>
        <w:rPr>
          <w:sz w:val="20"/>
          <w:szCs w:val="20"/>
          <w:color w:val="auto"/>
        </w:rPr>
      </w:pPr>
      <w:r>
        <w:rPr>
          <w:rFonts w:ascii="Calibri" w:cs="Calibri" w:eastAsia="Calibri" w:hAnsi="Calibri"/>
          <w:sz w:val="18"/>
          <w:szCs w:val="18"/>
          <w:b w:val="1"/>
          <w:bCs w:val="1"/>
          <w:color w:val="auto"/>
        </w:rPr>
        <w:t>Exhibit 10.38</w:t>
      </w: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HOYA INTERMEDIATE, LLC SECOND 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October 18, 2021</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UNITS ISSUED PURSUANT TO THIS SECOND AMENDED AND RESTATED LIMITED LIABILITY COMPANY AGREEMENT HAVE NOT BEEN REGISTERED UNDER THE SECURITIES ACT OF 1933, AS AMENDED, OR UNDER ANY OTHER APPLICABLE SECURITIES LAWS. SUCH UNITS MAY NOT BE SOLD, TRANSFERRED, ASSIGNED, PLEDGED OR OTHERWISE DISPOSED OF AT ANY TIME WITHOUT EFFECTIVE REGISTRATION UNDER SUCH ACT AND LAWS OR AN EXEMPTION THEREFROM, AND COMPLIANCE WITH THE OTHER RESTRICTIONS ON TRANSFERABILITY SET FORTH HEREIN.</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UNITS MAY ALSO BE SUBJECT TO ADDITIONAL RESTRICTIONS ON TRANSFER SET FORTH HEREIN AND/OR IN A SEPARATE AGREEMENT WITH THE INITIAL HOLDER OF SUCH UNITS. A COPY OF SUCH AGREEMENT MAY BE OBTAINED BY THE HOLDER OF SUCH UNITS UPON WRITTEN REQUEST TO THE COMPANY AND WITHOUT CHARGE.</w:t>
      </w:r>
    </w:p>
    <w:p>
      <w:pPr>
        <w:ind w:left="10880"/>
        <w:spacing w:after="0" w:line="206" w:lineRule="auto"/>
        <w:rPr>
          <w:sz w:val="20"/>
          <w:szCs w:val="20"/>
          <w:color w:val="auto"/>
        </w:rPr>
      </w:pPr>
      <w:r>
        <w:rPr>
          <w:rFonts w:ascii="Calibri" w:cs="Calibri" w:eastAsia="Calibri" w:hAnsi="Calibri"/>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38735</wp:posOffset>
            </wp:positionV>
            <wp:extent cx="28321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1">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262" w:lineRule="exact"/>
        <w:rPr>
          <w:sz w:val="20"/>
          <w:szCs w:val="20"/>
          <w:color w:val="auto"/>
        </w:rPr>
      </w:pPr>
    </w:p>
    <w:p>
      <w:pPr>
        <w:ind w:left="20"/>
        <w:spacing w:after="0"/>
        <w:tabs>
          <w:tab w:leader="dot" w:pos="10780" w:val="left"/>
        </w:tabs>
        <w:rPr>
          <w:sz w:val="20"/>
          <w:szCs w:val="20"/>
          <w:color w:val="auto"/>
        </w:rPr>
      </w:pPr>
      <w:r>
        <w:rPr>
          <w:rFonts w:ascii="Times New Roman" w:cs="Times New Roman" w:eastAsia="Times New Roman" w:hAnsi="Times New Roman"/>
          <w:sz w:val="18"/>
          <w:szCs w:val="18"/>
          <w:b w:val="1"/>
          <w:bCs w:val="1"/>
          <w:u w:val="single" w:color="auto"/>
          <w:color w:val="0000FF"/>
        </w:rPr>
        <w:t>ARTICLE I DEFINITIONS</w:t>
      </w:r>
      <w:r>
        <w:rPr>
          <w:sz w:val="20"/>
          <w:szCs w:val="20"/>
          <w:color w:val="auto"/>
        </w:rPr>
        <w:tab/>
      </w:r>
      <w:r>
        <w:rPr>
          <w:rFonts w:ascii="Times New Roman" w:cs="Times New Roman" w:eastAsia="Times New Roman" w:hAnsi="Times New Roman"/>
          <w:sz w:val="18"/>
          <w:szCs w:val="18"/>
          <w:color w:val="auto"/>
        </w:rPr>
        <w:t>3</w:t>
      </w:r>
    </w:p>
    <w:p>
      <w:pPr>
        <w:spacing w:after="0" w:line="31" w:lineRule="exact"/>
        <w:rPr>
          <w:sz w:val="20"/>
          <w:szCs w:val="20"/>
          <w:color w:val="auto"/>
        </w:rPr>
      </w:pPr>
    </w:p>
    <w:p>
      <w:pPr>
        <w:ind w:left="20"/>
        <w:spacing w:after="0"/>
        <w:tabs>
          <w:tab w:leader="dot" w:pos="10780" w:val="left"/>
        </w:tabs>
        <w:rPr>
          <w:sz w:val="20"/>
          <w:szCs w:val="20"/>
          <w:color w:val="auto"/>
        </w:rPr>
      </w:pPr>
      <w:r>
        <w:rPr>
          <w:rFonts w:ascii="Times New Roman" w:cs="Times New Roman" w:eastAsia="Times New Roman" w:hAnsi="Times New Roman"/>
          <w:sz w:val="18"/>
          <w:szCs w:val="18"/>
          <w:b w:val="1"/>
          <w:bCs w:val="1"/>
          <w:u w:val="single" w:color="auto"/>
          <w:color w:val="0000FF"/>
        </w:rPr>
        <w:t>ARTICLE II ORGANIZATIONAL MATTERS</w:t>
      </w:r>
      <w:r>
        <w:rPr>
          <w:sz w:val="20"/>
          <w:szCs w:val="20"/>
          <w:color w:val="auto"/>
        </w:rPr>
        <w:tab/>
      </w:r>
      <w:r>
        <w:rPr>
          <w:rFonts w:ascii="Times New Roman" w:cs="Times New Roman" w:eastAsia="Times New Roman" w:hAnsi="Times New Roman"/>
          <w:sz w:val="18"/>
          <w:szCs w:val="18"/>
          <w:color w:val="auto"/>
        </w:rPr>
        <w:t>11</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2.1</w:t>
        <w:tab/>
        <w:t>Formation of LLC; Continuation</w:t>
      </w:r>
      <w:r>
        <w:rPr>
          <w:sz w:val="20"/>
          <w:szCs w:val="20"/>
          <w:color w:val="auto"/>
        </w:rPr>
        <w:tab/>
      </w:r>
      <w:r>
        <w:rPr>
          <w:rFonts w:ascii="Times New Roman" w:cs="Times New Roman" w:eastAsia="Times New Roman" w:hAnsi="Times New Roman"/>
          <w:sz w:val="18"/>
          <w:szCs w:val="18"/>
          <w:color w:val="auto"/>
        </w:rPr>
        <w:t>11</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2.2</w:t>
        <w:tab/>
        <w:t>Limited Liability Company Agreement</w:t>
      </w:r>
      <w:r>
        <w:rPr>
          <w:sz w:val="20"/>
          <w:szCs w:val="20"/>
          <w:color w:val="auto"/>
        </w:rPr>
        <w:tab/>
      </w:r>
      <w:r>
        <w:rPr>
          <w:rFonts w:ascii="Times New Roman" w:cs="Times New Roman" w:eastAsia="Times New Roman" w:hAnsi="Times New Roman"/>
          <w:sz w:val="18"/>
          <w:szCs w:val="18"/>
          <w:color w:val="auto"/>
        </w:rPr>
        <w:t>11</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2.3</w:t>
        <w:tab/>
        <w:t>Name</w:t>
      </w:r>
      <w:r>
        <w:rPr>
          <w:sz w:val="20"/>
          <w:szCs w:val="20"/>
          <w:color w:val="auto"/>
        </w:rPr>
        <w:tab/>
      </w:r>
      <w:r>
        <w:rPr>
          <w:rFonts w:ascii="Times New Roman" w:cs="Times New Roman" w:eastAsia="Times New Roman" w:hAnsi="Times New Roman"/>
          <w:sz w:val="18"/>
          <w:szCs w:val="18"/>
          <w:color w:val="auto"/>
        </w:rPr>
        <w:t>11</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2.4</w:t>
        <w:tab/>
        <w:t>Purpose</w:t>
      </w:r>
      <w:r>
        <w:rPr>
          <w:sz w:val="20"/>
          <w:szCs w:val="20"/>
          <w:color w:val="auto"/>
        </w:rPr>
        <w:tab/>
      </w:r>
      <w:r>
        <w:rPr>
          <w:rFonts w:ascii="Times New Roman" w:cs="Times New Roman" w:eastAsia="Times New Roman" w:hAnsi="Times New Roman"/>
          <w:sz w:val="18"/>
          <w:szCs w:val="18"/>
          <w:color w:val="auto"/>
        </w:rPr>
        <w:t>12</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2.5</w:t>
        <w:tab/>
        <w:t>Principal Office; Registered Office</w:t>
      </w:r>
      <w:r>
        <w:rPr>
          <w:sz w:val="20"/>
          <w:szCs w:val="20"/>
          <w:color w:val="auto"/>
        </w:rPr>
        <w:tab/>
      </w:r>
      <w:r>
        <w:rPr>
          <w:rFonts w:ascii="Times New Roman" w:cs="Times New Roman" w:eastAsia="Times New Roman" w:hAnsi="Times New Roman"/>
          <w:sz w:val="18"/>
          <w:szCs w:val="18"/>
          <w:color w:val="auto"/>
        </w:rPr>
        <w:t>12</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2.6</w:t>
        <w:tab/>
        <w:t>Term</w:t>
      </w:r>
      <w:r>
        <w:rPr>
          <w:sz w:val="20"/>
          <w:szCs w:val="20"/>
          <w:color w:val="auto"/>
        </w:rPr>
        <w:tab/>
      </w:r>
      <w:r>
        <w:rPr>
          <w:rFonts w:ascii="Times New Roman" w:cs="Times New Roman" w:eastAsia="Times New Roman" w:hAnsi="Times New Roman"/>
          <w:sz w:val="18"/>
          <w:szCs w:val="18"/>
          <w:color w:val="auto"/>
        </w:rPr>
        <w:t>12</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2.7</w:t>
        <w:tab/>
        <w:t>No State-Law Partnership</w:t>
      </w:r>
      <w:r>
        <w:rPr>
          <w:sz w:val="20"/>
          <w:szCs w:val="20"/>
          <w:color w:val="auto"/>
        </w:rPr>
        <w:tab/>
      </w:r>
      <w:r>
        <w:rPr>
          <w:rFonts w:ascii="Times New Roman" w:cs="Times New Roman" w:eastAsia="Times New Roman" w:hAnsi="Times New Roman"/>
          <w:sz w:val="18"/>
          <w:szCs w:val="18"/>
          <w:color w:val="auto"/>
        </w:rPr>
        <w:t>12</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2.8</w:t>
        <w:tab/>
        <w:t>Ratification and Specific Authorization of Transactions</w:t>
      </w:r>
      <w:r>
        <w:rPr>
          <w:sz w:val="20"/>
          <w:szCs w:val="20"/>
          <w:color w:val="auto"/>
        </w:rPr>
        <w:tab/>
      </w:r>
      <w:r>
        <w:rPr>
          <w:rFonts w:ascii="Times New Roman" w:cs="Times New Roman" w:eastAsia="Times New Roman" w:hAnsi="Times New Roman"/>
          <w:sz w:val="18"/>
          <w:szCs w:val="18"/>
          <w:color w:val="auto"/>
        </w:rPr>
        <w:t>12</w:t>
      </w:r>
    </w:p>
    <w:p>
      <w:pPr>
        <w:spacing w:after="0" w:line="23" w:lineRule="exact"/>
        <w:rPr>
          <w:sz w:val="20"/>
          <w:szCs w:val="20"/>
          <w:color w:val="auto"/>
        </w:rPr>
      </w:pPr>
    </w:p>
    <w:p>
      <w:pPr>
        <w:ind w:left="20"/>
        <w:spacing w:after="0"/>
        <w:tabs>
          <w:tab w:leader="dot" w:pos="10780" w:val="left"/>
        </w:tabs>
        <w:rPr>
          <w:sz w:val="20"/>
          <w:szCs w:val="20"/>
          <w:color w:val="auto"/>
        </w:rPr>
      </w:pPr>
      <w:r>
        <w:rPr>
          <w:rFonts w:ascii="Times New Roman" w:cs="Times New Roman" w:eastAsia="Times New Roman" w:hAnsi="Times New Roman"/>
          <w:sz w:val="18"/>
          <w:szCs w:val="18"/>
          <w:b w:val="1"/>
          <w:bCs w:val="1"/>
          <w:u w:val="single" w:color="auto"/>
          <w:color w:val="0000FF"/>
        </w:rPr>
        <w:t>ARTICLE III UNITS, CAPITAL CONTRIBUTIONS AND ACCOUNTS</w:t>
      </w:r>
      <w:r>
        <w:rPr>
          <w:sz w:val="20"/>
          <w:szCs w:val="20"/>
          <w:color w:val="auto"/>
        </w:rPr>
        <w:tab/>
      </w:r>
      <w:r>
        <w:rPr>
          <w:rFonts w:ascii="Times New Roman" w:cs="Times New Roman" w:eastAsia="Times New Roman" w:hAnsi="Times New Roman"/>
          <w:sz w:val="18"/>
          <w:szCs w:val="18"/>
          <w:color w:val="auto"/>
        </w:rPr>
        <w:t>12</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3.1</w:t>
        <w:tab/>
        <w:t>Units; Capitalization</w:t>
      </w:r>
      <w:r>
        <w:rPr>
          <w:sz w:val="20"/>
          <w:szCs w:val="20"/>
          <w:color w:val="auto"/>
        </w:rPr>
        <w:tab/>
      </w:r>
      <w:r>
        <w:rPr>
          <w:rFonts w:ascii="Times New Roman" w:cs="Times New Roman" w:eastAsia="Times New Roman" w:hAnsi="Times New Roman"/>
          <w:sz w:val="18"/>
          <w:szCs w:val="18"/>
          <w:color w:val="auto"/>
        </w:rPr>
        <w:t>12</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3.2</w:t>
        <w:tab/>
        <w:t>Authorization and Issuance of Additional Units</w:t>
      </w:r>
      <w:r>
        <w:rPr>
          <w:sz w:val="20"/>
          <w:szCs w:val="20"/>
          <w:color w:val="auto"/>
        </w:rPr>
        <w:tab/>
      </w:r>
      <w:r>
        <w:rPr>
          <w:rFonts w:ascii="Times New Roman" w:cs="Times New Roman" w:eastAsia="Times New Roman" w:hAnsi="Times New Roman"/>
          <w:sz w:val="18"/>
          <w:szCs w:val="18"/>
          <w:color w:val="auto"/>
        </w:rPr>
        <w:t>13</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3.3</w:t>
        <w:tab/>
        <w:t>Repurchase or Redemption of Class A Common Stock</w:t>
      </w:r>
      <w:r>
        <w:rPr>
          <w:sz w:val="20"/>
          <w:szCs w:val="20"/>
          <w:color w:val="auto"/>
        </w:rPr>
        <w:tab/>
      </w:r>
      <w:r>
        <w:rPr>
          <w:rFonts w:ascii="Times New Roman" w:cs="Times New Roman" w:eastAsia="Times New Roman" w:hAnsi="Times New Roman"/>
          <w:sz w:val="18"/>
          <w:szCs w:val="18"/>
          <w:color w:val="auto"/>
        </w:rPr>
        <w:t>14</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3.4</w:t>
        <w:tab/>
        <w:t>Changes in Common Stock</w:t>
      </w:r>
      <w:r>
        <w:rPr>
          <w:sz w:val="20"/>
          <w:szCs w:val="20"/>
          <w:color w:val="auto"/>
        </w:rPr>
        <w:tab/>
      </w:r>
      <w:r>
        <w:rPr>
          <w:rFonts w:ascii="Times New Roman" w:cs="Times New Roman" w:eastAsia="Times New Roman" w:hAnsi="Times New Roman"/>
          <w:sz w:val="18"/>
          <w:szCs w:val="18"/>
          <w:color w:val="auto"/>
        </w:rPr>
        <w:t>15</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3.5</w:t>
        <w:tab/>
        <w:t>Capital Accounts</w:t>
      </w:r>
      <w:r>
        <w:rPr>
          <w:sz w:val="20"/>
          <w:szCs w:val="20"/>
          <w:color w:val="auto"/>
        </w:rPr>
        <w:tab/>
      </w:r>
      <w:r>
        <w:rPr>
          <w:rFonts w:ascii="Times New Roman" w:cs="Times New Roman" w:eastAsia="Times New Roman" w:hAnsi="Times New Roman"/>
          <w:sz w:val="18"/>
          <w:szCs w:val="18"/>
          <w:color w:val="auto"/>
        </w:rPr>
        <w:t>15</w:t>
      </w:r>
    </w:p>
    <w:p>
      <w:pPr>
        <w:spacing w:after="0" w:line="23" w:lineRule="exact"/>
        <w:rPr>
          <w:sz w:val="20"/>
          <w:szCs w:val="20"/>
          <w:color w:val="auto"/>
        </w:rPr>
      </w:pPr>
    </w:p>
    <w:p>
      <w:pPr>
        <w:ind w:left="460"/>
        <w:spacing w:after="0"/>
        <w:tabs>
          <w:tab w:leader="none" w:pos="1520" w:val="left"/>
          <w:tab w:leader="none" w:pos="10780" w:val="left"/>
        </w:tabs>
        <w:rPr>
          <w:sz w:val="20"/>
          <w:szCs w:val="20"/>
          <w:color w:val="auto"/>
        </w:rPr>
      </w:pPr>
      <w:r>
        <w:rPr>
          <w:rFonts w:ascii="Times New Roman" w:cs="Times New Roman" w:eastAsia="Times New Roman" w:hAnsi="Times New Roman"/>
          <w:sz w:val="18"/>
          <w:szCs w:val="18"/>
          <w:color w:val="auto"/>
        </w:rPr>
        <w:t>Section 3.6</w:t>
        <w:tab/>
        <w:t>Negative Capital Accounts; No Interest Regarding Positive Capital</w:t>
      </w:r>
      <w:r>
        <w:rPr>
          <w:sz w:val="20"/>
          <w:szCs w:val="20"/>
          <w:color w:val="auto"/>
        </w:rPr>
        <w:tab/>
      </w:r>
      <w:r>
        <w:rPr>
          <w:rFonts w:ascii="Times New Roman" w:cs="Times New Roman" w:eastAsia="Times New Roman" w:hAnsi="Times New Roman"/>
          <w:sz w:val="18"/>
          <w:szCs w:val="18"/>
          <w:color w:val="auto"/>
        </w:rPr>
        <w:t>16</w:t>
      </w:r>
    </w:p>
    <w:p>
      <w:pPr>
        <w:spacing w:after="0" w:line="23"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Accounts</w:t>
      </w:r>
      <w:r>
        <w:rPr>
          <w:sz w:val="20"/>
          <w:szCs w:val="20"/>
          <w:color w:val="auto"/>
        </w:rPr>
        <w:tab/>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3.7</w:t>
        <w:tab/>
        <w:t>No Withdrawal</w:t>
      </w:r>
      <w:r>
        <w:rPr>
          <w:sz w:val="20"/>
          <w:szCs w:val="20"/>
          <w:color w:val="auto"/>
        </w:rPr>
        <w:tab/>
      </w:r>
      <w:r>
        <w:rPr>
          <w:rFonts w:ascii="Times New Roman" w:cs="Times New Roman" w:eastAsia="Times New Roman" w:hAnsi="Times New Roman"/>
          <w:sz w:val="18"/>
          <w:szCs w:val="18"/>
          <w:color w:val="auto"/>
        </w:rPr>
        <w:t>16</w:t>
      </w:r>
    </w:p>
    <w:p>
      <w:pPr>
        <w:spacing w:after="0" w:line="27"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3.8</w:t>
        <w:tab/>
        <w:t>Loans From Unitholders</w:t>
      </w:r>
      <w:r>
        <w:rPr>
          <w:sz w:val="20"/>
          <w:szCs w:val="20"/>
          <w:color w:val="auto"/>
        </w:rPr>
        <w:tab/>
      </w:r>
      <w:r>
        <w:rPr>
          <w:rFonts w:ascii="Times New Roman" w:cs="Times New Roman" w:eastAsia="Times New Roman" w:hAnsi="Times New Roman"/>
          <w:sz w:val="18"/>
          <w:szCs w:val="18"/>
          <w:color w:val="auto"/>
        </w:rPr>
        <w:t>16</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3.9</w:t>
        <w:tab/>
        <w:t>Adjustments to Capital Accounts for Distributions In-Kind</w:t>
      </w:r>
      <w:r>
        <w:rPr>
          <w:sz w:val="20"/>
          <w:szCs w:val="20"/>
          <w:color w:val="auto"/>
        </w:rPr>
        <w:tab/>
      </w: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2" w:name="page113"/>
    <w:bookmarkEnd w:id="112"/>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3.10</w:t>
        <w:tab/>
        <w:t>Transfer of Capital Accounts</w:t>
      </w:r>
      <w:r>
        <w:rPr>
          <w:sz w:val="20"/>
          <w:szCs w:val="20"/>
          <w:color w:val="auto"/>
        </w:rPr>
        <w:tab/>
      </w:r>
      <w:r>
        <w:rPr>
          <w:rFonts w:ascii="Times New Roman" w:cs="Times New Roman" w:eastAsia="Times New Roman" w:hAnsi="Times New Roman"/>
          <w:sz w:val="18"/>
          <w:szCs w:val="18"/>
          <w:color w:val="auto"/>
        </w:rPr>
        <w:t>16</w:t>
      </w:r>
    </w:p>
    <w:p>
      <w:pPr>
        <w:spacing w:after="0" w:line="27"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3.11</w:t>
        <w:tab/>
        <w:t>Adjustments to Book Value</w:t>
      </w:r>
      <w:r>
        <w:rPr>
          <w:sz w:val="20"/>
          <w:szCs w:val="20"/>
          <w:color w:val="auto"/>
        </w:rPr>
        <w:tab/>
      </w:r>
      <w:r>
        <w:rPr>
          <w:rFonts w:ascii="Times New Roman" w:cs="Times New Roman" w:eastAsia="Times New Roman" w:hAnsi="Times New Roman"/>
          <w:sz w:val="18"/>
          <w:szCs w:val="18"/>
          <w:color w:val="auto"/>
        </w:rPr>
        <w:t>16</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3.12</w:t>
        <w:tab/>
        <w:t>Compliance With Section 1.704-1(b)</w:t>
      </w:r>
      <w:r>
        <w:rPr>
          <w:sz w:val="20"/>
          <w:szCs w:val="20"/>
          <w:color w:val="auto"/>
        </w:rPr>
        <w:tab/>
      </w:r>
      <w:r>
        <w:rPr>
          <w:rFonts w:ascii="Times New Roman" w:cs="Times New Roman" w:eastAsia="Times New Roman" w:hAnsi="Times New Roman"/>
          <w:sz w:val="18"/>
          <w:szCs w:val="18"/>
          <w:color w:val="auto"/>
        </w:rPr>
        <w:t>17</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3.13</w:t>
        <w:tab/>
        <w:t>Warrants</w:t>
      </w:r>
      <w:r>
        <w:rPr>
          <w:sz w:val="20"/>
          <w:szCs w:val="20"/>
          <w:color w:val="auto"/>
        </w:rPr>
        <w:tab/>
      </w:r>
      <w:r>
        <w:rPr>
          <w:rFonts w:ascii="Times New Roman" w:cs="Times New Roman" w:eastAsia="Times New Roman" w:hAnsi="Times New Roman"/>
          <w:sz w:val="18"/>
          <w:szCs w:val="18"/>
          <w:color w:val="auto"/>
        </w:rPr>
        <w:t>17</w:t>
      </w:r>
    </w:p>
    <w:p>
      <w:pPr>
        <w:spacing w:after="0" w:line="23" w:lineRule="exact"/>
        <w:rPr>
          <w:sz w:val="20"/>
          <w:szCs w:val="20"/>
          <w:color w:val="auto"/>
        </w:rPr>
      </w:pPr>
    </w:p>
    <w:p>
      <w:pPr>
        <w:spacing w:after="0"/>
        <w:tabs>
          <w:tab w:leader="dot" w:pos="10760" w:val="left"/>
        </w:tabs>
        <w:rPr>
          <w:sz w:val="20"/>
          <w:szCs w:val="20"/>
          <w:color w:val="auto"/>
        </w:rPr>
      </w:pPr>
      <w:r>
        <w:rPr>
          <w:rFonts w:ascii="Times New Roman" w:cs="Times New Roman" w:eastAsia="Times New Roman" w:hAnsi="Times New Roman"/>
          <w:sz w:val="18"/>
          <w:szCs w:val="18"/>
          <w:b w:val="1"/>
          <w:bCs w:val="1"/>
          <w:u w:val="single" w:color="auto"/>
          <w:color w:val="0000FF"/>
        </w:rPr>
        <w:t>ARTICLE IV DISTRIBUTIONS AND ALLOCATIONS</w:t>
      </w:r>
      <w:r>
        <w:rPr>
          <w:sz w:val="20"/>
          <w:szCs w:val="20"/>
          <w:color w:val="auto"/>
        </w:rPr>
        <w:tab/>
      </w:r>
      <w:r>
        <w:rPr>
          <w:rFonts w:ascii="Times New Roman" w:cs="Times New Roman" w:eastAsia="Times New Roman" w:hAnsi="Times New Roman"/>
          <w:sz w:val="18"/>
          <w:szCs w:val="18"/>
          <w:color w:val="auto"/>
        </w:rPr>
        <w:t>18</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4.1</w:t>
        <w:tab/>
        <w:t>Distributions</w:t>
      </w:r>
      <w:r>
        <w:rPr>
          <w:sz w:val="20"/>
          <w:szCs w:val="20"/>
          <w:color w:val="auto"/>
        </w:rPr>
        <w:tab/>
      </w:r>
      <w:r>
        <w:rPr>
          <w:rFonts w:ascii="Times New Roman" w:cs="Times New Roman" w:eastAsia="Times New Roman" w:hAnsi="Times New Roman"/>
          <w:sz w:val="18"/>
          <w:szCs w:val="18"/>
          <w:color w:val="auto"/>
        </w:rPr>
        <w:t>18</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4.2</w:t>
        <w:tab/>
        <w:t>Allocations</w:t>
      </w:r>
      <w:r>
        <w:rPr>
          <w:sz w:val="20"/>
          <w:szCs w:val="20"/>
          <w:color w:val="auto"/>
        </w:rPr>
        <w:tab/>
      </w:r>
      <w:r>
        <w:rPr>
          <w:rFonts w:ascii="Times New Roman" w:cs="Times New Roman" w:eastAsia="Times New Roman" w:hAnsi="Times New Roman"/>
          <w:sz w:val="18"/>
          <w:szCs w:val="18"/>
          <w:color w:val="auto"/>
        </w:rPr>
        <w:t>19</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4.3</w:t>
        <w:tab/>
        <w:t>Special Allocations</w:t>
      </w:r>
      <w:r>
        <w:rPr>
          <w:sz w:val="20"/>
          <w:szCs w:val="20"/>
          <w:color w:val="auto"/>
        </w:rPr>
        <w:tab/>
      </w:r>
      <w:r>
        <w:rPr>
          <w:rFonts w:ascii="Times New Roman" w:cs="Times New Roman" w:eastAsia="Times New Roman" w:hAnsi="Times New Roman"/>
          <w:sz w:val="18"/>
          <w:szCs w:val="18"/>
          <w:color w:val="auto"/>
        </w:rPr>
        <w:t>19</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4.4</w:t>
        <w:tab/>
        <w:t>Offsetting Allocations</w:t>
      </w:r>
      <w:r>
        <w:rPr>
          <w:sz w:val="20"/>
          <w:szCs w:val="20"/>
          <w:color w:val="auto"/>
        </w:rPr>
        <w:tab/>
      </w:r>
      <w:r>
        <w:rPr>
          <w:rFonts w:ascii="Times New Roman" w:cs="Times New Roman" w:eastAsia="Times New Roman" w:hAnsi="Times New Roman"/>
          <w:sz w:val="18"/>
          <w:szCs w:val="18"/>
          <w:color w:val="auto"/>
        </w:rPr>
        <w:t>21</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4.5</w:t>
        <w:tab/>
        <w:t>Tax Allocations</w:t>
      </w:r>
      <w:r>
        <w:rPr>
          <w:sz w:val="20"/>
          <w:szCs w:val="20"/>
          <w:color w:val="auto"/>
        </w:rPr>
        <w:tab/>
      </w:r>
      <w:r>
        <w:rPr>
          <w:rFonts w:ascii="Times New Roman" w:cs="Times New Roman" w:eastAsia="Times New Roman" w:hAnsi="Times New Roman"/>
          <w:sz w:val="18"/>
          <w:szCs w:val="18"/>
          <w:color w:val="auto"/>
        </w:rPr>
        <w:t>21</w:t>
      </w:r>
    </w:p>
    <w:p>
      <w:pPr>
        <w:spacing w:after="0" w:line="23" w:lineRule="exact"/>
        <w:rPr>
          <w:sz w:val="20"/>
          <w:szCs w:val="20"/>
          <w:color w:val="auto"/>
        </w:rPr>
      </w:pPr>
    </w:p>
    <w:p>
      <w:pPr>
        <w:ind w:left="440"/>
        <w:spacing w:after="0"/>
        <w:tabs>
          <w:tab w:leader="none" w:pos="1500" w:val="left"/>
          <w:tab w:leader="none" w:pos="10760" w:val="left"/>
        </w:tabs>
        <w:rPr>
          <w:sz w:val="20"/>
          <w:szCs w:val="20"/>
          <w:color w:val="auto"/>
        </w:rPr>
      </w:pPr>
      <w:r>
        <w:rPr>
          <w:rFonts w:ascii="Times New Roman" w:cs="Times New Roman" w:eastAsia="Times New Roman" w:hAnsi="Times New Roman"/>
          <w:sz w:val="18"/>
          <w:szCs w:val="18"/>
          <w:color w:val="auto"/>
        </w:rPr>
        <w:t>Section 4.6</w:t>
        <w:tab/>
        <w:t>Indemnification and Reimbursement for Payments on Behalf of a</w:t>
      </w:r>
      <w:r>
        <w:rPr>
          <w:sz w:val="20"/>
          <w:szCs w:val="20"/>
          <w:color w:val="auto"/>
        </w:rPr>
        <w:tab/>
      </w:r>
      <w:r>
        <w:rPr>
          <w:rFonts w:ascii="Times New Roman" w:cs="Times New Roman" w:eastAsia="Times New Roman" w:hAnsi="Times New Roman"/>
          <w:sz w:val="18"/>
          <w:szCs w:val="18"/>
          <w:color w:val="auto"/>
        </w:rPr>
        <w:t>22</w:t>
      </w:r>
    </w:p>
    <w:p>
      <w:pPr>
        <w:spacing w:after="0" w:line="23" w:lineRule="exact"/>
        <w:rPr>
          <w:sz w:val="20"/>
          <w:szCs w:val="20"/>
          <w:color w:val="auto"/>
        </w:rPr>
      </w:pPr>
    </w:p>
    <w:p>
      <w:pPr>
        <w:ind w:left="480"/>
        <w:spacing w:after="0"/>
        <w:tabs>
          <w:tab w:leader="none" w:pos="1300" w:val="left"/>
        </w:tabs>
        <w:rPr>
          <w:sz w:val="20"/>
          <w:szCs w:val="20"/>
          <w:color w:val="auto"/>
        </w:rPr>
      </w:pPr>
      <w:r>
        <w:rPr>
          <w:rFonts w:ascii="Times New Roman" w:cs="Times New Roman" w:eastAsia="Times New Roman" w:hAnsi="Times New Roman"/>
          <w:sz w:val="18"/>
          <w:szCs w:val="18"/>
          <w:color w:val="auto"/>
        </w:rPr>
        <w:t>Unitholder</w:t>
        <w:tab/>
        <w:t>................................................</w:t>
      </w:r>
    </w:p>
    <w:p>
      <w:pPr>
        <w:spacing w:after="0" w:line="9"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4.7</w:t>
        <w:tab/>
        <w:t>Prior Agreements Allocations</w:t>
      </w:r>
      <w:r>
        <w:rPr>
          <w:sz w:val="20"/>
          <w:szCs w:val="20"/>
          <w:color w:val="auto"/>
        </w:rPr>
        <w:tab/>
      </w:r>
      <w:r>
        <w:rPr>
          <w:rFonts w:ascii="Times New Roman" w:cs="Times New Roman" w:eastAsia="Times New Roman" w:hAnsi="Times New Roman"/>
          <w:sz w:val="18"/>
          <w:szCs w:val="18"/>
          <w:color w:val="auto"/>
        </w:rPr>
        <w:t>22</w:t>
      </w:r>
    </w:p>
    <w:p>
      <w:pPr>
        <w:spacing w:after="0" w:line="23" w:lineRule="exact"/>
        <w:rPr>
          <w:sz w:val="20"/>
          <w:szCs w:val="20"/>
          <w:color w:val="auto"/>
        </w:rPr>
      </w:pPr>
    </w:p>
    <w:p>
      <w:pPr>
        <w:spacing w:after="0"/>
        <w:tabs>
          <w:tab w:leader="dot" w:pos="10760" w:val="left"/>
        </w:tabs>
        <w:rPr>
          <w:sz w:val="20"/>
          <w:szCs w:val="20"/>
          <w:color w:val="auto"/>
        </w:rPr>
      </w:pPr>
      <w:r>
        <w:rPr>
          <w:rFonts w:ascii="Times New Roman" w:cs="Times New Roman" w:eastAsia="Times New Roman" w:hAnsi="Times New Roman"/>
          <w:sz w:val="18"/>
          <w:szCs w:val="18"/>
          <w:b w:val="1"/>
          <w:bCs w:val="1"/>
          <w:u w:val="single" w:color="auto"/>
          <w:color w:val="0000FF"/>
        </w:rPr>
        <w:t>ARTICLE V MANAGEMENT AND CONTROL OF BUSINESS</w:t>
      </w:r>
      <w:r>
        <w:rPr>
          <w:sz w:val="20"/>
          <w:szCs w:val="20"/>
          <w:color w:val="auto"/>
        </w:rPr>
        <w:tab/>
      </w:r>
      <w:r>
        <w:rPr>
          <w:rFonts w:ascii="Times New Roman" w:cs="Times New Roman" w:eastAsia="Times New Roman" w:hAnsi="Times New Roman"/>
          <w:sz w:val="18"/>
          <w:szCs w:val="18"/>
          <w:color w:val="auto"/>
        </w:rPr>
        <w:t>22</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5.1</w:t>
        <w:tab/>
        <w:t>Management</w:t>
      </w:r>
      <w:r>
        <w:rPr>
          <w:sz w:val="20"/>
          <w:szCs w:val="20"/>
          <w:color w:val="auto"/>
        </w:rPr>
        <w:tab/>
      </w:r>
      <w:r>
        <w:rPr>
          <w:rFonts w:ascii="Times New Roman" w:cs="Times New Roman" w:eastAsia="Times New Roman" w:hAnsi="Times New Roman"/>
          <w:sz w:val="18"/>
          <w:szCs w:val="18"/>
          <w:color w:val="auto"/>
        </w:rPr>
        <w:t>22</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5.2</w:t>
        <w:tab/>
        <w:t>Investment Company Act</w:t>
      </w:r>
      <w:r>
        <w:rPr>
          <w:sz w:val="20"/>
          <w:szCs w:val="20"/>
          <w:color w:val="auto"/>
        </w:rPr>
        <w:tab/>
      </w:r>
      <w:r>
        <w:rPr>
          <w:rFonts w:ascii="Times New Roman" w:cs="Times New Roman" w:eastAsia="Times New Roman" w:hAnsi="Times New Roman"/>
          <w:sz w:val="18"/>
          <w:szCs w:val="18"/>
          <w:color w:val="auto"/>
        </w:rPr>
        <w:t>24</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5.3</w:t>
        <w:tab/>
        <w:t>Officers</w:t>
      </w:r>
      <w:r>
        <w:rPr>
          <w:sz w:val="20"/>
          <w:szCs w:val="20"/>
          <w:color w:val="auto"/>
        </w:rPr>
        <w:tab/>
      </w:r>
      <w:r>
        <w:rPr>
          <w:rFonts w:ascii="Times New Roman" w:cs="Times New Roman" w:eastAsia="Times New Roman" w:hAnsi="Times New Roman"/>
          <w:sz w:val="18"/>
          <w:szCs w:val="18"/>
          <w:color w:val="auto"/>
        </w:rPr>
        <w:t>24</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5.4</w:t>
        <w:tab/>
        <w:t>Fiduciary Duties</w:t>
      </w:r>
      <w:r>
        <w:rPr>
          <w:sz w:val="20"/>
          <w:szCs w:val="20"/>
          <w:color w:val="auto"/>
        </w:rPr>
        <w:tab/>
      </w:r>
      <w:r>
        <w:rPr>
          <w:rFonts w:ascii="Times New Roman" w:cs="Times New Roman" w:eastAsia="Times New Roman" w:hAnsi="Times New Roman"/>
          <w:sz w:val="18"/>
          <w:szCs w:val="18"/>
          <w:color w:val="auto"/>
        </w:rPr>
        <w:t>25</w:t>
      </w:r>
    </w:p>
    <w:p>
      <w:pPr>
        <w:spacing w:after="0" w:line="23" w:lineRule="exact"/>
        <w:rPr>
          <w:sz w:val="20"/>
          <w:szCs w:val="20"/>
          <w:color w:val="auto"/>
        </w:rPr>
      </w:pPr>
    </w:p>
    <w:p>
      <w:pPr>
        <w:spacing w:after="0"/>
        <w:tabs>
          <w:tab w:leader="dot" w:pos="10760" w:val="left"/>
        </w:tabs>
        <w:rPr>
          <w:sz w:val="20"/>
          <w:szCs w:val="20"/>
          <w:color w:val="auto"/>
        </w:rPr>
      </w:pPr>
      <w:r>
        <w:rPr>
          <w:rFonts w:ascii="Times New Roman" w:cs="Times New Roman" w:eastAsia="Times New Roman" w:hAnsi="Times New Roman"/>
          <w:sz w:val="18"/>
          <w:szCs w:val="18"/>
          <w:b w:val="1"/>
          <w:bCs w:val="1"/>
          <w:u w:val="single" w:color="auto"/>
          <w:color w:val="0000FF"/>
        </w:rPr>
        <w:t>ARTICLE VI EXCULPATION AND INDEMNIFICATION</w:t>
      </w:r>
      <w:r>
        <w:rPr>
          <w:sz w:val="20"/>
          <w:szCs w:val="20"/>
          <w:color w:val="auto"/>
        </w:rPr>
        <w:tab/>
      </w:r>
      <w:r>
        <w:rPr>
          <w:rFonts w:ascii="Times New Roman" w:cs="Times New Roman" w:eastAsia="Times New Roman" w:hAnsi="Times New Roman"/>
          <w:sz w:val="18"/>
          <w:szCs w:val="18"/>
          <w:color w:val="auto"/>
        </w:rPr>
        <w:t>26</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6.1</w:t>
        <w:tab/>
        <w:t>Exculpation</w:t>
      </w:r>
      <w:r>
        <w:rPr>
          <w:sz w:val="20"/>
          <w:szCs w:val="20"/>
          <w:color w:val="auto"/>
        </w:rPr>
        <w:tab/>
      </w:r>
      <w:r>
        <w:rPr>
          <w:rFonts w:ascii="Times New Roman" w:cs="Times New Roman" w:eastAsia="Times New Roman" w:hAnsi="Times New Roman"/>
          <w:sz w:val="18"/>
          <w:szCs w:val="18"/>
          <w:color w:val="auto"/>
        </w:rPr>
        <w:t>26</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6.2</w:t>
        <w:tab/>
        <w:t>Indemnification</w:t>
      </w:r>
      <w:r>
        <w:rPr>
          <w:sz w:val="20"/>
          <w:szCs w:val="20"/>
          <w:color w:val="auto"/>
        </w:rPr>
        <w:tab/>
      </w:r>
      <w:r>
        <w:rPr>
          <w:rFonts w:ascii="Times New Roman" w:cs="Times New Roman" w:eastAsia="Times New Roman" w:hAnsi="Times New Roman"/>
          <w:sz w:val="18"/>
          <w:szCs w:val="18"/>
          <w:color w:val="auto"/>
        </w:rPr>
        <w:t>26</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6.3</w:t>
        <w:tab/>
        <w:t>Expenses</w:t>
      </w:r>
      <w:r>
        <w:rPr>
          <w:sz w:val="20"/>
          <w:szCs w:val="20"/>
          <w:color w:val="auto"/>
        </w:rPr>
        <w:tab/>
      </w:r>
      <w:r>
        <w:rPr>
          <w:rFonts w:ascii="Times New Roman" w:cs="Times New Roman" w:eastAsia="Times New Roman" w:hAnsi="Times New Roman"/>
          <w:sz w:val="18"/>
          <w:szCs w:val="18"/>
          <w:color w:val="auto"/>
        </w:rPr>
        <w:t>27</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6.4</w:t>
        <w:tab/>
        <w:t>Non-Exclusivity; Savings Clause</w:t>
      </w:r>
      <w:r>
        <w:rPr>
          <w:sz w:val="20"/>
          <w:szCs w:val="20"/>
          <w:color w:val="auto"/>
        </w:rPr>
        <w:tab/>
      </w:r>
      <w:r>
        <w:rPr>
          <w:rFonts w:ascii="Times New Roman" w:cs="Times New Roman" w:eastAsia="Times New Roman" w:hAnsi="Times New Roman"/>
          <w:sz w:val="18"/>
          <w:szCs w:val="18"/>
          <w:color w:val="auto"/>
        </w:rPr>
        <w:t>27</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6.5</w:t>
        <w:tab/>
        <w:t>Insurance</w:t>
      </w:r>
      <w:r>
        <w:rPr>
          <w:sz w:val="20"/>
          <w:szCs w:val="20"/>
          <w:color w:val="auto"/>
        </w:rPr>
        <w:tab/>
      </w:r>
      <w:r>
        <w:rPr>
          <w:rFonts w:ascii="Times New Roman" w:cs="Times New Roman" w:eastAsia="Times New Roman" w:hAnsi="Times New Roman"/>
          <w:sz w:val="18"/>
          <w:szCs w:val="18"/>
          <w:color w:val="auto"/>
        </w:rPr>
        <w:t>27</w:t>
      </w:r>
    </w:p>
    <w:p>
      <w:pPr>
        <w:spacing w:after="0" w:line="23" w:lineRule="exact"/>
        <w:rPr>
          <w:sz w:val="20"/>
          <w:szCs w:val="20"/>
          <w:color w:val="auto"/>
        </w:rPr>
      </w:pPr>
    </w:p>
    <w:p>
      <w:pPr>
        <w:spacing w:after="0"/>
        <w:tabs>
          <w:tab w:leader="dot" w:pos="10760" w:val="left"/>
        </w:tabs>
        <w:rPr>
          <w:sz w:val="20"/>
          <w:szCs w:val="20"/>
          <w:color w:val="auto"/>
        </w:rPr>
      </w:pPr>
      <w:r>
        <w:rPr>
          <w:rFonts w:ascii="Times New Roman" w:cs="Times New Roman" w:eastAsia="Times New Roman" w:hAnsi="Times New Roman"/>
          <w:sz w:val="18"/>
          <w:szCs w:val="18"/>
          <w:b w:val="1"/>
          <w:bCs w:val="1"/>
          <w:u w:val="single" w:color="auto"/>
          <w:color w:val="0000FF"/>
        </w:rPr>
        <w:t>ARTICLE VII ACCOUNTING AND RECORDS; TAX MATTERS</w:t>
      </w:r>
      <w:r>
        <w:rPr>
          <w:sz w:val="20"/>
          <w:szCs w:val="20"/>
          <w:color w:val="auto"/>
        </w:rPr>
        <w:tab/>
      </w:r>
      <w:r>
        <w:rPr>
          <w:rFonts w:ascii="Times New Roman" w:cs="Times New Roman" w:eastAsia="Times New Roman" w:hAnsi="Times New Roman"/>
          <w:sz w:val="18"/>
          <w:szCs w:val="18"/>
          <w:color w:val="auto"/>
        </w:rPr>
        <w:t>27</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7.1</w:t>
        <w:tab/>
        <w:t>Accounting and Records</w:t>
      </w:r>
      <w:r>
        <w:rPr>
          <w:sz w:val="20"/>
          <w:szCs w:val="20"/>
          <w:color w:val="auto"/>
        </w:rPr>
        <w:tab/>
      </w:r>
      <w:r>
        <w:rPr>
          <w:rFonts w:ascii="Times New Roman" w:cs="Times New Roman" w:eastAsia="Times New Roman" w:hAnsi="Times New Roman"/>
          <w:sz w:val="18"/>
          <w:szCs w:val="18"/>
          <w:color w:val="auto"/>
        </w:rPr>
        <w:t>27</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7.2</w:t>
        <w:tab/>
        <w:t>Preparation of Tax Returns</w:t>
      </w:r>
      <w:r>
        <w:rPr>
          <w:sz w:val="20"/>
          <w:szCs w:val="20"/>
          <w:color w:val="auto"/>
        </w:rPr>
        <w:tab/>
      </w:r>
      <w:r>
        <w:rPr>
          <w:rFonts w:ascii="Times New Roman" w:cs="Times New Roman" w:eastAsia="Times New Roman" w:hAnsi="Times New Roman"/>
          <w:sz w:val="18"/>
          <w:szCs w:val="18"/>
          <w:color w:val="auto"/>
        </w:rPr>
        <w:t>27</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7.3</w:t>
        <w:tab/>
        <w:t>Tax Elections</w:t>
      </w:r>
      <w:r>
        <w:rPr>
          <w:sz w:val="20"/>
          <w:szCs w:val="20"/>
          <w:color w:val="auto"/>
        </w:rPr>
        <w:tab/>
      </w:r>
      <w:r>
        <w:rPr>
          <w:rFonts w:ascii="Times New Roman" w:cs="Times New Roman" w:eastAsia="Times New Roman" w:hAnsi="Times New Roman"/>
          <w:sz w:val="18"/>
          <w:szCs w:val="18"/>
          <w:color w:val="auto"/>
        </w:rPr>
        <w:t>28</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7.4</w:t>
        <w:tab/>
        <w:t>Tax Controversies</w:t>
      </w:r>
      <w:r>
        <w:rPr>
          <w:sz w:val="20"/>
          <w:szCs w:val="20"/>
          <w:color w:val="auto"/>
        </w:rPr>
        <w:tab/>
      </w:r>
      <w:r>
        <w:rPr>
          <w:rFonts w:ascii="Times New Roman" w:cs="Times New Roman" w:eastAsia="Times New Roman" w:hAnsi="Times New Roman"/>
          <w:sz w:val="18"/>
          <w:szCs w:val="18"/>
          <w:color w:val="auto"/>
        </w:rPr>
        <w:t>28</w:t>
      </w:r>
    </w:p>
    <w:p>
      <w:pPr>
        <w:spacing w:after="0" w:line="23" w:lineRule="exact"/>
        <w:rPr>
          <w:sz w:val="20"/>
          <w:szCs w:val="20"/>
          <w:color w:val="auto"/>
        </w:rPr>
      </w:pPr>
    </w:p>
    <w:p>
      <w:pPr>
        <w:spacing w:after="0"/>
        <w:tabs>
          <w:tab w:leader="dot" w:pos="10760" w:val="left"/>
        </w:tabs>
        <w:rPr>
          <w:sz w:val="20"/>
          <w:szCs w:val="20"/>
          <w:color w:val="auto"/>
        </w:rPr>
      </w:pPr>
      <w:r>
        <w:rPr>
          <w:rFonts w:ascii="Times New Roman" w:cs="Times New Roman" w:eastAsia="Times New Roman" w:hAnsi="Times New Roman"/>
          <w:sz w:val="18"/>
          <w:szCs w:val="18"/>
          <w:b w:val="1"/>
          <w:bCs w:val="1"/>
          <w:u w:val="single" w:color="auto"/>
          <w:color w:val="0000FF"/>
        </w:rPr>
        <w:t>ARTICLE VIII TRANSFER OF UNITS; ADMISSION OF NEW MEMBERS</w:t>
      </w:r>
      <w:r>
        <w:rPr>
          <w:sz w:val="20"/>
          <w:szCs w:val="20"/>
          <w:color w:val="auto"/>
        </w:rPr>
        <w:tab/>
      </w:r>
      <w:r>
        <w:rPr>
          <w:rFonts w:ascii="Times New Roman" w:cs="Times New Roman" w:eastAsia="Times New Roman" w:hAnsi="Times New Roman"/>
          <w:sz w:val="18"/>
          <w:szCs w:val="18"/>
          <w:color w:val="auto"/>
        </w:rPr>
        <w:t>29</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8.1</w:t>
        <w:tab/>
        <w:t>Transfer of Units</w:t>
      </w:r>
      <w:r>
        <w:rPr>
          <w:sz w:val="20"/>
          <w:szCs w:val="20"/>
          <w:color w:val="auto"/>
        </w:rPr>
        <w:tab/>
      </w:r>
      <w:r>
        <w:rPr>
          <w:rFonts w:ascii="Times New Roman" w:cs="Times New Roman" w:eastAsia="Times New Roman" w:hAnsi="Times New Roman"/>
          <w:sz w:val="18"/>
          <w:szCs w:val="18"/>
          <w:color w:val="auto"/>
        </w:rPr>
        <w:t>29</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8.2</w:t>
        <w:tab/>
        <w:t>Recognition of Transfer; Substituted and Additional Members</w:t>
      </w:r>
      <w:r>
        <w:rPr>
          <w:sz w:val="20"/>
          <w:szCs w:val="20"/>
          <w:color w:val="auto"/>
        </w:rPr>
        <w:tab/>
      </w:r>
      <w:r>
        <w:rPr>
          <w:rFonts w:ascii="Times New Roman" w:cs="Times New Roman" w:eastAsia="Times New Roman" w:hAnsi="Times New Roman"/>
          <w:sz w:val="18"/>
          <w:szCs w:val="18"/>
          <w:color w:val="auto"/>
        </w:rPr>
        <w:t>30</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8.3</w:t>
        <w:tab/>
        <w:t>Expense of Transfer; Indemnification</w:t>
      </w:r>
      <w:r>
        <w:rPr>
          <w:sz w:val="20"/>
          <w:szCs w:val="20"/>
          <w:color w:val="auto"/>
        </w:rPr>
        <w:tab/>
      </w:r>
      <w:r>
        <w:rPr>
          <w:rFonts w:ascii="Times New Roman" w:cs="Times New Roman" w:eastAsia="Times New Roman" w:hAnsi="Times New Roman"/>
          <w:sz w:val="18"/>
          <w:szCs w:val="18"/>
          <w:color w:val="auto"/>
        </w:rPr>
        <w:t>31</w:t>
      </w:r>
    </w:p>
    <w:p>
      <w:pPr>
        <w:spacing w:after="0" w:line="23" w:lineRule="exact"/>
        <w:rPr>
          <w:sz w:val="20"/>
          <w:szCs w:val="20"/>
          <w:color w:val="auto"/>
        </w:rPr>
      </w:pPr>
    </w:p>
    <w:p>
      <w:pPr>
        <w:spacing w:after="0"/>
        <w:tabs>
          <w:tab w:leader="dot" w:pos="10760" w:val="left"/>
        </w:tabs>
        <w:rPr>
          <w:sz w:val="20"/>
          <w:szCs w:val="20"/>
          <w:color w:val="auto"/>
        </w:rPr>
      </w:pPr>
      <w:r>
        <w:rPr>
          <w:rFonts w:ascii="Times New Roman" w:cs="Times New Roman" w:eastAsia="Times New Roman" w:hAnsi="Times New Roman"/>
          <w:sz w:val="18"/>
          <w:szCs w:val="18"/>
          <w:b w:val="1"/>
          <w:bCs w:val="1"/>
          <w:u w:val="single" w:color="auto"/>
          <w:color w:val="0000FF"/>
        </w:rPr>
        <w:t>ARTICLE IX REDEMPTION; EXCHANGE</w:t>
      </w:r>
      <w:r>
        <w:rPr>
          <w:sz w:val="20"/>
          <w:szCs w:val="20"/>
          <w:color w:val="auto"/>
        </w:rPr>
        <w:tab/>
      </w:r>
      <w:r>
        <w:rPr>
          <w:rFonts w:ascii="Times New Roman" w:cs="Times New Roman" w:eastAsia="Times New Roman" w:hAnsi="Times New Roman"/>
          <w:sz w:val="18"/>
          <w:szCs w:val="18"/>
          <w:color w:val="auto"/>
        </w:rPr>
        <w:t>31</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9.1</w:t>
        <w:tab/>
        <w:t>Redemption of Common Units</w:t>
      </w:r>
      <w:r>
        <w:rPr>
          <w:sz w:val="20"/>
          <w:szCs w:val="20"/>
          <w:color w:val="auto"/>
        </w:rPr>
        <w:tab/>
      </w:r>
      <w:r>
        <w:rPr>
          <w:rFonts w:ascii="Times New Roman" w:cs="Times New Roman" w:eastAsia="Times New Roman" w:hAnsi="Times New Roman"/>
          <w:sz w:val="18"/>
          <w:szCs w:val="18"/>
          <w:color w:val="auto"/>
        </w:rPr>
        <w:t>31</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9.2</w:t>
        <w:tab/>
        <w:t>Adjustments</w:t>
      </w:r>
      <w:r>
        <w:rPr>
          <w:sz w:val="20"/>
          <w:szCs w:val="20"/>
          <w:color w:val="auto"/>
        </w:rPr>
        <w:tab/>
      </w:r>
      <w:r>
        <w:rPr>
          <w:rFonts w:ascii="Times New Roman" w:cs="Times New Roman" w:eastAsia="Times New Roman" w:hAnsi="Times New Roman"/>
          <w:sz w:val="18"/>
          <w:szCs w:val="18"/>
          <w:color w:val="auto"/>
        </w:rPr>
        <w:t>35</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9.3</w:t>
        <w:tab/>
        <w:t>Class A Common Stock to be Issued</w:t>
      </w:r>
      <w:r>
        <w:rPr>
          <w:sz w:val="20"/>
          <w:szCs w:val="20"/>
          <w:color w:val="auto"/>
        </w:rPr>
        <w:tab/>
      </w:r>
      <w:r>
        <w:rPr>
          <w:rFonts w:ascii="Times New Roman" w:cs="Times New Roman" w:eastAsia="Times New Roman" w:hAnsi="Times New Roman"/>
          <w:sz w:val="18"/>
          <w:szCs w:val="18"/>
          <w:color w:val="auto"/>
        </w:rPr>
        <w:t>36</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9.4</w:t>
        <w:tab/>
        <w:t>Withholding; Certification of Non-Foreign Status</w:t>
      </w:r>
      <w:r>
        <w:rPr>
          <w:sz w:val="20"/>
          <w:szCs w:val="20"/>
          <w:color w:val="auto"/>
        </w:rPr>
        <w:tab/>
      </w:r>
      <w:r>
        <w:rPr>
          <w:rFonts w:ascii="Times New Roman" w:cs="Times New Roman" w:eastAsia="Times New Roman" w:hAnsi="Times New Roman"/>
          <w:sz w:val="18"/>
          <w:szCs w:val="18"/>
          <w:color w:val="auto"/>
        </w:rPr>
        <w:t>36</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9.5</w:t>
        <w:tab/>
        <w:t>Tax Treatment</w:t>
      </w:r>
      <w:r>
        <w:rPr>
          <w:sz w:val="20"/>
          <w:szCs w:val="20"/>
          <w:color w:val="auto"/>
        </w:rPr>
        <w:tab/>
      </w:r>
      <w:r>
        <w:rPr>
          <w:rFonts w:ascii="Times New Roman" w:cs="Times New Roman" w:eastAsia="Times New Roman" w:hAnsi="Times New Roman"/>
          <w:sz w:val="18"/>
          <w:szCs w:val="18"/>
          <w:color w:val="auto"/>
        </w:rPr>
        <w:t>37</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9.6</w:t>
        <w:tab/>
        <w:t>PTP Tax Consequences</w:t>
      </w:r>
      <w:r>
        <w:rPr>
          <w:sz w:val="20"/>
          <w:szCs w:val="20"/>
          <w:color w:val="auto"/>
        </w:rPr>
        <w:tab/>
      </w:r>
      <w:r>
        <w:rPr>
          <w:rFonts w:ascii="Times New Roman" w:cs="Times New Roman" w:eastAsia="Times New Roman" w:hAnsi="Times New Roman"/>
          <w:sz w:val="18"/>
          <w:szCs w:val="18"/>
          <w:color w:val="auto"/>
        </w:rPr>
        <w:t>37</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9.7</w:t>
        <w:tab/>
        <w:t>Distributions</w:t>
      </w:r>
      <w:r>
        <w:rPr>
          <w:sz w:val="20"/>
          <w:szCs w:val="20"/>
          <w:color w:val="auto"/>
        </w:rPr>
        <w:tab/>
      </w:r>
      <w:r>
        <w:rPr>
          <w:rFonts w:ascii="Times New Roman" w:cs="Times New Roman" w:eastAsia="Times New Roman" w:hAnsi="Times New Roman"/>
          <w:sz w:val="18"/>
          <w:szCs w:val="18"/>
          <w:color w:val="auto"/>
        </w:rPr>
        <w:t>37</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9.8</w:t>
        <w:tab/>
        <w:t>Blocker Merger Transaction Cooperation</w:t>
      </w:r>
      <w:r>
        <w:rPr>
          <w:sz w:val="20"/>
          <w:szCs w:val="20"/>
          <w:color w:val="auto"/>
        </w:rPr>
        <w:tab/>
      </w:r>
      <w:r>
        <w:rPr>
          <w:rFonts w:ascii="Times New Roman" w:cs="Times New Roman" w:eastAsia="Times New Roman" w:hAnsi="Times New Roman"/>
          <w:sz w:val="18"/>
          <w:szCs w:val="18"/>
          <w:color w:val="auto"/>
        </w:rPr>
        <w:t>37</w:t>
      </w:r>
    </w:p>
    <w:p>
      <w:pPr>
        <w:spacing w:after="0" w:line="23" w:lineRule="exact"/>
        <w:rPr>
          <w:sz w:val="20"/>
          <w:szCs w:val="20"/>
          <w:color w:val="auto"/>
        </w:rPr>
      </w:pPr>
    </w:p>
    <w:p>
      <w:pPr>
        <w:spacing w:after="0"/>
        <w:tabs>
          <w:tab w:leader="dot" w:pos="10760" w:val="left"/>
        </w:tabs>
        <w:rPr>
          <w:sz w:val="20"/>
          <w:szCs w:val="20"/>
          <w:color w:val="auto"/>
        </w:rPr>
      </w:pPr>
      <w:r>
        <w:rPr>
          <w:rFonts w:ascii="Times New Roman" w:cs="Times New Roman" w:eastAsia="Times New Roman" w:hAnsi="Times New Roman"/>
          <w:sz w:val="18"/>
          <w:szCs w:val="18"/>
          <w:b w:val="1"/>
          <w:bCs w:val="1"/>
          <w:u w:val="single" w:color="auto"/>
          <w:color w:val="0000FF"/>
        </w:rPr>
        <w:t>ARTICLE X RESIGNATION OF UNITHOLDERS</w:t>
      </w:r>
      <w:r>
        <w:rPr>
          <w:sz w:val="20"/>
          <w:szCs w:val="20"/>
          <w:color w:val="auto"/>
        </w:rPr>
        <w:tab/>
      </w:r>
      <w:r>
        <w:rPr>
          <w:rFonts w:ascii="Times New Roman" w:cs="Times New Roman" w:eastAsia="Times New Roman" w:hAnsi="Times New Roman"/>
          <w:sz w:val="18"/>
          <w:szCs w:val="18"/>
          <w:color w:val="auto"/>
        </w:rPr>
        <w:t>38</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10.1</w:t>
        <w:tab/>
        <w:t>Resignation of Unitholders</w:t>
      </w:r>
      <w:r>
        <w:rPr>
          <w:sz w:val="20"/>
          <w:szCs w:val="20"/>
          <w:color w:val="auto"/>
        </w:rPr>
        <w:tab/>
      </w:r>
      <w:r>
        <w:rPr>
          <w:rFonts w:ascii="Times New Roman" w:cs="Times New Roman" w:eastAsia="Times New Roman" w:hAnsi="Times New Roman"/>
          <w:sz w:val="18"/>
          <w:szCs w:val="18"/>
          <w:color w:val="auto"/>
        </w:rPr>
        <w:t>38</w:t>
      </w:r>
    </w:p>
    <w:p>
      <w:pPr>
        <w:spacing w:after="0" w:line="23" w:lineRule="exact"/>
        <w:rPr>
          <w:sz w:val="20"/>
          <w:szCs w:val="20"/>
          <w:color w:val="auto"/>
        </w:rPr>
      </w:pPr>
    </w:p>
    <w:p>
      <w:pPr>
        <w:spacing w:after="0"/>
        <w:tabs>
          <w:tab w:leader="dot" w:pos="10760" w:val="left"/>
        </w:tabs>
        <w:rPr>
          <w:sz w:val="20"/>
          <w:szCs w:val="20"/>
          <w:color w:val="auto"/>
        </w:rPr>
      </w:pPr>
      <w:r>
        <w:rPr>
          <w:rFonts w:ascii="Times New Roman" w:cs="Times New Roman" w:eastAsia="Times New Roman" w:hAnsi="Times New Roman"/>
          <w:sz w:val="18"/>
          <w:szCs w:val="18"/>
          <w:b w:val="1"/>
          <w:bCs w:val="1"/>
          <w:u w:val="single" w:color="auto"/>
          <w:color w:val="0000FF"/>
        </w:rPr>
        <w:t>ARTICLE XI DISSOLUTION AND LIQUIDATION</w:t>
      </w:r>
      <w:r>
        <w:rPr>
          <w:sz w:val="20"/>
          <w:szCs w:val="20"/>
          <w:color w:val="auto"/>
        </w:rPr>
        <w:tab/>
      </w:r>
      <w:r>
        <w:rPr>
          <w:rFonts w:ascii="Times New Roman" w:cs="Times New Roman" w:eastAsia="Times New Roman" w:hAnsi="Times New Roman"/>
          <w:sz w:val="18"/>
          <w:szCs w:val="18"/>
          <w:color w:val="auto"/>
        </w:rPr>
        <w:t>38</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11.1</w:t>
        <w:tab/>
        <w:t>Dissolution</w:t>
      </w:r>
      <w:r>
        <w:rPr>
          <w:sz w:val="20"/>
          <w:szCs w:val="20"/>
          <w:color w:val="auto"/>
        </w:rPr>
        <w:tab/>
      </w:r>
      <w:r>
        <w:rPr>
          <w:rFonts w:ascii="Times New Roman" w:cs="Times New Roman" w:eastAsia="Times New Roman" w:hAnsi="Times New Roman"/>
          <w:sz w:val="18"/>
          <w:szCs w:val="18"/>
          <w:color w:val="auto"/>
        </w:rPr>
        <w:t>38</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11.2</w:t>
        <w:tab/>
        <w:t>Liquidation and Termination</w:t>
      </w:r>
      <w:r>
        <w:rPr>
          <w:sz w:val="20"/>
          <w:szCs w:val="20"/>
          <w:color w:val="auto"/>
        </w:rPr>
        <w:tab/>
      </w:r>
      <w:r>
        <w:rPr>
          <w:rFonts w:ascii="Times New Roman" w:cs="Times New Roman" w:eastAsia="Times New Roman" w:hAnsi="Times New Roman"/>
          <w:sz w:val="18"/>
          <w:szCs w:val="18"/>
          <w:color w:val="auto"/>
        </w:rPr>
        <w:t>38</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11.3</w:t>
        <w:tab/>
        <w:t>Securityholders Agreement</w:t>
      </w:r>
      <w:r>
        <w:rPr>
          <w:sz w:val="20"/>
          <w:szCs w:val="20"/>
          <w:color w:val="auto"/>
        </w:rPr>
        <w:tab/>
      </w:r>
      <w:r>
        <w:rPr>
          <w:rFonts w:ascii="Times New Roman" w:cs="Times New Roman" w:eastAsia="Times New Roman" w:hAnsi="Times New Roman"/>
          <w:sz w:val="18"/>
          <w:szCs w:val="18"/>
          <w:color w:val="auto"/>
        </w:rPr>
        <w:t>39</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11.4</w:t>
        <w:tab/>
        <w:t>Cancellation of Certificate</w:t>
      </w:r>
      <w:r>
        <w:rPr>
          <w:sz w:val="20"/>
          <w:szCs w:val="20"/>
          <w:color w:val="auto"/>
        </w:rPr>
        <w:tab/>
      </w:r>
      <w:r>
        <w:rPr>
          <w:rFonts w:ascii="Times New Roman" w:cs="Times New Roman" w:eastAsia="Times New Roman" w:hAnsi="Times New Roman"/>
          <w:sz w:val="18"/>
          <w:szCs w:val="18"/>
          <w:color w:val="auto"/>
        </w:rPr>
        <w:t>39</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11.5</w:t>
        <w:tab/>
        <w:t>Reasonable Time for Winding Up</w:t>
      </w:r>
      <w:r>
        <w:rPr>
          <w:sz w:val="20"/>
          <w:szCs w:val="20"/>
          <w:color w:val="auto"/>
        </w:rPr>
        <w:tab/>
      </w:r>
      <w:r>
        <w:rPr>
          <w:rFonts w:ascii="Times New Roman" w:cs="Times New Roman" w:eastAsia="Times New Roman" w:hAnsi="Times New Roman"/>
          <w:sz w:val="18"/>
          <w:szCs w:val="18"/>
          <w:color w:val="auto"/>
        </w:rPr>
        <w:t>40</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11.6</w:t>
        <w:tab/>
        <w:t>Return of Capital</w:t>
      </w:r>
      <w:r>
        <w:rPr>
          <w:sz w:val="20"/>
          <w:szCs w:val="20"/>
          <w:color w:val="auto"/>
        </w:rPr>
        <w:tab/>
      </w:r>
      <w:r>
        <w:rPr>
          <w:rFonts w:ascii="Times New Roman" w:cs="Times New Roman" w:eastAsia="Times New Roman" w:hAnsi="Times New Roman"/>
          <w:sz w:val="18"/>
          <w:szCs w:val="18"/>
          <w:color w:val="auto"/>
        </w:rPr>
        <w:t>40</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11.7</w:t>
        <w:tab/>
        <w:t>Hart-Scott-Rodino</w:t>
      </w:r>
      <w:r>
        <w:rPr>
          <w:sz w:val="20"/>
          <w:szCs w:val="20"/>
          <w:color w:val="auto"/>
        </w:rPr>
        <w:tab/>
      </w:r>
      <w:r>
        <w:rPr>
          <w:rFonts w:ascii="Times New Roman" w:cs="Times New Roman" w:eastAsia="Times New Roman" w:hAnsi="Times New Roman"/>
          <w:sz w:val="18"/>
          <w:szCs w:val="18"/>
          <w:color w:val="auto"/>
        </w:rPr>
        <w:t>40</w:t>
      </w:r>
    </w:p>
    <w:p>
      <w:pPr>
        <w:spacing w:after="0" w:line="23" w:lineRule="exact"/>
        <w:rPr>
          <w:sz w:val="20"/>
          <w:szCs w:val="20"/>
          <w:color w:val="auto"/>
        </w:rPr>
      </w:pPr>
    </w:p>
    <w:p>
      <w:pPr>
        <w:spacing w:after="0"/>
        <w:tabs>
          <w:tab w:leader="dot" w:pos="10760" w:val="left"/>
        </w:tabs>
        <w:rPr>
          <w:sz w:val="20"/>
          <w:szCs w:val="20"/>
          <w:color w:val="auto"/>
        </w:rPr>
      </w:pPr>
      <w:r>
        <w:rPr>
          <w:rFonts w:ascii="Times New Roman" w:cs="Times New Roman" w:eastAsia="Times New Roman" w:hAnsi="Times New Roman"/>
          <w:sz w:val="18"/>
          <w:szCs w:val="18"/>
          <w:b w:val="1"/>
          <w:bCs w:val="1"/>
          <w:u w:val="single" w:color="auto"/>
          <w:color w:val="0000FF"/>
        </w:rPr>
        <w:t>ARTICLE XII GENERAL PROVISIONS</w:t>
      </w:r>
      <w:r>
        <w:rPr>
          <w:sz w:val="20"/>
          <w:szCs w:val="20"/>
          <w:color w:val="auto"/>
        </w:rPr>
        <w:tab/>
      </w:r>
      <w:r>
        <w:rPr>
          <w:rFonts w:ascii="Times New Roman" w:cs="Times New Roman" w:eastAsia="Times New Roman" w:hAnsi="Times New Roman"/>
          <w:sz w:val="18"/>
          <w:szCs w:val="18"/>
          <w:color w:val="auto"/>
        </w:rPr>
        <w:t>40</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12.1</w:t>
        <w:tab/>
        <w:t>Power of Attorney</w:t>
      </w:r>
      <w:r>
        <w:rPr>
          <w:sz w:val="20"/>
          <w:szCs w:val="20"/>
          <w:color w:val="auto"/>
        </w:rPr>
        <w:tab/>
      </w:r>
      <w:r>
        <w:rPr>
          <w:rFonts w:ascii="Times New Roman" w:cs="Times New Roman" w:eastAsia="Times New Roman" w:hAnsi="Times New Roman"/>
          <w:sz w:val="18"/>
          <w:szCs w:val="18"/>
          <w:color w:val="auto"/>
        </w:rPr>
        <w:t>40</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12.2</w:t>
        <w:tab/>
        <w:t>Amendments</w:t>
      </w:r>
      <w:r>
        <w:rPr>
          <w:sz w:val="20"/>
          <w:szCs w:val="20"/>
          <w:color w:val="auto"/>
        </w:rPr>
        <w:tab/>
      </w:r>
      <w:r>
        <w:rPr>
          <w:rFonts w:ascii="Times New Roman" w:cs="Times New Roman" w:eastAsia="Times New Roman" w:hAnsi="Times New Roman"/>
          <w:sz w:val="18"/>
          <w:szCs w:val="18"/>
          <w:color w:val="auto"/>
        </w:rPr>
        <w:t>40</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12.3</w:t>
        <w:tab/>
        <w:t>Title to the Company Assets</w:t>
      </w:r>
      <w:r>
        <w:rPr>
          <w:sz w:val="20"/>
          <w:szCs w:val="20"/>
          <w:color w:val="auto"/>
        </w:rPr>
        <w:tab/>
      </w:r>
      <w:r>
        <w:rPr>
          <w:rFonts w:ascii="Times New Roman" w:cs="Times New Roman" w:eastAsia="Times New Roman" w:hAnsi="Times New Roman"/>
          <w:sz w:val="18"/>
          <w:szCs w:val="18"/>
          <w:color w:val="auto"/>
        </w:rPr>
        <w:t>40</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12.4</w:t>
        <w:tab/>
        <w:t>Remedies</w:t>
      </w:r>
      <w:r>
        <w:rPr>
          <w:sz w:val="20"/>
          <w:szCs w:val="20"/>
          <w:color w:val="auto"/>
        </w:rPr>
        <w:tab/>
      </w:r>
      <w:r>
        <w:rPr>
          <w:rFonts w:ascii="Times New Roman" w:cs="Times New Roman" w:eastAsia="Times New Roman" w:hAnsi="Times New Roman"/>
          <w:sz w:val="18"/>
          <w:szCs w:val="18"/>
          <w:color w:val="auto"/>
        </w:rPr>
        <w:t>41</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12.5</w:t>
        <w:tab/>
        <w:t>Successors and Assigns</w:t>
      </w:r>
      <w:r>
        <w:rPr>
          <w:sz w:val="20"/>
          <w:szCs w:val="20"/>
          <w:color w:val="auto"/>
        </w:rPr>
        <w:tab/>
      </w:r>
      <w:r>
        <w:rPr>
          <w:rFonts w:ascii="Times New Roman" w:cs="Times New Roman" w:eastAsia="Times New Roman" w:hAnsi="Times New Roman"/>
          <w:sz w:val="18"/>
          <w:szCs w:val="18"/>
          <w:color w:val="auto"/>
        </w:rPr>
        <w:t>41</w:t>
      </w:r>
    </w:p>
    <w:p>
      <w:pPr>
        <w:spacing w:after="0" w:line="23" w:lineRule="exact"/>
        <w:rPr>
          <w:sz w:val="20"/>
          <w:szCs w:val="20"/>
          <w:color w:val="auto"/>
        </w:rPr>
      </w:pPr>
    </w:p>
    <w:p>
      <w:pPr>
        <w:ind w:left="440"/>
        <w:spacing w:after="0"/>
        <w:tabs>
          <w:tab w:leader="none" w:pos="1500" w:val="left"/>
          <w:tab w:leader="dot" w:pos="10760" w:val="left"/>
        </w:tabs>
        <w:rPr>
          <w:sz w:val="20"/>
          <w:szCs w:val="20"/>
          <w:color w:val="auto"/>
        </w:rPr>
      </w:pPr>
      <w:r>
        <w:rPr>
          <w:rFonts w:ascii="Times New Roman" w:cs="Times New Roman" w:eastAsia="Times New Roman" w:hAnsi="Times New Roman"/>
          <w:sz w:val="18"/>
          <w:szCs w:val="18"/>
          <w:color w:val="auto"/>
        </w:rPr>
        <w:t>Section 12.6</w:t>
        <w:tab/>
        <w:t>Severability</w:t>
      </w:r>
      <w:r>
        <w:rPr>
          <w:sz w:val="20"/>
          <w:szCs w:val="20"/>
          <w:color w:val="auto"/>
        </w:rPr>
        <w:tab/>
      </w: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121" w:right="599" w:bottom="1440" w:gutter="0" w:footer="0" w:header="0"/>
        </w:sectPr>
      </w:pPr>
    </w:p>
    <w:bookmarkStart w:id="113" w:name="page114"/>
    <w:bookmarkEnd w:id="113"/>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12.7</w:t>
        <w:tab/>
        <w:t>Counterparts; Binding Agreement</w:t>
      </w:r>
      <w:r>
        <w:rPr>
          <w:sz w:val="20"/>
          <w:szCs w:val="20"/>
          <w:color w:val="auto"/>
        </w:rPr>
        <w:tab/>
      </w:r>
      <w:r>
        <w:rPr>
          <w:rFonts w:ascii="Times New Roman" w:cs="Times New Roman" w:eastAsia="Times New Roman" w:hAnsi="Times New Roman"/>
          <w:sz w:val="18"/>
          <w:szCs w:val="18"/>
          <w:color w:val="auto"/>
        </w:rPr>
        <w:t>41</w:t>
      </w:r>
    </w:p>
    <w:p>
      <w:pPr>
        <w:spacing w:after="0" w:line="27"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12.8</w:t>
        <w:tab/>
        <w:t>Descriptive Headings; Interpretation</w:t>
      </w:r>
      <w:r>
        <w:rPr>
          <w:sz w:val="20"/>
          <w:szCs w:val="20"/>
          <w:color w:val="auto"/>
        </w:rPr>
        <w:tab/>
      </w:r>
      <w:r>
        <w:rPr>
          <w:rFonts w:ascii="Times New Roman" w:cs="Times New Roman" w:eastAsia="Times New Roman" w:hAnsi="Times New Roman"/>
          <w:sz w:val="18"/>
          <w:szCs w:val="18"/>
          <w:color w:val="auto"/>
        </w:rPr>
        <w:t>41</w:t>
      </w:r>
    </w:p>
    <w:p>
      <w:pPr>
        <w:spacing w:after="0" w:line="23" w:lineRule="exact"/>
        <w:rPr>
          <w:sz w:val="20"/>
          <w:szCs w:val="20"/>
          <w:color w:val="auto"/>
        </w:rPr>
      </w:pPr>
    </w:p>
    <w:p>
      <w:pPr>
        <w:ind w:left="460"/>
        <w:spacing w:after="0"/>
        <w:tabs>
          <w:tab w:leader="none" w:pos="1520" w:val="left"/>
          <w:tab w:leader="dot" w:pos="10780" w:val="left"/>
        </w:tabs>
        <w:rPr>
          <w:sz w:val="20"/>
          <w:szCs w:val="20"/>
          <w:color w:val="auto"/>
        </w:rPr>
      </w:pPr>
      <w:r>
        <w:rPr>
          <w:rFonts w:ascii="Times New Roman" w:cs="Times New Roman" w:eastAsia="Times New Roman" w:hAnsi="Times New Roman"/>
          <w:sz w:val="18"/>
          <w:szCs w:val="18"/>
          <w:color w:val="auto"/>
        </w:rPr>
        <w:t>Section 12.9</w:t>
        <w:tab/>
        <w:t>Applicable Law</w:t>
      </w:r>
      <w:r>
        <w:rPr>
          <w:sz w:val="20"/>
          <w:szCs w:val="20"/>
          <w:color w:val="auto"/>
        </w:rPr>
        <w:tab/>
      </w:r>
      <w:r>
        <w:rPr>
          <w:rFonts w:ascii="Times New Roman" w:cs="Times New Roman" w:eastAsia="Times New Roman" w:hAnsi="Times New Roman"/>
          <w:sz w:val="18"/>
          <w:szCs w:val="18"/>
          <w:color w:val="auto"/>
        </w:rPr>
        <w:t>41</w:t>
      </w:r>
    </w:p>
    <w:p>
      <w:pPr>
        <w:spacing w:after="0" w:line="23" w:lineRule="exact"/>
        <w:rPr>
          <w:sz w:val="20"/>
          <w:szCs w:val="20"/>
          <w:color w:val="auto"/>
        </w:rPr>
      </w:pPr>
    </w:p>
    <w:p>
      <w:pPr>
        <w:ind w:left="460"/>
        <w:spacing w:after="0"/>
        <w:tabs>
          <w:tab w:leader="dot" w:pos="10780" w:val="left"/>
        </w:tabs>
        <w:rPr>
          <w:sz w:val="20"/>
          <w:szCs w:val="20"/>
          <w:color w:val="auto"/>
        </w:rPr>
      </w:pPr>
      <w:r>
        <w:rPr>
          <w:rFonts w:ascii="Times New Roman" w:cs="Times New Roman" w:eastAsia="Times New Roman" w:hAnsi="Times New Roman"/>
          <w:sz w:val="18"/>
          <w:szCs w:val="18"/>
          <w:color w:val="auto"/>
        </w:rPr>
        <w:t>Section 12.10 Addresses and Notices</w:t>
      </w:r>
      <w:r>
        <w:rPr>
          <w:sz w:val="20"/>
          <w:szCs w:val="20"/>
          <w:color w:val="auto"/>
        </w:rPr>
        <w:tab/>
      </w:r>
      <w:r>
        <w:rPr>
          <w:rFonts w:ascii="Times New Roman" w:cs="Times New Roman" w:eastAsia="Times New Roman" w:hAnsi="Times New Roman"/>
          <w:sz w:val="18"/>
          <w:szCs w:val="18"/>
          <w:color w:val="auto"/>
        </w:rPr>
        <w:t>42</w:t>
      </w:r>
    </w:p>
    <w:p>
      <w:pPr>
        <w:spacing w:after="0" w:line="23" w:lineRule="exact"/>
        <w:rPr>
          <w:sz w:val="20"/>
          <w:szCs w:val="20"/>
          <w:color w:val="auto"/>
        </w:rPr>
      </w:pPr>
    </w:p>
    <w:p>
      <w:pPr>
        <w:ind w:left="460"/>
        <w:spacing w:after="0"/>
        <w:tabs>
          <w:tab w:leader="dot" w:pos="10780" w:val="left"/>
        </w:tabs>
        <w:rPr>
          <w:sz w:val="20"/>
          <w:szCs w:val="20"/>
          <w:color w:val="auto"/>
        </w:rPr>
      </w:pPr>
      <w:r>
        <w:rPr>
          <w:rFonts w:ascii="Times New Roman" w:cs="Times New Roman" w:eastAsia="Times New Roman" w:hAnsi="Times New Roman"/>
          <w:sz w:val="18"/>
          <w:szCs w:val="18"/>
          <w:color w:val="auto"/>
        </w:rPr>
        <w:t>Section 12.11 Creditors</w:t>
      </w:r>
      <w:r>
        <w:rPr>
          <w:sz w:val="20"/>
          <w:szCs w:val="20"/>
          <w:color w:val="auto"/>
        </w:rPr>
        <w:tab/>
      </w:r>
      <w:r>
        <w:rPr>
          <w:rFonts w:ascii="Times New Roman" w:cs="Times New Roman" w:eastAsia="Times New Roman" w:hAnsi="Times New Roman"/>
          <w:sz w:val="18"/>
          <w:szCs w:val="18"/>
          <w:color w:val="auto"/>
        </w:rPr>
        <w:t>42</w:t>
      </w:r>
    </w:p>
    <w:p>
      <w:pPr>
        <w:spacing w:after="0" w:line="23" w:lineRule="exact"/>
        <w:rPr>
          <w:sz w:val="20"/>
          <w:szCs w:val="20"/>
          <w:color w:val="auto"/>
        </w:rPr>
      </w:pPr>
    </w:p>
    <w:p>
      <w:pPr>
        <w:ind w:left="460"/>
        <w:spacing w:after="0"/>
        <w:tabs>
          <w:tab w:leader="dot" w:pos="10780" w:val="left"/>
        </w:tabs>
        <w:rPr>
          <w:sz w:val="20"/>
          <w:szCs w:val="20"/>
          <w:color w:val="auto"/>
        </w:rPr>
      </w:pPr>
      <w:r>
        <w:rPr>
          <w:rFonts w:ascii="Times New Roman" w:cs="Times New Roman" w:eastAsia="Times New Roman" w:hAnsi="Times New Roman"/>
          <w:sz w:val="18"/>
          <w:szCs w:val="18"/>
          <w:color w:val="auto"/>
        </w:rPr>
        <w:t>Section 12.12 No Waiver</w:t>
      </w:r>
      <w:r>
        <w:rPr>
          <w:sz w:val="20"/>
          <w:szCs w:val="20"/>
          <w:color w:val="auto"/>
        </w:rPr>
        <w:tab/>
      </w:r>
      <w:r>
        <w:rPr>
          <w:rFonts w:ascii="Times New Roman" w:cs="Times New Roman" w:eastAsia="Times New Roman" w:hAnsi="Times New Roman"/>
          <w:sz w:val="18"/>
          <w:szCs w:val="18"/>
          <w:color w:val="auto"/>
        </w:rPr>
        <w:t>42</w:t>
      </w:r>
    </w:p>
    <w:p>
      <w:pPr>
        <w:spacing w:after="0" w:line="23" w:lineRule="exact"/>
        <w:rPr>
          <w:sz w:val="20"/>
          <w:szCs w:val="20"/>
          <w:color w:val="auto"/>
        </w:rPr>
      </w:pPr>
    </w:p>
    <w:p>
      <w:pPr>
        <w:ind w:left="460"/>
        <w:spacing w:after="0"/>
        <w:tabs>
          <w:tab w:leader="dot" w:pos="10780" w:val="left"/>
        </w:tabs>
        <w:rPr>
          <w:sz w:val="20"/>
          <w:szCs w:val="20"/>
          <w:color w:val="auto"/>
        </w:rPr>
      </w:pPr>
      <w:r>
        <w:rPr>
          <w:rFonts w:ascii="Times New Roman" w:cs="Times New Roman" w:eastAsia="Times New Roman" w:hAnsi="Times New Roman"/>
          <w:sz w:val="18"/>
          <w:szCs w:val="18"/>
          <w:color w:val="auto"/>
        </w:rPr>
        <w:t>Section 12.13 Further Action</w:t>
      </w:r>
      <w:r>
        <w:rPr>
          <w:sz w:val="20"/>
          <w:szCs w:val="20"/>
          <w:color w:val="auto"/>
        </w:rPr>
        <w:tab/>
      </w:r>
      <w:r>
        <w:rPr>
          <w:rFonts w:ascii="Times New Roman" w:cs="Times New Roman" w:eastAsia="Times New Roman" w:hAnsi="Times New Roman"/>
          <w:sz w:val="18"/>
          <w:szCs w:val="18"/>
          <w:color w:val="auto"/>
        </w:rPr>
        <w:t>42</w:t>
      </w:r>
    </w:p>
    <w:p>
      <w:pPr>
        <w:spacing w:after="0" w:line="23" w:lineRule="exact"/>
        <w:rPr>
          <w:sz w:val="20"/>
          <w:szCs w:val="20"/>
          <w:color w:val="auto"/>
        </w:rPr>
      </w:pPr>
    </w:p>
    <w:p>
      <w:pPr>
        <w:ind w:left="460"/>
        <w:spacing w:after="0"/>
        <w:tabs>
          <w:tab w:leader="dot" w:pos="10780" w:val="left"/>
        </w:tabs>
        <w:rPr>
          <w:sz w:val="20"/>
          <w:szCs w:val="20"/>
          <w:color w:val="auto"/>
        </w:rPr>
      </w:pPr>
      <w:r>
        <w:rPr>
          <w:rFonts w:ascii="Times New Roman" w:cs="Times New Roman" w:eastAsia="Times New Roman" w:hAnsi="Times New Roman"/>
          <w:sz w:val="18"/>
          <w:szCs w:val="18"/>
          <w:color w:val="auto"/>
        </w:rPr>
        <w:t>Section 12.14 Entire Agreement</w:t>
      </w:r>
      <w:r>
        <w:rPr>
          <w:sz w:val="20"/>
          <w:szCs w:val="20"/>
          <w:color w:val="auto"/>
        </w:rPr>
        <w:tab/>
      </w:r>
      <w:r>
        <w:rPr>
          <w:rFonts w:ascii="Times New Roman" w:cs="Times New Roman" w:eastAsia="Times New Roman" w:hAnsi="Times New Roman"/>
          <w:sz w:val="18"/>
          <w:szCs w:val="18"/>
          <w:color w:val="auto"/>
        </w:rPr>
        <w:t>42</w:t>
      </w:r>
    </w:p>
    <w:p>
      <w:pPr>
        <w:spacing w:after="0" w:line="23" w:lineRule="exact"/>
        <w:rPr>
          <w:sz w:val="20"/>
          <w:szCs w:val="20"/>
          <w:color w:val="auto"/>
        </w:rPr>
      </w:pPr>
    </w:p>
    <w:p>
      <w:pPr>
        <w:ind w:left="460"/>
        <w:spacing w:after="0"/>
        <w:tabs>
          <w:tab w:leader="dot" w:pos="10780" w:val="left"/>
        </w:tabs>
        <w:rPr>
          <w:sz w:val="20"/>
          <w:szCs w:val="20"/>
          <w:color w:val="auto"/>
        </w:rPr>
      </w:pPr>
      <w:r>
        <w:rPr>
          <w:rFonts w:ascii="Times New Roman" w:cs="Times New Roman" w:eastAsia="Times New Roman" w:hAnsi="Times New Roman"/>
          <w:sz w:val="18"/>
          <w:szCs w:val="18"/>
          <w:color w:val="auto"/>
        </w:rPr>
        <w:t>Section 12.15 Delivery by Electronic Means</w:t>
      </w:r>
      <w:r>
        <w:rPr>
          <w:sz w:val="20"/>
          <w:szCs w:val="20"/>
          <w:color w:val="auto"/>
        </w:rPr>
        <w:tab/>
      </w:r>
      <w:r>
        <w:rPr>
          <w:rFonts w:ascii="Times New Roman" w:cs="Times New Roman" w:eastAsia="Times New Roman" w:hAnsi="Times New Roman"/>
          <w:sz w:val="18"/>
          <w:szCs w:val="18"/>
          <w:color w:val="auto"/>
        </w:rPr>
        <w:t>42</w:t>
      </w:r>
    </w:p>
    <w:p>
      <w:pPr>
        <w:spacing w:after="0" w:line="23" w:lineRule="exact"/>
        <w:rPr>
          <w:sz w:val="20"/>
          <w:szCs w:val="20"/>
          <w:color w:val="auto"/>
        </w:rPr>
      </w:pPr>
    </w:p>
    <w:p>
      <w:pPr>
        <w:ind w:left="460"/>
        <w:spacing w:after="0"/>
        <w:tabs>
          <w:tab w:leader="dot" w:pos="10780" w:val="left"/>
        </w:tabs>
        <w:rPr>
          <w:sz w:val="20"/>
          <w:szCs w:val="20"/>
          <w:color w:val="auto"/>
        </w:rPr>
      </w:pPr>
      <w:r>
        <w:rPr>
          <w:rFonts w:ascii="Times New Roman" w:cs="Times New Roman" w:eastAsia="Times New Roman" w:hAnsi="Times New Roman"/>
          <w:sz w:val="18"/>
          <w:szCs w:val="18"/>
          <w:color w:val="auto"/>
        </w:rPr>
        <w:t>Section 12.16 Certain Acknowledgments</w:t>
      </w:r>
      <w:r>
        <w:rPr>
          <w:sz w:val="20"/>
          <w:szCs w:val="20"/>
          <w:color w:val="auto"/>
        </w:rPr>
        <w:tab/>
      </w:r>
      <w:r>
        <w:rPr>
          <w:rFonts w:ascii="Times New Roman" w:cs="Times New Roman" w:eastAsia="Times New Roman" w:hAnsi="Times New Roman"/>
          <w:sz w:val="18"/>
          <w:szCs w:val="18"/>
          <w:color w:val="auto"/>
        </w:rPr>
        <w:t>42</w:t>
      </w:r>
    </w:p>
    <w:p>
      <w:pPr>
        <w:spacing w:after="0" w:line="23" w:lineRule="exact"/>
        <w:rPr>
          <w:sz w:val="20"/>
          <w:szCs w:val="20"/>
          <w:color w:val="auto"/>
        </w:rPr>
      </w:pPr>
    </w:p>
    <w:p>
      <w:pPr>
        <w:ind w:left="460"/>
        <w:spacing w:after="0"/>
        <w:tabs>
          <w:tab w:leader="dot" w:pos="10780" w:val="left"/>
        </w:tabs>
        <w:rPr>
          <w:sz w:val="20"/>
          <w:szCs w:val="20"/>
          <w:color w:val="auto"/>
        </w:rPr>
      </w:pPr>
      <w:r>
        <w:rPr>
          <w:rFonts w:ascii="Times New Roman" w:cs="Times New Roman" w:eastAsia="Times New Roman" w:hAnsi="Times New Roman"/>
          <w:sz w:val="18"/>
          <w:szCs w:val="18"/>
          <w:color w:val="auto"/>
        </w:rPr>
        <w:t>Section 12.17 Consent to Jurisdiction; WAIVER OF TRIAL BY JURY</w:t>
      </w:r>
      <w:r>
        <w:rPr>
          <w:sz w:val="20"/>
          <w:szCs w:val="20"/>
          <w:color w:val="auto"/>
        </w:rPr>
        <w:tab/>
      </w:r>
      <w:r>
        <w:rPr>
          <w:rFonts w:ascii="Times New Roman" w:cs="Times New Roman" w:eastAsia="Times New Roman" w:hAnsi="Times New Roman"/>
          <w:sz w:val="18"/>
          <w:szCs w:val="18"/>
          <w:color w:val="auto"/>
        </w:rPr>
        <w:t>43</w:t>
      </w:r>
    </w:p>
    <w:p>
      <w:pPr>
        <w:spacing w:after="0" w:line="23" w:lineRule="exact"/>
        <w:rPr>
          <w:sz w:val="20"/>
          <w:szCs w:val="20"/>
          <w:color w:val="auto"/>
        </w:rPr>
      </w:pPr>
    </w:p>
    <w:p>
      <w:pPr>
        <w:ind w:left="460"/>
        <w:spacing w:after="0"/>
        <w:tabs>
          <w:tab w:leader="dot" w:pos="10780" w:val="left"/>
        </w:tabs>
        <w:rPr>
          <w:sz w:val="20"/>
          <w:szCs w:val="20"/>
          <w:color w:val="auto"/>
        </w:rPr>
      </w:pPr>
      <w:r>
        <w:rPr>
          <w:rFonts w:ascii="Times New Roman" w:cs="Times New Roman" w:eastAsia="Times New Roman" w:hAnsi="Times New Roman"/>
          <w:sz w:val="18"/>
          <w:szCs w:val="18"/>
          <w:color w:val="auto"/>
        </w:rPr>
        <w:t>Section 12.18 Representations and Warranties</w:t>
      </w:r>
      <w:r>
        <w:rPr>
          <w:sz w:val="20"/>
          <w:szCs w:val="20"/>
          <w:color w:val="auto"/>
        </w:rPr>
        <w:tab/>
      </w:r>
      <w:r>
        <w:rPr>
          <w:rFonts w:ascii="Times New Roman" w:cs="Times New Roman" w:eastAsia="Times New Roman" w:hAnsi="Times New Roman"/>
          <w:sz w:val="18"/>
          <w:szCs w:val="18"/>
          <w:color w:val="auto"/>
        </w:rPr>
        <w:t>43</w:t>
      </w:r>
    </w:p>
    <w:p>
      <w:pPr>
        <w:spacing w:after="0" w:line="23" w:lineRule="exact"/>
        <w:rPr>
          <w:sz w:val="20"/>
          <w:szCs w:val="20"/>
          <w:color w:val="auto"/>
        </w:rPr>
      </w:pPr>
    </w:p>
    <w:p>
      <w:pPr>
        <w:ind w:left="460"/>
        <w:spacing w:after="0"/>
        <w:tabs>
          <w:tab w:leader="dot" w:pos="10780" w:val="left"/>
        </w:tabs>
        <w:rPr>
          <w:sz w:val="20"/>
          <w:szCs w:val="20"/>
          <w:color w:val="auto"/>
        </w:rPr>
      </w:pPr>
      <w:r>
        <w:rPr>
          <w:rFonts w:ascii="Times New Roman" w:cs="Times New Roman" w:eastAsia="Times New Roman" w:hAnsi="Times New Roman"/>
          <w:sz w:val="18"/>
          <w:szCs w:val="18"/>
          <w:color w:val="auto"/>
        </w:rPr>
        <w:t>Section 12.19 Tax Receivable Agreement</w:t>
      </w:r>
      <w:r>
        <w:rPr>
          <w:sz w:val="20"/>
          <w:szCs w:val="20"/>
          <w:color w:val="auto"/>
        </w:rPr>
        <w:tab/>
      </w: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HOYA INTERMEDIATE, LLC SECOND 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LIMITED LIABILITY COMPANY AGREEMENT</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THIS SECOND AMENDED AND RESTATED LIMITED LIABILITY COMPANY AGREEMENT of Hoya Intermediate, LLC, a Delaware limited liability company (the “</w:t>
      </w:r>
      <w:r>
        <w:rPr>
          <w:rFonts w:ascii="Times New Roman" w:cs="Times New Roman" w:eastAsia="Times New Roman" w:hAnsi="Times New Roman"/>
          <w:sz w:val="21"/>
          <w:szCs w:val="21"/>
          <w:u w:val="single" w:color="auto"/>
          <w:color w:val="auto"/>
        </w:rPr>
        <w:t>Compan</w:t>
      </w:r>
      <w:r>
        <w:rPr>
          <w:rFonts w:ascii="Times New Roman" w:cs="Times New Roman" w:eastAsia="Times New Roman" w:hAnsi="Times New Roman"/>
          <w:sz w:val="21"/>
          <w:szCs w:val="21"/>
          <w:color w:val="auto"/>
        </w:rPr>
        <w:t>y”), is entered into as of October 18, 2021, by and among the Company, Vivid Seats Inc., a Delaware corporation (“</w:t>
      </w:r>
      <w:r>
        <w:rPr>
          <w:rFonts w:ascii="Times New Roman" w:cs="Times New Roman" w:eastAsia="Times New Roman" w:hAnsi="Times New Roman"/>
          <w:sz w:val="21"/>
          <w:szCs w:val="21"/>
          <w:u w:val="single" w:color="auto"/>
          <w:color w:val="auto"/>
        </w:rPr>
        <w:t>Vivid Seats</w:t>
      </w:r>
      <w:r>
        <w:rPr>
          <w:rFonts w:ascii="Times New Roman" w:cs="Times New Roman" w:eastAsia="Times New Roman" w:hAnsi="Times New Roman"/>
          <w:sz w:val="21"/>
          <w:szCs w:val="21"/>
          <w:color w:val="auto"/>
        </w:rPr>
        <w:t>”), and Hoya Topco, LLC, a Delaware limited liability company (“</w:t>
      </w:r>
      <w:r>
        <w:rPr>
          <w:rFonts w:ascii="Times New Roman" w:cs="Times New Roman" w:eastAsia="Times New Roman" w:hAnsi="Times New Roman"/>
          <w:sz w:val="21"/>
          <w:szCs w:val="21"/>
          <w:u w:val="single" w:color="auto"/>
          <w:color w:val="auto"/>
        </w:rPr>
        <w:t>TopCo</w:t>
      </w:r>
      <w:r>
        <w:rPr>
          <w:rFonts w:ascii="Times New Roman" w:cs="Times New Roman" w:eastAsia="Times New Roman" w:hAnsi="Times New Roman"/>
          <w:sz w:val="21"/>
          <w:szCs w:val="21"/>
          <w:color w:val="auto"/>
        </w:rPr>
        <w:t xml:space="preserve">”). Capitalized terms used but not otherwise defined herein shall have the meanings ascribed to such terms in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the Certificate was filed with the Office of the Secretary of State of Delaware on February 16, 2016;</w:t>
      </w:r>
    </w:p>
    <w:p>
      <w:pPr>
        <w:spacing w:after="0" w:line="2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WHEREAS, the Amended and Restated Limited Liability Agreement of the Company, was entered into as of June 30,2017, and subsequently amended by that certain First Amendment, dated as of January 25,2018 (as so amended, the “</w:t>
      </w:r>
      <w:r>
        <w:rPr>
          <w:rFonts w:ascii="Times New Roman" w:cs="Times New Roman" w:eastAsia="Times New Roman" w:hAnsi="Times New Roman"/>
          <w:sz w:val="21"/>
          <w:szCs w:val="21"/>
          <w:u w:val="single" w:color="auto"/>
          <w:color w:val="auto"/>
        </w:rPr>
        <w:t>Prior Agreement</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WHEREAS, the Company is party to that certain Transaction Agreement, dated as of April 21, 2021 (the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by and among Horizon Acquisition Corporation, a Cayman Islands exempted company (“</w:t>
      </w:r>
      <w:r>
        <w:rPr>
          <w:rFonts w:ascii="Times New Roman" w:cs="Times New Roman" w:eastAsia="Times New Roman" w:hAnsi="Times New Roman"/>
          <w:sz w:val="21"/>
          <w:szCs w:val="21"/>
          <w:u w:val="single" w:color="auto"/>
          <w:color w:val="auto"/>
        </w:rPr>
        <w:t>Horizon</w:t>
      </w:r>
      <w:r>
        <w:rPr>
          <w:rFonts w:ascii="Times New Roman" w:cs="Times New Roman" w:eastAsia="Times New Roman" w:hAnsi="Times New Roman"/>
          <w:sz w:val="21"/>
          <w:szCs w:val="21"/>
          <w:color w:val="auto"/>
        </w:rPr>
        <w:t xml:space="preserve">”), Horizon Sponsor, LLC, a Delaware limited liability company, TopCo, the Company and Vivid Seats, pursuant to which, among other things, (i) the Company entered into a merger with Hoya Merger Sub LLC and, in connection with the merger, the Company’s equity interests were recapitalized into Common Units and all unitholders of the Company (other than TopCo and the Crescent Holders) received units in TopCo, (ii) Horizon was merged with and into Vivid Seats, with Vivid Seats remaining as the surviving corporation of the merger, (iii) Vivid Seats will be admitted as a Member of the Company and will contribute funds to the Company in exchange for newly-issued Common Units in the Company, (iv) Vivid Seats will purchase, directly or indirectly, Common Units in the Company from the Crescent Blocker Sellers, (v) Vivid Seats will issue Class B Common Stock and warrants to purchase Class B Common Stock to TopCo, (vi) the Company will issue Warrants to Vivid Seats pursuant to a Warrant Agreement, (vii) the Company will issue Warrants to TopCo pursuant to a Warrant Agreement, (viii) the Company will redeem all Common Units held by the Redeemed Crescent Parties, and (ix) Vivid Seats, the Company and TopCo will enter into a Tax Receivable Agreement (as defined below), pursuant to which Vivid Seats will be obligated to make payments to certain parties related to certain tax benefits realized or deemed realized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(ix)</w:t>
      </w:r>
      <w:r>
        <w:rPr>
          <w:rFonts w:ascii="Times New Roman" w:cs="Times New Roman" w:eastAsia="Times New Roman" w:hAnsi="Times New Roman"/>
          <w:sz w:val="21"/>
          <w:szCs w:val="21"/>
          <w:color w:val="auto"/>
        </w:rPr>
        <w:t>, collectively, the“</w:t>
      </w:r>
      <w:r>
        <w:rPr>
          <w:rFonts w:ascii="Times New Roman" w:cs="Times New Roman" w:eastAsia="Times New Roman" w:hAnsi="Times New Roman"/>
          <w:sz w:val="21"/>
          <w:szCs w:val="21"/>
          <w:u w:val="single" w:color="auto"/>
          <w:color w:val="auto"/>
        </w:rPr>
        <w:t>Transactions</w:t>
      </w:r>
      <w:r>
        <w:rPr>
          <w:rFonts w:ascii="Times New Roman" w:cs="Times New Roman" w:eastAsia="Times New Roman" w:hAnsi="Times New Roman"/>
          <w:sz w:val="21"/>
          <w:szCs w:val="21"/>
          <w:color w:val="auto"/>
        </w:rPr>
        <w:t>”);and</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WHEREAS, the parties desire to amend and restate the Prior Agreement as set forth herein to give effect to the Transactions and reflect the admission of Vivid Seats as a Member of the Company.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NOW, THEREFORE, in consideration of the mutual covenants contained herein and other good and valuable consideration, the receipt and sufficiency of which are hereby acknowledged, the Members, intending to be legally bound, hereby agree as follows:</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used but not otherwise defined herein shall have the following meaning:</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Member</w:t>
      </w:r>
      <w:r>
        <w:rPr>
          <w:rFonts w:ascii="Times New Roman" w:cs="Times New Roman" w:eastAsia="Times New Roman" w:hAnsi="Times New Roman"/>
          <w:sz w:val="22"/>
          <w:szCs w:val="22"/>
          <w:color w:val="auto"/>
        </w:rPr>
        <w:t xml:space="preserve">” means a Person admitted to the Company as a Member pursuant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in connection with issuance of Units to such Person in compliance with the terms of this Agreement.</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Capital Account Deficit</w:t>
      </w:r>
      <w:r>
        <w:rPr>
          <w:rFonts w:ascii="Times New Roman" w:cs="Times New Roman" w:eastAsia="Times New Roman" w:hAnsi="Times New Roman"/>
          <w:sz w:val="22"/>
          <w:szCs w:val="22"/>
          <w:color w:val="auto"/>
        </w:rPr>
        <w:t>” means, with respect to any Capital Account as of the end of any Taxable Year, the amount by which the balance in such Capital Account is less than zero. For this purpose, such Person’s Capital Account balance shall be (i) reduced for any items described in Treasury Regulation Section 1.704-1(b)(2)(ii)(d)(4), (5), and (6), and (ii) increased for any amount such Person is obligated to contribute or is treated as being obligated to contribute to the Company pursuant to Treasury Regulation Sections 1.704-1(b)(2)(ii)(c) (relating to partner liabilities to a partnership) or 1.704-2(g)(1) and 1.704-2(i) (relating to Minimum Gain).</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of any Person means any other Person controlled by, controlling or under common control with such Person, and in the case of any Unitholder that is a partnership, limited liability company, corporation or similar entity, any partner, member or stockholder of such Unitholder;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Company and its Subsidiaries shall not be deemed to be Affiliates of any Unitholder. As used in this definition, “control” (including, with its correlative meanings, “controlling,” “controlled by” and “under common control with”) shall mean possession, directly or indirectly, of power to direct or cause the direction of management or policies (whether through ownership of securities, by contract or otherwise).</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Second Amended and Restated Limited Liability Company Agreement, as it may be amended, modified and/or waived from time to time in accordance with the terms hereof.</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Tax Liability</w:t>
      </w:r>
      <w:r>
        <w:rPr>
          <w:rFonts w:ascii="Times New Roman" w:cs="Times New Roman" w:eastAsia="Times New Roman" w:hAnsi="Times New Roman"/>
          <w:sz w:val="22"/>
          <w:szCs w:val="22"/>
          <w:color w:val="auto"/>
        </w:rPr>
        <w:t>” means, with respect to any Unitholder for any Fiscal Quarter or the portion thereof, an amount, which in the good faith estimation of the Board, equals the product of (a) the amount of taxable income of the Company allocable to such Unitholder in respect of such Fiscal Quarter or portion thereof (which shall include gross or net income allocations of items of Profit or Loss and guaranteed payments for the use of capital), determined (x) without regard to adjustments under Section 732(d), 734(b) and 743(b) of the Code and (y) reducing such taxable income by net taxable losses, deductions or credits of the Company allocated to such Unitholder for prior taxable periods or portions thereof to the extent that such losses, deductions or credits (1)are of a type or character (e.g., in the case of losses, ordinary or capital) that would permit the losses, deductions or credits to be deducted or utilized by such Unitholder against the current taxable income of the Company allocable to the Unitholder for such Fiscal Quarter and (2) have not previously been taken into account in determining such Unitholder’s Assumed Tax Liability, multiplied by (b) the Assumed Tax Rate.</w:t>
      </w:r>
    </w:p>
    <w:p>
      <w:pPr>
        <w:spacing w:after="0" w:line="206"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Tax Rate</w:t>
      </w:r>
      <w:r>
        <w:rPr>
          <w:rFonts w:ascii="Times New Roman" w:cs="Times New Roman" w:eastAsia="Times New Roman" w:hAnsi="Times New Roman"/>
          <w:sz w:val="22"/>
          <w:szCs w:val="22"/>
          <w:color w:val="auto"/>
        </w:rPr>
        <w:t>” means the combined maximum U.S. federal, state, and local income tax rate applicable to a taxable individual or corporation in any jurisdiction in the United States (whichever is higher), including pursuant to Section 1411 of the Code, in each case, taking into account all jurisdictions in which the Company is required to file income tax returns and the relevant apportionment information, in effect for the applicable Fiscal Quarter (taking into account the character of the income and excluding any reductions in rates attributable to Section 199A of the Code). The Assumed Tax Rate shall be the same for all Unitholders, regardless of the actual combined income tax rate of the Unitholder or its direct or indirect owners and the Manager may adjust the Assumed Tax Rate as it reasonably determines is necessary to take into account the effect of any changes in applicable tax law.</w:t>
      </w:r>
    </w:p>
    <w:p>
      <w:pPr>
        <w:spacing w:after="0" w:line="2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means, as of any date, a variable rate per annum equal to the rate of interest most recently published by The Wall Street Journal as the “</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at large U.S. money center banks.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Blocker Corporation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Blocker Merger Transaction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 Value</w:t>
      </w:r>
      <w:r>
        <w:rPr>
          <w:rFonts w:ascii="Times New Roman" w:cs="Times New Roman" w:eastAsia="Times New Roman" w:hAnsi="Times New Roman"/>
          <w:sz w:val="22"/>
          <w:szCs w:val="22"/>
          <w:color w:val="auto"/>
        </w:rPr>
        <w:t>” means, with respect to any of the Company property, the Company’s adjusted basis for U.S. federal income Tax purposes, adjusted from time to time to reflect the adjustments required or permitted (in the case of permitted adjustments, to the extent the Company makes such permitted adjustments) by Treasury Regulation Sections 1.704-1(b)(2)(iv)(d)-(g).</w:t>
      </w:r>
    </w:p>
    <w:p>
      <w:pPr>
        <w:spacing w:after="0" w:line="20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Sunday or other day on which the banks in New York, New York or San Diego, California are authorized by law to be closed.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Account</w:t>
      </w:r>
      <w:r>
        <w:rPr>
          <w:rFonts w:ascii="Times New Roman" w:cs="Times New Roman" w:eastAsia="Times New Roman" w:hAnsi="Times New Roman"/>
          <w:sz w:val="22"/>
          <w:szCs w:val="22"/>
          <w:color w:val="auto"/>
        </w:rPr>
        <w:t xml:space="preserve">” means the capital account maintained for a Unitholder pursuant to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and the other applicable provisions of this Agreement.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Contributions</w:t>
      </w:r>
      <w:r>
        <w:rPr>
          <w:rFonts w:ascii="Times New Roman" w:cs="Times New Roman" w:eastAsia="Times New Roman" w:hAnsi="Times New Roman"/>
          <w:sz w:val="22"/>
          <w:szCs w:val="22"/>
          <w:color w:val="auto"/>
        </w:rPr>
        <w:t xml:space="preserve">” means any cash, cash equivalents, promissory obligations or the Fair Market Value of other property (net of any applicable liabilities) which a Unitholder contributes or is deemed by the Board to have contributed to the Company with respect to any Unit pursuant to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Payment</w:t>
      </w:r>
      <w:r>
        <w:rPr>
          <w:rFonts w:ascii="Times New Roman" w:cs="Times New Roman" w:eastAsia="Times New Roman" w:hAnsi="Times New Roman"/>
          <w:sz w:val="22"/>
          <w:szCs w:val="22"/>
          <w:color w:val="auto"/>
        </w:rPr>
        <w:t>” means, an amount in cash equal to the product of (x) the Redeemed Unit Amount, (y) the then-applicable Exchange Rate, and (z) (i) solely in connection with a Change of Control Redemption, the Common Stock Value, and (ii) with respect to any Redemption that is not a Change of Control Redemption, the price to the public or the private sale price, as applicable, of the Class A Common Stock in the substantially concurrent public offering or private sale, as applicable.</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means the Company’s Certificate of Formation as filed with the Secretary of State of Delaware, as the same may be amended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the occurrence of any of the following events:</w:t>
      </w:r>
    </w:p>
    <w:p>
      <w:pPr>
        <w:spacing w:after="0" w:line="233" w:lineRule="exact"/>
        <w:rPr>
          <w:sz w:val="20"/>
          <w:szCs w:val="20"/>
          <w:color w:val="auto"/>
        </w:rPr>
      </w:pPr>
    </w:p>
    <w:p>
      <w:pPr>
        <w:ind w:right="180" w:firstLine="8"/>
        <w:spacing w:after="0" w:line="255" w:lineRule="auto"/>
        <w:tabs>
          <w:tab w:leader="none" w:pos="61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or “group” (within the meaning of Sections 13(d) of the Exchange Act (excluding any “person” or “group” who, as of the date hereof, is the beneficial owner of securities of Vivid Seats representing more than 50% of the combined voting power of Vivid Seats’ then outstanding voting securities)) becomes the beneficial owner of securities of Vivid Seats representing more than 50% of the combined voting power of the Vivid Seats’ then outstanding voting securities;</w:t>
      </w:r>
    </w:p>
    <w:p>
      <w:pPr>
        <w:spacing w:after="0" w:line="175" w:lineRule="exact"/>
        <w:rPr>
          <w:rFonts w:ascii="Times New Roman" w:cs="Times New Roman" w:eastAsia="Times New Roman" w:hAnsi="Times New Roman"/>
          <w:sz w:val="21"/>
          <w:szCs w:val="21"/>
          <w:color w:val="auto"/>
        </w:rPr>
      </w:pPr>
    </w:p>
    <w:p>
      <w:pPr>
        <w:jc w:val="both"/>
        <w:ind w:firstLine="8"/>
        <w:spacing w:after="0" w:line="236" w:lineRule="auto"/>
        <w:tabs>
          <w:tab w:leader="none" w:pos="67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shareholders of Vivid Seats approve a plan of complete liquidation or dissolution of Vivid Seats or (B) there is consummated an agreement or series of related agreements for the sale or other disposition, directly or indirectly, by Vivid Seats of all or substantially all of Vivid Seat’s assets, other than such sale or other disposition by Vivid Seats of all or substantially all of Vivid Seats’ assets to an entity at least 50% of the combined voting power of the voting securities of which are owned by shareholders of Vivid Seats in substantially the same proportions as their ownership of Vivid Seats immediately prior to such sale or other disposition;</w:t>
      </w:r>
    </w:p>
    <w:p>
      <w:pPr>
        <w:spacing w:after="0" w:line="208" w:lineRule="exact"/>
        <w:rPr>
          <w:rFonts w:ascii="Times New Roman" w:cs="Times New Roman" w:eastAsia="Times New Roman" w:hAnsi="Times New Roman"/>
          <w:sz w:val="22"/>
          <w:szCs w:val="22"/>
          <w:color w:val="auto"/>
        </w:rPr>
      </w:pPr>
    </w:p>
    <w:p>
      <w:pPr>
        <w:jc w:val="both"/>
        <w:ind w:firstLine="8"/>
        <w:spacing w:after="0" w:line="235" w:lineRule="auto"/>
        <w:tabs>
          <w:tab w:leader="none" w:pos="93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merger or consolidation of Vivid Seats with any other corporation or other entity, and, immediately after the consummation of such merger or consolidation, either (A) the board of directors of Vivid Seats immediately prior to the merger or consolidation does not constitute at least a majority of the board of directors of the company surviving the merger or consolidation or, if the surviving company is a Subsidiary, the ultimate parent thereof, or (B) all of the Persons who were the respective beneficial owners of the voting securities of Vivid Seats immediately prior to such merger or consolidation do not beneficially own, directly or indirectly, more than 50% of the combined voting power of the then outstanding voting securities of the Person resulting from such merger or consolidation;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6" w:name="page117"/>
    <w:bookmarkEnd w:id="116"/>
    <w:p>
      <w:pPr>
        <w:jc w:val="both"/>
        <w:ind w:firstLine="8"/>
        <w:spacing w:after="0" w:line="251" w:lineRule="auto"/>
        <w:tabs>
          <w:tab w:leader="none" w:pos="77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following individuals cease for any reason to constitute a majority of the number of directors of Vivid Seats then serving: individuals who were directors of Vivid Seats as of the date hereof or any new director whose appointment or election to the Board or nomination for election by Vivid Seats’ shareholders was approved or recommended by a vote of at least two-thirds (2/3) of the directors then still in office who either were directors of Vivid Seats on the date hereof or whose appointment, election or nomination for election was previously so approved or recommended by the directors referred to in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Notwithstanding the foregoing, a “Change of Control” shall not be deemed to have occurred by virtue of the consummation of any transaction or series of integrated transactions immediately following which the record holders of the Class A Common Stock and Class B Common Stock of Vivid Seats immediately prior to such transaction or series of transactions continue to have substantially the same proportionate ownership in and voting control over, and own substantially all of the shares of, an entity which owns all or substantially all of the assets of Vivid Seats immediately following such transaction or series of transactions.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Redemption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9.1(b)(i)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Redemption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9.1(b)(iii)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means the class A common stock, par value $0.0001 per share, of Vivid Seats.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Common Stock</w:t>
      </w:r>
      <w:r>
        <w:rPr>
          <w:rFonts w:ascii="Times New Roman" w:cs="Times New Roman" w:eastAsia="Times New Roman" w:hAnsi="Times New Roman"/>
          <w:sz w:val="22"/>
          <w:szCs w:val="22"/>
          <w:color w:val="auto"/>
        </w:rPr>
        <w:t>” means the class B common stock, par value $0.0001 per share, of Vivid Seats.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United States Internal Revenue Code of 1986, as amended.</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 Value</w:t>
      </w:r>
      <w:r>
        <w:rPr>
          <w:rFonts w:ascii="Times New Roman" w:cs="Times New Roman" w:eastAsia="Times New Roman" w:hAnsi="Times New Roman"/>
          <w:sz w:val="22"/>
          <w:szCs w:val="22"/>
          <w:color w:val="auto"/>
        </w:rPr>
        <w:t>” means, with respect to any Change of Control Redemption, the greater of (x) the arithmetic average of the volume weighted average prices for a share of Class A Common Stock on the principal U.S. securities exchange or automated or electronic quotation system on which the Class A Common Stock trades, as reported by Bloomberg, L.P., or its successor, for each of the three (3) consecutive full Trading Days ending on and including the last full Trading Day immediately prior to the related Redemption Date, subject to appropriate and equitable adjustment for any stock splits, reverse splits, stock dividends or similar events affecting the Class A Common Stock and (y) the price per share of Class A Common Stock offered by the Person or group that is the acquirer in the applicable Change of Control transaction. If the Class A Common Stock no longer trades on a securities exchange or automated or electronic quotation system, then the Common Stock Value shall be determined in good faith by a majority of the directors of Vivid Seats that do not have an interest in the Redeemable Units subject to Redemption (or the corresponding shares of Class B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Unit</w:t>
      </w:r>
      <w:r>
        <w:rPr>
          <w:rFonts w:ascii="Times New Roman" w:cs="Times New Roman" w:eastAsia="Times New Roman" w:hAnsi="Times New Roman"/>
          <w:sz w:val="22"/>
          <w:szCs w:val="22"/>
          <w:color w:val="auto"/>
        </w:rPr>
        <w:t>” means a Unit having the rights and obligation specified with respect to a Common Unit in this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Contribution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9.1(a)(iv)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Crescent Blocker Sellers</w:t>
      </w:r>
      <w:r>
        <w:rPr>
          <w:rFonts w:ascii="Times New Roman" w:cs="Times New Roman" w:eastAsia="Times New Roman" w:hAnsi="Times New Roman"/>
          <w:sz w:val="22"/>
          <w:szCs w:val="22"/>
          <w:color w:val="auto"/>
        </w:rPr>
        <w:t>” means Crescent Mezzanine Partners VIB, L.P., Crescent Mezzanine Partners VIC, L.P., NPS/Crescent Strategic Partnership II, LP, CM7C VS Equity Holdings, LP and Crescent Mezzanine Partners VIIB, L.P.</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Crescent Holders</w:t>
      </w:r>
      <w:r>
        <w:rPr>
          <w:rFonts w:ascii="Times New Roman" w:cs="Times New Roman" w:eastAsia="Times New Roman" w:hAnsi="Times New Roman"/>
          <w:sz w:val="22"/>
          <w:szCs w:val="22"/>
          <w:color w:val="auto"/>
        </w:rPr>
        <w:t>” means the Redeemed Crescent Parties, CM6B Vivid Equity, Inc., CM6C Vivid Equity, Inc., CM7C VS Equity, LLC and CM7B VS Equity, LLC.</w:t>
      </w:r>
    </w:p>
    <w:p>
      <w:pPr>
        <w:spacing w:after="0" w:line="185" w:lineRule="exact"/>
        <w:rPr>
          <w:sz w:val="20"/>
          <w:szCs w:val="20"/>
          <w:color w:val="auto"/>
        </w:rPr>
      </w:pPr>
    </w:p>
    <w:p>
      <w:pPr>
        <w:ind w:right="8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Delaware Act</w:t>
      </w:r>
      <w:r>
        <w:rPr>
          <w:rFonts w:ascii="Times New Roman" w:cs="Times New Roman" w:eastAsia="Times New Roman" w:hAnsi="Times New Roman"/>
          <w:sz w:val="22"/>
          <w:szCs w:val="22"/>
          <w:color w:val="auto"/>
        </w:rPr>
        <w:t>” means the Delaware Limited Liability Company Act, 6 Del. C. § 18-101, et seq., as it may be amended from time to time, and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 Exchange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9.1(f)</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xml:space="preserve">” means each distribution made by the Company to a Unitholder, with respect to such Person’s Units, whether in cash, property or securities and whether by liquidating distribution, redemption, repurchase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in the foregoing, none of the following shall be deemed to be a Distribution hereunder: (i) any recapitalization, exchange or conversion of securities of the Company, and any subdivision (by unit split or otherwise) or any combination (by reverse unit split or otherwise) of any outstanding Units; and (ii) any repurchase of Units pursuant to any right of first refusal or similar repurchase right in favor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means (i) any Units, capital stock, partnership, membership or limited liability company interests or other equity interests (including other classes, groups or series thereof having such relative rights, powers and/or obligations as may from time to time be established by the Board, including rights, powers and/or duties different from, senior to or more favorable than existing classes, groups and series of Units, capital stock, partnership, membership or limited liability company interests or other equity interests, and including any profits interests), (ii) obligations, evidences of indebtedness or other securities or interests convertible or exchangeable into Units, capital stock, partnership interests, membership or limited liability company interests or other equity interests, and (iii) warrants, options or other rights to purchase or otherwise acquire Units, capital stock, partnership interests, membership or limited liability company interests or other equity interests. Unless the context otherwise indicates, the term“</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refers to Equity Securities of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Withdrawal</w:t>
      </w:r>
      <w:r>
        <w:rPr>
          <w:rFonts w:ascii="Times New Roman" w:cs="Times New Roman" w:eastAsia="Times New Roman" w:hAnsi="Times New Roman"/>
          <w:sz w:val="22"/>
          <w:szCs w:val="22"/>
          <w:color w:val="auto"/>
        </w:rPr>
        <w:t>” means the death, retirement, resignation, expulsion, bankruptcy or dissolution of a Member or the occurrence of any other event that terminates the continued membership of a Member in the Company.</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applicable rules and regulations thereunder, and any successor to such statute, rules or regulations. Any reference herein to a specific section, rule or regulation of the Exchange Act shall be deemed to include any corresponding provisions of future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Election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Rate</w:t>
      </w:r>
      <w:r>
        <w:rPr>
          <w:rFonts w:ascii="Times New Roman" w:cs="Times New Roman" w:eastAsia="Times New Roman" w:hAnsi="Times New Roman"/>
          <w:sz w:val="22"/>
          <w:szCs w:val="22"/>
          <w:color w:val="auto"/>
        </w:rPr>
        <w:t xml:space="preserve">” means the number of shares of Class A Common Stock for which one Common Unit may be redeemed pursuant to a Redemption. The Exchange Rate will also be used to determine the number of shares of Class B Common Stock that a Member must surrender upon a Redemption or Direct Exchange. On the date of this Agreement, the Exchange Rate shall be 1.00, subject to adjustment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means, as of any date of determination, (i) with respect to a Unit, such Unit’s Pro Rata Share as of such date,</w:t>
      </w:r>
    </w:p>
    <w:p>
      <w:pPr>
        <w:spacing w:after="0" w:line="26" w:lineRule="exact"/>
        <w:rPr>
          <w:sz w:val="20"/>
          <w:szCs w:val="20"/>
          <w:color w:val="auto"/>
        </w:rPr>
      </w:pPr>
    </w:p>
    <w:p>
      <w:pPr>
        <w:jc w:val="both"/>
        <w:ind w:firstLine="8"/>
        <w:spacing w:after="0" w:line="232" w:lineRule="auto"/>
        <w:tabs>
          <w:tab w:leader="none" w:pos="33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share of Class A Common Stock, the Common Stock Value as of such date, and (iii) with respect to any other non-cash assets, the fair market value for such property as between a willing buyer under no compulsion to buy and a willing seller under no compulsion to sell in an arm’s-length transaction occurring on such date, taking into account all relevant factors determinative of value (including in the case of securities, any restrictions on transfer applicable thereto or, if such securities are traded on a securities exchange or automated or electronic quotation system, the quoted price for such securities as of the date of determination), as reasonably determined in good faith by the Board.</w:t>
      </w:r>
    </w:p>
    <w:p>
      <w:pPr>
        <w:spacing w:after="0" w:line="21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Redemption Time</w:t>
      </w:r>
      <w:r>
        <w:rPr>
          <w:rFonts w:ascii="Times New Roman" w:cs="Times New Roman" w:eastAsia="Times New Roman" w:hAnsi="Times New Roman"/>
          <w:sz w:val="22"/>
          <w:szCs w:val="22"/>
          <w:color w:val="auto"/>
        </w:rPr>
        <w:t>” means the expiration or earlier waiver of any lockup agreement in connection with the Transactions, including the Stockholders’ Agreement.</w:t>
      </w:r>
    </w:p>
    <w:p>
      <w:pPr>
        <w:spacing w:after="0" w:line="18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Period</w:t>
      </w:r>
      <w:r>
        <w:rPr>
          <w:rFonts w:ascii="Times New Roman" w:cs="Times New Roman" w:eastAsia="Times New Roman" w:hAnsi="Times New Roman"/>
          <w:sz w:val="22"/>
          <w:szCs w:val="22"/>
          <w:color w:val="auto"/>
        </w:rPr>
        <w:t>” means any interim accounting period within a Taxable Year established by the Board and which is permitted or required by Code Section 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8" w:name="page119"/>
    <w:bookmarkEnd w:id="118"/>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means each calendar quarter ending March 31, June 30, September 30 and December 31, or such other quarterly accounting period as may be established by the Board or as required by the Code.</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the 12-month period ending on December 31, or such other annual accounting period as may be established by the Board or as may be required by the Code.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the United States of America or any other nation, any state or other political subdivision thereof, or any entity exercising executive, legislative, judicial, regulatory or administrative functions of government.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Horizon</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 as amended from time to time.</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means any and all liens, charges, security interests, options, claims, mortgages, pledges, proxies, voting trusts or agreements, obligations, understandings or arrangements, or other restrictions on title or transfer of any nature whatsoever.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Liquidation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Liquidation FMV</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Liquidation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means items of the Company loss and deduction determined according to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Member</w:t>
      </w:r>
      <w:r>
        <w:rPr>
          <w:rFonts w:ascii="Times New Roman" w:cs="Times New Roman" w:eastAsia="Times New Roman" w:hAnsi="Times New Roman"/>
          <w:sz w:val="22"/>
          <w:szCs w:val="22"/>
          <w:color w:val="auto"/>
        </w:rPr>
        <w:t>” means each Person listed on the Unit Ownership Ledger and any Person admitted to the Company as a Substituted Member or Additional Member in accordance with the terms and conditions of this Agreement, each in its capacity as a member of the Company; but in each case only for so long as such Person is shown on the Unit Ownership Ledger as the owner of one or more Units.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Gain</w:t>
      </w:r>
      <w:r>
        <w:rPr>
          <w:rFonts w:ascii="Times New Roman" w:cs="Times New Roman" w:eastAsia="Times New Roman" w:hAnsi="Times New Roman"/>
          <w:sz w:val="22"/>
          <w:szCs w:val="22"/>
          <w:color w:val="auto"/>
        </w:rPr>
        <w:t>” means the partnership minimum gain determined pursuant to Treasury Regulation Section 1.704-2(d).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Tax Audit Rules</w:t>
      </w:r>
      <w:r>
        <w:rPr>
          <w:rFonts w:ascii="Times New Roman" w:cs="Times New Roman" w:eastAsia="Times New Roman" w:hAnsi="Times New Roman"/>
          <w:sz w:val="22"/>
          <w:szCs w:val="22"/>
          <w:color w:val="auto"/>
        </w:rPr>
        <w:t>” means Code Sections 6221 through 6241 together with any guidance issued thereunder or successor provisions and any similar provision of state or local Tax laws.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means, with respect to any Person, (i) any of such Person’s Affiliates and (ii) any direct or indirect partner, member, stockholder or other equityholder of such Person.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individual,a partnership, a corporation, a limited liability company, an association, a joint stock company, a trust, a joint venture, an unincorporated organization, association or other entity or a Governmental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7.4(a)</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Share</w:t>
      </w:r>
      <w:r>
        <w:rPr>
          <w:rFonts w:ascii="Times New Roman" w:cs="Times New Roman" w:eastAsia="Times New Roman" w:hAnsi="Times New Roman"/>
          <w:sz w:val="22"/>
          <w:szCs w:val="22"/>
          <w:color w:val="auto"/>
        </w:rPr>
        <w:t xml:space="preserve">” means with respect to each Unitholder, the proportionate amount such Unitholder would receive if an amount equal to the Total Equity Value were distributed to all Unitholders in accordance with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as determined in good faith by the Board.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Profits</w:t>
      </w:r>
      <w:r>
        <w:rPr>
          <w:rFonts w:ascii="Times New Roman" w:cs="Times New Roman" w:eastAsia="Times New Roman" w:hAnsi="Times New Roman"/>
          <w:sz w:val="22"/>
          <w:szCs w:val="22"/>
          <w:color w:val="auto"/>
        </w:rPr>
        <w:t xml:space="preserve">” means items of the Company income and gain determined according to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Redeemed Crescent Parties</w:t>
      </w:r>
      <w:r>
        <w:rPr>
          <w:rFonts w:ascii="Times New Roman" w:cs="Times New Roman" w:eastAsia="Times New Roman" w:hAnsi="Times New Roman"/>
          <w:sz w:val="22"/>
          <w:szCs w:val="22"/>
          <w:color w:val="auto"/>
        </w:rPr>
        <w:t>” means Crescent Mezzanine Partners VI, L.P., Crescent Mezzanine Partners VII, L.P., Crescent Mezzanine Partners VII (LTL), L.P. and CBDC Universal Equity,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Redeemable Unit</w:t>
      </w:r>
      <w:r>
        <w:rPr>
          <w:rFonts w:ascii="Times New Roman" w:cs="Times New Roman" w:eastAsia="Times New Roman" w:hAnsi="Times New Roman"/>
          <w:sz w:val="22"/>
          <w:szCs w:val="22"/>
          <w:color w:val="auto"/>
        </w:rPr>
        <w:t>” means a Common Unit held by a Member (other than Vivid Seats and its Subsidiaries).</w:t>
      </w:r>
    </w:p>
    <w:p>
      <w:pPr>
        <w:spacing w:after="0" w:line="233"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Redeemed Unit Amount</w:t>
      </w:r>
      <w:r>
        <w:rPr>
          <w:rFonts w:ascii="Times New Roman" w:cs="Times New Roman" w:eastAsia="Times New Roman" w:hAnsi="Times New Roman"/>
          <w:sz w:val="22"/>
          <w:szCs w:val="22"/>
          <w:color w:val="auto"/>
        </w:rPr>
        <w:t>” means, with respect to a Redemption, the number of Common Units set forth in the applicable Redemption Notice.</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means that certain Registration Rights Agreement, dated as of November 19, 2020, by and among Vivid Seats and certain other parties thereto, as the same may be amended, amended and restated or replaced from time to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Allocations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4.3(e)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Retraction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9.1(a)(vi)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applicable rules and regulations thereunder, and any successor to such statute,rules or regulations. Any reference herein to a specific section, rule or regulation of the Securities Act shall be deemed to include any corresponding provisions of future law.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“Stockholders’ Agreement”</w:t>
      </w:r>
      <w:r>
        <w:rPr>
          <w:rFonts w:ascii="Times New Roman" w:cs="Times New Roman" w:eastAsia="Times New Roman" w:hAnsi="Times New Roman"/>
          <w:sz w:val="22"/>
          <w:szCs w:val="22"/>
          <w:color w:val="auto"/>
        </w:rPr>
        <w:t xml:space="preserve"> means that certain Stockholders’ Agreement, dated as of October 18, 2021, by and among Vivid Seats and the investors party thereto, as the same may be amended, amended and restated or replaced from time to time.</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interests thereof is at the time owned or controlled, directly or indirectly, by any Person or one or more Subsidiaries of that Person or a combination thereof. For purposes hereof and without limitation,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the manager, managing member, managing director (or a board comprised of any of the foregoing) or general partner of such limited liability company, partnership, association or other business entity. For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0" w:name="page121"/>
    <w:bookmarkEnd w:id="120"/>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hereof, references to a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”of any Person shall be given effect only at such times that such Person has one or more Subsidiaries, and, unless otherwise indicated, the term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refers to a Subsidiary of the Company.</w:t>
      </w:r>
    </w:p>
    <w:p>
      <w:pPr>
        <w:spacing w:after="0" w:line="18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Substituted Member</w:t>
      </w:r>
      <w:r>
        <w:rPr>
          <w:rFonts w:ascii="Times New Roman" w:cs="Times New Roman" w:eastAsia="Times New Roman" w:hAnsi="Times New Roman"/>
          <w:sz w:val="22"/>
          <w:szCs w:val="22"/>
          <w:color w:val="auto"/>
        </w:rPr>
        <w:t xml:space="preserve">” means a Person that is admitted as a Member to the Company pursuant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in connection with the Transfer of Units to such Person permitted under the terms of this Agreement.</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Takeover Laws</w:t>
      </w:r>
      <w:r>
        <w:rPr>
          <w:rFonts w:ascii="Times New Roman" w:cs="Times New Roman" w:eastAsia="Times New Roman" w:hAnsi="Times New Roman"/>
          <w:sz w:val="22"/>
          <w:szCs w:val="22"/>
          <w:color w:val="auto"/>
        </w:rPr>
        <w:t>” means any “moratorium,” “control share acquisition,” “business combination,” “fair price” or other form of anti-takeover laws and regulations of any jurisdiction that may purport to be applicable to this Agreement or the transactions contemplated hereby, including any Redemption or Direct Exchange.</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federal, state, local or foreign income, gross receipts, franchise, estimated, alternative minimum, add-on minimum, sales, use, transfer, registration, value added, excise, natural resources, severance, stamp, occupation, premium, windfall profit, environmental, customs, duties, real property, personal property, capital stock, social security, unemployment, disability, payroll, license, employee or other withholding, or other tax, of any kind whatsoever, and any interest, penalties or additions to tax or additional amounts in respect of the foregoing.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Distribution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Distribution Conditions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4.1(a)(i)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Receivable Agreement</w:t>
      </w:r>
      <w:r>
        <w:rPr>
          <w:rFonts w:ascii="Times New Roman" w:cs="Times New Roman" w:eastAsia="Times New Roman" w:hAnsi="Times New Roman"/>
          <w:sz w:val="22"/>
          <w:szCs w:val="22"/>
          <w:color w:val="auto"/>
        </w:rPr>
        <w:t>” means the Tax Receivable Agreement dated as of October 18, 2021, by and among Vivid Seats, the Company and Topco, as the same may be amended, amended and restated or replaced from time to time.</w:t>
      </w:r>
    </w:p>
    <w:p>
      <w:pPr>
        <w:spacing w:after="0" w:line="18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Taxable Year</w:t>
      </w:r>
      <w:r>
        <w:rPr>
          <w:rFonts w:ascii="Times New Roman" w:cs="Times New Roman" w:eastAsia="Times New Roman" w:hAnsi="Times New Roman"/>
          <w:sz w:val="22"/>
          <w:szCs w:val="22"/>
          <w:color w:val="auto"/>
        </w:rPr>
        <w:t xml:space="preserve">” means the Company’s accounting period for U.S. federal income Tax purposes determined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TopCo</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Topco Manager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Equity Value</w:t>
      </w:r>
      <w:r>
        <w:rPr>
          <w:rFonts w:ascii="Times New Roman" w:cs="Times New Roman" w:eastAsia="Times New Roman" w:hAnsi="Times New Roman"/>
          <w:sz w:val="22"/>
          <w:szCs w:val="22"/>
          <w:color w:val="auto"/>
        </w:rPr>
        <w:t xml:space="preserve">” means, as of any date of determination, the aggregate proceeds which would be received by the Unitholders if: (i) the assets of the Company were sold at their fair market value to an independent third-party on arm’s-length terms, with neither the seller nor the buyer being under compulsion to buy or sell such assets; (ii) the Company satisfied and paid in full all of its obligations and liabilities (including all Taxes, costs and expenses incurred in connection with such transaction and any amounts reserved by the Board with respect to any contingent or other liabilities); and (iii) such net sale proceeds were then distributed in accordance with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all as determined by the Board in good faith based upon the Common Stock Value as of such date.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principal U.S. securities exchange on which the Class A Common Stock is listed or admitted to trading is open for the transaction of business (unless such trading shall have been suspended for the entire day).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Agreement</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collectively, this Agreement, the Registration Rights Agreement and the Tax Receivable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has the meaning set forth in the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income Tax regulations promulgated under the Code and effective as of the date of this Agreement. Such term, if elected by the Board in its sole discretion, shall be deemed to include any future amendments to such regulations and any corresponding provisions of succeeding regulations (whether or not such amendments and corresponding provisions are mandatory or discretionary).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w:t>
      </w:r>
      <w:r>
        <w:rPr>
          <w:rFonts w:ascii="Times New Roman" w:cs="Times New Roman" w:eastAsia="Times New Roman" w:hAnsi="Times New Roman"/>
          <w:sz w:val="22"/>
          <w:szCs w:val="22"/>
          <w:color w:val="auto"/>
        </w:rPr>
        <w:t>” means a limited liability company interest in the Company of a Member or representing a fractional part of the interests in Profits, Losses and Distributions of the Company held by all Members, including Common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 Ownership Ledger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Unitholder</w:t>
      </w:r>
      <w:r>
        <w:rPr>
          <w:rFonts w:ascii="Times New Roman" w:cs="Times New Roman" w:eastAsia="Times New Roman" w:hAnsi="Times New Roman"/>
          <w:sz w:val="22"/>
          <w:szCs w:val="22"/>
          <w:color w:val="auto"/>
        </w:rPr>
        <w:t>” means any owner of one or more Units as reflected on the Company’s books and records.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Upstairs Class A Warrants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Upstairs Class B Warrants</w:t>
      </w:r>
      <w:r>
        <w:rPr>
          <w:rFonts w:ascii="Times New Roman" w:cs="Times New Roman" w:eastAsia="Times New Roman" w:hAnsi="Times New Roman"/>
          <w:sz w:val="22"/>
          <w:szCs w:val="22"/>
          <w:color w:val="auto"/>
        </w:rPr>
        <w:t>” has the meaning set forth in Section 3.13(c).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Vivid Seats</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Vivid Seats Manager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 Agreements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3.13(a)</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ARTICLE II</w:t>
      </w:r>
    </w:p>
    <w:p>
      <w:pPr>
        <w:jc w:val="center"/>
        <w:spacing w:after="0"/>
        <w:rPr>
          <w:sz w:val="20"/>
          <w:szCs w:val="20"/>
          <w:color w:val="auto"/>
        </w:rPr>
      </w:pPr>
      <w:r>
        <w:rPr>
          <w:rFonts w:ascii="Times New Roman" w:cs="Times New Roman" w:eastAsia="Times New Roman" w:hAnsi="Times New Roman"/>
          <w:sz w:val="22"/>
          <w:szCs w:val="22"/>
          <w:b w:val="1"/>
          <w:bCs w:val="1"/>
          <w:color w:val="auto"/>
        </w:rPr>
        <w:t>ORGANIZATIONAL MATTERS</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b w:val="1"/>
          <w:bCs w:val="1"/>
          <w:u w:val="single" w:color="auto"/>
          <w:color w:val="auto"/>
        </w:rPr>
        <w:t>Formation of LLC; Continuation</w:t>
      </w:r>
      <w:r>
        <w:rPr>
          <w:rFonts w:ascii="Times New Roman" w:cs="Times New Roman" w:eastAsia="Times New Roman" w:hAnsi="Times New Roman"/>
          <w:sz w:val="22"/>
          <w:szCs w:val="22"/>
          <w:color w:val="auto"/>
        </w:rPr>
        <w:t>. The Company was formed in the State of Delaware on February 16, 2016 pursuant to the provisions of the Delaware Act. Each Person listed on the Unit Ownership Ledger as a member of the Company on the date hereof is hereby admitted as (or shall continue as) a member of the Company.</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b w:val="1"/>
          <w:bCs w:val="1"/>
          <w:u w:val="single" w:color="auto"/>
          <w:color w:val="auto"/>
        </w:rPr>
        <w:t>Limited Liability Company Agreement</w:t>
      </w:r>
      <w:r>
        <w:rPr>
          <w:rFonts w:ascii="Times New Roman" w:cs="Times New Roman" w:eastAsia="Times New Roman" w:hAnsi="Times New Roman"/>
          <w:sz w:val="22"/>
          <w:szCs w:val="22"/>
          <w:color w:val="auto"/>
        </w:rPr>
        <w:t xml:space="preserve">. The Members hereby execute this Agreement for the purpose of amending and restating the Prior Agreement and establishing the affairs of the Company and the conduct of its business in accordance with the provisions of the Delaware Act. The Members hereby agree that until the Company is terminated in accordance with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the rights, powers and obligations of the Unitholders with respect to the Company will be determined in accordance with the terms and conditions of this Agreement and the Delaware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and anything else to the contrary, Section 18-210 of the Delaware Act (entitled “</w:t>
      </w:r>
      <w:r>
        <w:rPr>
          <w:rFonts w:ascii="Times New Roman" w:cs="Times New Roman" w:eastAsia="Times New Roman" w:hAnsi="Times New Roman"/>
          <w:sz w:val="22"/>
          <w:szCs w:val="22"/>
          <w:u w:val="single" w:color="auto"/>
          <w:color w:val="auto"/>
        </w:rPr>
        <w:t>No Statutory Appraisal Rights</w:t>
      </w:r>
      <w:r>
        <w:rPr>
          <w:rFonts w:ascii="Times New Roman" w:cs="Times New Roman" w:eastAsia="Times New Roman" w:hAnsi="Times New Roman"/>
          <w:sz w:val="22"/>
          <w:szCs w:val="22"/>
          <w:color w:val="auto"/>
        </w:rPr>
        <w:t>”) shall not apply to or be incorporated into this Agreement and each Unitholder hereby expressly waives any and all rights under such Section of the Delaware Act and, to the fullest extent permitted by law, Section 18-305(a) of the Delaware Act (entitled “</w:t>
      </w:r>
      <w:r>
        <w:rPr>
          <w:rFonts w:ascii="Times New Roman" w:cs="Times New Roman" w:eastAsia="Times New Roman" w:hAnsi="Times New Roman"/>
          <w:sz w:val="22"/>
          <w:szCs w:val="22"/>
          <w:u w:val="single" w:color="auto"/>
          <w:color w:val="auto"/>
        </w:rPr>
        <w:t>Access to and Confidentiality of Information;Records</w:t>
      </w:r>
      <w:r>
        <w:rPr>
          <w:rFonts w:ascii="Times New Roman" w:cs="Times New Roman" w:eastAsia="Times New Roman" w:hAnsi="Times New Roman"/>
          <w:sz w:val="22"/>
          <w:szCs w:val="22"/>
          <w:color w:val="auto"/>
        </w:rPr>
        <w:t>”) shall not apply to or be incorporated into this Agreement and each Member hereby expressly waives any and all rights under such Section of the Delaware Act. For the avoidance of doubt, the foregoing waiver of any and all rights by each Member under Section 18-305(a) of the Delaware Act is a restriction of the Members' rights to obtain information, approvedand adopted by all of the Members, as permitted under Section 18-305(g) of the Delaware Act.</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b w:val="1"/>
          <w:bCs w:val="1"/>
          <w:u w:val="single" w:color="auto"/>
          <w:color w:val="auto"/>
        </w:rPr>
        <w:t>Name</w:t>
      </w:r>
      <w:r>
        <w:rPr>
          <w:rFonts w:ascii="Times New Roman" w:cs="Times New Roman" w:eastAsia="Times New Roman" w:hAnsi="Times New Roman"/>
          <w:sz w:val="22"/>
          <w:szCs w:val="22"/>
          <w:color w:val="auto"/>
        </w:rPr>
        <w:t>. The name of the Company shall be “Hoya Intermediate, LLC.” The Board may change the name of the Company at any time and from time to time. Notification of any such name change shall be given to all Unitholders. The Company’s business may be conducted under its name and/or any other name or names deemed advisable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2" w:name="page123"/>
    <w:bookmarkEnd w:id="122"/>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color w:val="auto"/>
        </w:rPr>
        <w:t>. The purpose and business of the Company shall be to manage and direct the business operations and affairs of the Company and its Subsidiaries and to engage in any other lawful acts or activities for which limited liability companies may be formed under the Delaware Act.</w:t>
      </w:r>
    </w:p>
    <w:p>
      <w:pPr>
        <w:spacing w:after="0" w:line="1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b w:val="1"/>
          <w:bCs w:val="1"/>
          <w:u w:val="single" w:color="auto"/>
          <w:color w:val="auto"/>
        </w:rPr>
        <w:t>Principal Office; Registered Office</w:t>
      </w:r>
      <w:r>
        <w:rPr>
          <w:rFonts w:ascii="Times New Roman" w:cs="Times New Roman" w:eastAsia="Times New Roman" w:hAnsi="Times New Roman"/>
          <w:sz w:val="22"/>
          <w:szCs w:val="22"/>
          <w:color w:val="auto"/>
        </w:rPr>
        <w:t>. The principal office of the Company shall be located at such place inside or outside the state of Delaware as the Board may from time to time designate, and, to the fullest extent permitted by law, all business and activities of the Company shall be deemed to have occurred at its principal office. The Company may maintain offices at such other place or places as the Board deems advisable. The address of the registered office of the Company in the State of Delaware shall be the office of the initial registered agent named in the Certificate or such other office (which need not be a place of business of the Company) as the Board may designate from time to time in the manner provided by applicable law, and the registered agent for service of process on the Company in the State of Delaware at such registered office shall be the registered agent named in the Certificate or such Person or Persons as the Board may designate from time to time in the manner provided by applicable law.</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xml:space="preserve">. The term of the Company commenced upon the filing of the Certificate with the office of the Secretary of State of the State of Delaware in accordance with the Delaware Act and shall continue in existence until the Company shall be dissolved in accordance with the provisions of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The existence of the Company as a separate entity shall continue until the cancellation of the Certificate in accordance with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b w:val="1"/>
          <w:bCs w:val="1"/>
          <w:u w:val="single" w:color="auto"/>
          <w:color w:val="auto"/>
        </w:rPr>
        <w:t>No State-Law Partnership</w:t>
      </w:r>
      <w:r>
        <w:rPr>
          <w:rFonts w:ascii="Times New Roman" w:cs="Times New Roman" w:eastAsia="Times New Roman" w:hAnsi="Times New Roman"/>
          <w:sz w:val="22"/>
          <w:szCs w:val="22"/>
          <w:color w:val="auto"/>
        </w:rPr>
        <w:t xml:space="preserve">. The Unitholders intend that the Company not be a partnership (including, without limitation, a limited partnership) or joint venture, and that no Unitholder be a partner or joint venturer of any other Unitholder by virtue of this Agreement, for any purposes other than as set forth in the last sentence of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and neither this Agreement nor any other document entered into by the Company or any Unitholder relating to the subject matter hereof shall be construed to suggest otherwise. The Unitholders intend that the Company shall be treated as a partnership for U.S. federal and, if applicable, state or local income Tax purposes, and that each Unitholder and the Company shall file all Tax returns and shall otherwise take all Tax and financial reporting positions in a manner consistent with such treatment.</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Section 2.8 </w:t>
      </w:r>
      <w:r>
        <w:rPr>
          <w:rFonts w:ascii="Times New Roman" w:cs="Times New Roman" w:eastAsia="Times New Roman" w:hAnsi="Times New Roman"/>
          <w:sz w:val="21"/>
          <w:szCs w:val="21"/>
          <w:b w:val="1"/>
          <w:bCs w:val="1"/>
          <w:u w:val="single" w:color="auto"/>
          <w:color w:val="auto"/>
        </w:rPr>
        <w:t>Ratification and Specific Authorization of Transactions</w:t>
      </w:r>
      <w:r>
        <w:rPr>
          <w:rFonts w:ascii="Times New Roman" w:cs="Times New Roman" w:eastAsia="Times New Roman" w:hAnsi="Times New Roman"/>
          <w:sz w:val="21"/>
          <w:szCs w:val="21"/>
          <w:color w:val="auto"/>
        </w:rPr>
        <w:t>. Pursuant to the Transaction Agreement, the Company has undertaken or will undertake the Transactions. In connection therewith, (i) all actions taken to date, and any and all things done, by the Company, and by the Board or any officer, employee or agent of the Company on behalf of the Company, in furtherance of and consistent with the Transactions (including, without limitation, the execution and delivery of the Transaction Agreement and the recapitalization of the Company’s equity interests into Common Units), are hereby in all respects confirmed to be authorized, approved and ratified and, to the extent not yet undertaken, (ii) the Company, and the Board or any officer, employee or agent of the Company on behalf of the Company, is hereby authorized to (y) enter into and perform the Warrant Agreement, the Tax Receivable Agreement and any documents contemplated thereby or related thereto and any amendments thereto and (z) redeem any Common Units held by the Redeemed Crescent Parties, in each case, without any further act, vote or approval of any Person, including any Member or any Unitholder, notwithstanding any other provision of this Agreement.</w:t>
      </w:r>
    </w:p>
    <w:p>
      <w:pPr>
        <w:jc w:val="center"/>
        <w:spacing w:after="0" w:line="233" w:lineRule="auto"/>
        <w:rPr>
          <w:sz w:val="20"/>
          <w:szCs w:val="20"/>
          <w:color w:val="auto"/>
        </w:rPr>
      </w:pPr>
      <w:r>
        <w:rPr>
          <w:rFonts w:ascii="Times New Roman" w:cs="Times New Roman" w:eastAsia="Times New Roman" w:hAnsi="Times New Roman"/>
          <w:sz w:val="22"/>
          <w:szCs w:val="22"/>
          <w:b w:val="1"/>
          <w:bCs w:val="1"/>
          <w:color w:val="auto"/>
        </w:rPr>
        <w:t>ARTICLE III</w:t>
      </w:r>
    </w:p>
    <w:p>
      <w:pPr>
        <w:jc w:val="center"/>
        <w:spacing w:after="0"/>
        <w:rPr>
          <w:sz w:val="20"/>
          <w:szCs w:val="20"/>
          <w:color w:val="auto"/>
        </w:rPr>
      </w:pPr>
      <w:r>
        <w:rPr>
          <w:rFonts w:ascii="Times New Roman" w:cs="Times New Roman" w:eastAsia="Times New Roman" w:hAnsi="Times New Roman"/>
          <w:sz w:val="22"/>
          <w:szCs w:val="22"/>
          <w:b w:val="1"/>
          <w:bCs w:val="1"/>
          <w:color w:val="auto"/>
        </w:rPr>
        <w:t>UNITS, CAPITAL CONTRIBUTIONS AND ACCOUNTS</w:t>
      </w:r>
    </w:p>
    <w:p>
      <w:pPr>
        <w:spacing w:after="0" w:line="1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3.1</w:t>
      </w:r>
      <w:r>
        <w:rPr>
          <w:sz w:val="20"/>
          <w:szCs w:val="20"/>
          <w:color w:val="auto"/>
        </w:rPr>
        <w:tab/>
      </w:r>
      <w:r>
        <w:rPr>
          <w:rFonts w:ascii="Times New Roman" w:cs="Times New Roman" w:eastAsia="Times New Roman" w:hAnsi="Times New Roman"/>
          <w:sz w:val="21"/>
          <w:szCs w:val="21"/>
          <w:b w:val="1"/>
          <w:bCs w:val="1"/>
          <w:u w:val="single" w:color="auto"/>
          <w:color w:val="auto"/>
        </w:rPr>
        <w:t>Units; Capitalization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80" w:firstLine="8"/>
        <w:spacing w:after="0" w:line="238" w:lineRule="auto"/>
        <w:tabs>
          <w:tab w:leader="none" w:pos="6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Units; Capitalization</w:t>
      </w:r>
      <w:r>
        <w:rPr>
          <w:rFonts w:ascii="Times New Roman" w:cs="Times New Roman" w:eastAsia="Times New Roman" w:hAnsi="Times New Roman"/>
          <w:sz w:val="22"/>
          <w:szCs w:val="22"/>
          <w:color w:val="auto"/>
        </w:rPr>
        <w:t>. The Company shall have the authority to issue an unlimited number of Common Units. In connection with the Transactions and subject to the terms and conditions of the Transaction Agreement, the Company will issue Common Units and Warrants to Vivid Seats in exchange for a cash contribution to the Company, such that immediately after completion of the Transactions and the issuance of Common Units and Warrants by the Company, the total number of Common Units held by Vivid Seats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3" w:name="page124"/>
    <w:bookmarkEnd w:id="123"/>
    <w:p>
      <w:pPr>
        <w:spacing w:after="0" w:line="238" w:lineRule="auto"/>
        <w:rPr>
          <w:sz w:val="20"/>
          <w:szCs w:val="20"/>
          <w:color w:val="auto"/>
        </w:rPr>
      </w:pPr>
      <w:r>
        <w:rPr>
          <w:rFonts w:ascii="Times New Roman" w:cs="Times New Roman" w:eastAsia="Times New Roman" w:hAnsi="Times New Roman"/>
          <w:sz w:val="22"/>
          <w:szCs w:val="22"/>
          <w:color w:val="auto"/>
        </w:rPr>
        <w:t xml:space="preserve">equal the total number of outstanding shares of Class A Common Stock and the total number of Common Units into which Warrants held by Vivid Seats are exercisable will be equal to the total number of shares of Class A Common Stock for which outstanding warrants issued by Vivid Seats are exercisable. The ownership by a Member of Common Units shall entitle such Member to allocations of Profits and Losses and other items and Distributions of cash and other property as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hereof.</w:t>
      </w:r>
    </w:p>
    <w:p>
      <w:pPr>
        <w:spacing w:after="0" w:line="177" w:lineRule="exact"/>
        <w:rPr>
          <w:sz w:val="20"/>
          <w:szCs w:val="20"/>
          <w:color w:val="auto"/>
        </w:rPr>
      </w:pPr>
    </w:p>
    <w:p>
      <w:pPr>
        <w:jc w:val="both"/>
        <w:ind w:firstLine="8"/>
        <w:spacing w:after="0" w:line="233" w:lineRule="auto"/>
        <w:tabs>
          <w:tab w:leader="none" w:pos="64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Unit Ownership Ledger; Capital Contributions</w:t>
      </w:r>
      <w:r>
        <w:rPr>
          <w:rFonts w:ascii="Times New Roman" w:cs="Times New Roman" w:eastAsia="Times New Roman" w:hAnsi="Times New Roman"/>
          <w:sz w:val="22"/>
          <w:szCs w:val="22"/>
          <w:color w:val="auto"/>
        </w:rPr>
        <w:t>. The Board shall create and maintain a ledger (the “</w:t>
      </w:r>
      <w:r>
        <w:rPr>
          <w:rFonts w:ascii="Times New Roman" w:cs="Times New Roman" w:eastAsia="Times New Roman" w:hAnsi="Times New Roman"/>
          <w:sz w:val="22"/>
          <w:szCs w:val="22"/>
          <w:u w:val="single" w:color="auto"/>
          <w:color w:val="auto"/>
        </w:rPr>
        <w:t>Unit Ownership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Ledger</w:t>
      </w:r>
      <w:r>
        <w:rPr>
          <w:rFonts w:ascii="Times New Roman" w:cs="Times New Roman" w:eastAsia="Times New Roman" w:hAnsi="Times New Roman"/>
          <w:sz w:val="22"/>
          <w:szCs w:val="22"/>
          <w:color w:val="auto"/>
        </w:rPr>
        <w:t>”) setting forth the name and address of each Unitholder and holder of Warrants, the number of each class of Units and Warrants held of record by each such Unitholder and holder of Warrants, and the amount of the Capital Contribution made (or deemed to have been made) with respect to each class of Units and the date of such Capital Contribution. Upon any change in the number or ownership of outstanding Units or Warrants (whether upon an issuance of Units or Warrants, a Transfer of Units or Warrants, a cancellation of Units or Warrants or otherwise), the Board shall amend and update the Unit Ownership Ledger. Absent manifest error, the ownership interests recorded on the Unit Ownership Ledger shall be conclusive record of the Units and Warrants that have been issued and are outstanding. Each Unitholder named in the Unit Ownership Ledger has made (or shall be deemed to have made) Capital Contributions to the Company as set forth in the Unit Ownership Ledger in exchange for the Units specified in the Unit Ownership Ledger. Any reference in this Agreement to the Unit Ownership Ledger shall be deemed a reference to the Unit Ownership Ledger as amended and in effect from time to time.</w:t>
      </w:r>
    </w:p>
    <w:p>
      <w:pPr>
        <w:spacing w:after="0" w:line="210" w:lineRule="exact"/>
        <w:rPr>
          <w:rFonts w:ascii="Times New Roman" w:cs="Times New Roman" w:eastAsia="Times New Roman" w:hAnsi="Times New Roman"/>
          <w:sz w:val="22"/>
          <w:szCs w:val="22"/>
          <w:color w:val="auto"/>
        </w:rPr>
      </w:pPr>
    </w:p>
    <w:p>
      <w:pPr>
        <w:jc w:val="both"/>
        <w:ind w:firstLine="8"/>
        <w:spacing w:after="0" w:line="241" w:lineRule="auto"/>
        <w:tabs>
          <w:tab w:leader="none" w:pos="67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Le</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ends</w:t>
      </w:r>
      <w:r>
        <w:rPr>
          <w:rFonts w:ascii="Times New Roman" w:cs="Times New Roman" w:eastAsia="Times New Roman" w:hAnsi="Times New Roman"/>
          <w:sz w:val="22"/>
          <w:szCs w:val="22"/>
          <w:color w:val="auto"/>
        </w:rPr>
        <w:t xml:space="preserve">.Units shall be issued in uncertificated form;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that,at the request of any Member, the Board may cause the Company to issue one or more certificates to any such Member holding Units representing in the aggregate the Units held by such Member. If any certificate representing Units is issued, then such certificate shall bear a legend substantially in the following form:</w:t>
      </w:r>
    </w:p>
    <w:p>
      <w:pPr>
        <w:spacing w:after="0" w:line="203"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THIS CERTIFICATE EVIDENCES UNITS REPRESENTING A LIMITED LIABILITY COMPANY INTEREST IN HOYA INTERMEDIATE, LLC. THE LIMITED LIABILITY COMPANY INTEREST IN HOYA INTERMEDIATE, LLC REPRESENTED BY THIS CERTIFICATE HAS NOT BEEN REGISTERED UNDER THE U.S. SECURITIES ACT OF 1933, AS AMENDED, OR ANY NON-U.S. OR STATE SECURITIES LAWS AND MAY NOT BE OFFERED, SOLD, PLEDGED OR OTHERWISE TRANSFERRED EXCEPT IN COMPLIANCE THEREWITH. THE LIMITED LIABILITY COMPANY INTEREST IN HOYA INTERMEDIATE, LLC REPRESENTED BY THIS CERTIFICATE IS SUBJECT TO RESTRICTIONS ON TRANSFER SET FORTH IN THE SECOND AMENDED AND RESTATED LIMITED LIABILITY COMPANY AGREEMENT OF HOYA INTERMEDIATE, LLC, DATED AS OF OCTOBER 18, 2021, AS THE SAME MAY BE AMENDED FROM TIME TO TIME, A COPY OF WHICH SHALL BE FURNISHED BY THE COMPANY TO THE RECORD HOLDER HEREOF UPON WRITTEN REQUEST AND WITHOUT CHARGE.</w:t>
      </w:r>
    </w:p>
    <w:p>
      <w:pPr>
        <w:spacing w:after="0" w:line="85" w:lineRule="exact"/>
        <w:rPr>
          <w:sz w:val="20"/>
          <w:szCs w:val="20"/>
          <w:color w:val="auto"/>
        </w:rPr>
      </w:pPr>
    </w:p>
    <w:p>
      <w:pPr>
        <w:ind w:right="180" w:firstLine="8"/>
        <w:spacing w:after="0" w:line="258" w:lineRule="auto"/>
        <w:tabs>
          <w:tab w:leader="none" w:pos="63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 Common Units</w:t>
      </w:r>
      <w:r>
        <w:rPr>
          <w:rFonts w:ascii="Times New Roman" w:cs="Times New Roman" w:eastAsia="Times New Roman" w:hAnsi="Times New Roman"/>
          <w:sz w:val="22"/>
          <w:szCs w:val="22"/>
          <w:color w:val="auto"/>
        </w:rPr>
        <w:t>. The Common Units that were issued and outstanding and held by the Members prior to the date of this Agreement shall remain unchanged.</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b w:val="1"/>
          <w:bCs w:val="1"/>
          <w:u w:val="single" w:color="auto"/>
          <w:color w:val="auto"/>
        </w:rPr>
        <w:t>Authorization and Issuance of Additional Units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
        <w:spacing w:after="0" w:line="234" w:lineRule="auto"/>
        <w:tabs>
          <w:tab w:leader="none" w:pos="63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shall have the right to cause the Company to issue and/or create and issue at any time after the date hereof, and for such amount and form of consideration as the Board may determine, additional Units or other Equity Securities of the Company (including creating classes or series thereof having such powers, designations, preferences and rights, which in each case may be senior to existing Units or other Equity Securities of the Company or classes or series thereof, as may be determined by the Board). The Board shall have the power, without the approval of any other Member or Unitholder or any other Person and notwithstanding any other provision of this Agreement, including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to make such amendments to this Agreement in order to provide for such powers, designations, preferences and rights as the Board in its discretion deems necessary or appropriate to give effect to such additional authorization or issuance in accordance with the provisions of this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In connection with any issuance of Units (whether on or after the date of this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4" w:name="page125"/>
    <w:bookmarkEnd w:id="124"/>
    <w:p>
      <w:pPr>
        <w:jc w:val="both"/>
        <w:spacing w:after="0"/>
        <w:rPr>
          <w:sz w:val="20"/>
          <w:szCs w:val="20"/>
          <w:color w:val="auto"/>
        </w:rPr>
      </w:pPr>
      <w:r>
        <w:rPr>
          <w:rFonts w:ascii="Times New Roman" w:cs="Times New Roman" w:eastAsia="Times New Roman" w:hAnsi="Times New Roman"/>
          <w:sz w:val="22"/>
          <w:szCs w:val="22"/>
          <w:color w:val="auto"/>
        </w:rPr>
        <w:t>Person who acquires such Units shall execute a counterpart to this Agreement accepting and agreeing to be bound by all terms and conditions hereof, and shall enter into such other documents, instruments and agreements to effect such purchase as are required by the Board (including such documents, instruments and agreements entered into on or prior to the date of this Agreement by the Members, each, an “</w:t>
      </w:r>
      <w:r>
        <w:rPr>
          <w:rFonts w:ascii="Times New Roman" w:cs="Times New Roman" w:eastAsia="Times New Roman" w:hAnsi="Times New Roman"/>
          <w:sz w:val="22"/>
          <w:szCs w:val="22"/>
          <w:u w:val="single" w:color="auto"/>
          <w:color w:val="auto"/>
        </w:rPr>
        <w:t>Equity A</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reement</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right="60" w:firstLine="8"/>
        <w:spacing w:after="0" w:line="243" w:lineRule="auto"/>
        <w:tabs>
          <w:tab w:leader="none" w:pos="63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Vivid Seats issues one or more shares of Class A Common Stock (other than an issuance of the type covered by </w:t>
      </w:r>
      <w:r>
        <w:rPr>
          <w:rFonts w:ascii="Times New Roman" w:cs="Times New Roman" w:eastAsia="Times New Roman" w:hAnsi="Times New Roman"/>
          <w:sz w:val="21"/>
          <w:szCs w:val="21"/>
          <w:u w:val="single" w:color="auto"/>
          <w:color w:val="auto"/>
        </w:rPr>
        <w:t>Section 3.2(c)</w:t>
      </w:r>
      <w:r>
        <w:rPr>
          <w:rFonts w:ascii="Times New Roman" w:cs="Times New Roman" w:eastAsia="Times New Roman" w:hAnsi="Times New Roman"/>
          <w:sz w:val="21"/>
          <w:szCs w:val="21"/>
          <w:color w:val="auto"/>
        </w:rPr>
        <w:t xml:space="preserve"> or an issuance to a holder of Redeemable Units pursuant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),Vivid Seats shall contribute to the Company all of the net proceeds (if any) received by Vivid Seats with respect to such share or shares of Class A Common Stock. Upon the contribution by Vivid Seats to the Company of all of such net proceeds so received by Vivid Seats, the Board shall cause the Company to issue a number of Common Units determined based upon the Exchange Rate then in effect, registered in the name of Vivid Seats;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if Vivid Seats issues one or more shares of Class A Common Stock, some or all of the net proceeds of which are to be used to fund expenses or other obligations of Vivid Seats for which Vivid Seats would be permitted a Distribution pursuant to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then Vivid Seats shall not be required to transfer such net proceeds to the Company which are used or will be used to fund such expenses or obligations;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if Vivid Seats issues any shares of Class A Common Stock in order to purchase or fund the purchase of Common Units from a Member (other than a Subsidiary of Vivid Seats), then the Company shall not issue any new Common Units registered in the name of Vivid Seats in accordance with </w:t>
      </w:r>
      <w:r>
        <w:rPr>
          <w:rFonts w:ascii="Times New Roman" w:cs="Times New Roman" w:eastAsia="Times New Roman" w:hAnsi="Times New Roman"/>
          <w:sz w:val="21"/>
          <w:szCs w:val="21"/>
          <w:u w:val="single" w:color="auto"/>
          <w:color w:val="auto"/>
        </w:rPr>
        <w:t>Section 9.1(a)</w:t>
      </w:r>
      <w:r>
        <w:rPr>
          <w:rFonts w:ascii="Times New Roman" w:cs="Times New Roman" w:eastAsia="Times New Roman" w:hAnsi="Times New Roman"/>
          <w:sz w:val="21"/>
          <w:szCs w:val="21"/>
          <w:color w:val="auto"/>
        </w:rPr>
        <w:t xml:space="preserve"> and Vivid Seats shall not be required to transfer such net proceeds to the Company (it being understood that such net proceeds shall instead be transferred by Vivid Seats to such other Member as consideration for such purchase). Notwithstanding the foregoing, this </w:t>
      </w:r>
      <w:r>
        <w:rPr>
          <w:rFonts w:ascii="Times New Roman" w:cs="Times New Roman" w:eastAsia="Times New Roman" w:hAnsi="Times New Roman"/>
          <w:sz w:val="21"/>
          <w:szCs w:val="21"/>
          <w:u w:val="single" w:color="auto"/>
          <w:color w:val="auto"/>
        </w:rPr>
        <w:t>Section 3.2(b)</w:t>
      </w:r>
      <w:r>
        <w:rPr>
          <w:rFonts w:ascii="Times New Roman" w:cs="Times New Roman" w:eastAsia="Times New Roman" w:hAnsi="Times New Roman"/>
          <w:sz w:val="21"/>
          <w:szCs w:val="21"/>
          <w:color w:val="auto"/>
        </w:rPr>
        <w:t xml:space="preserve"> shall not apply to the issuance and distribution to holders of shares of Class A Common Stock of rights to purchase Equity Securities of Vivid Seats under a “poison pill” or similar shareholder’s rights plan (it being understood that (i) upon exchange of Redeemable Units for Class A Common Stock pursuant to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such Class A Common Stock would be issued together with any such corresponding right and (ii) in the event such rights to purchase Equity Securities of Vivid Seats are triggered, Vivid Seats will ensure that the holders of Common Units that have not been Exchanged prior to such time will be treated equitably vis-à -vis the holders of Class A Common Stock under such plan).</w:t>
      </w:r>
    </w:p>
    <w:p>
      <w:pPr>
        <w:spacing w:after="0" w:line="214" w:lineRule="exact"/>
        <w:rPr>
          <w:rFonts w:ascii="Times New Roman" w:cs="Times New Roman" w:eastAsia="Times New Roman" w:hAnsi="Times New Roman"/>
          <w:sz w:val="21"/>
          <w:szCs w:val="21"/>
          <w:color w:val="auto"/>
        </w:rPr>
      </w:pPr>
    </w:p>
    <w:p>
      <w:pPr>
        <w:jc w:val="both"/>
        <w:ind w:firstLine="8"/>
        <w:spacing w:after="0" w:line="233" w:lineRule="auto"/>
        <w:tabs>
          <w:tab w:leader="none" w:pos="76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Vivid Seats issues one or more shares of Class A Common Stock in connection with an equity incentive program, whether such share or shares are issued upon exercise (including cashless exercise) of an option, settlement of a restricted stock unit, as restricted stock or otherwise, the Board shall cause the Company to issue a corresponding number of Common Units, registered in the name of Vivid Seats (determined based upon the Exchange Rate then in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Vivid Seats shall be required to contribute all (but not less than all) of the net proceeds (if any) received by Vivid Seats from or otherwise in connection with such issuance of one or more shares of Class A Common Stock, including the exercise price of any option exercised, to the Company. If any such shares of Class A Common Stock so issued by Vivid Seats in connection with an equity incentive program are subject to vesting or forfeiture provisions, then the Common Units that are issued by the Company to Vivid Seats in connection therewith in accordance with the preceding provisions of this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 xml:space="preserve"> shall be subject to vesting or forfeiture on the same basis; if any of such shares of Class A Common Stock vest or are forfeited, then a corresponding number of the Common Units (determined based upon the Exchange Rate then in effect) issued by the Company in accordance with the preceding provisions of this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 xml:space="preserve"> shall automatically vest or be forfeited. Any cash or property held by Vivid Seats or the Company or on any of such Person’s behalf in respect of dividends paid on restricted shares of Class A Common Stock that fail to vest shall be returned to the Company upon the forfeiture of such restricted shares of Class A Common Stock.</w:t>
      </w:r>
    </w:p>
    <w:p>
      <w:pPr>
        <w:spacing w:after="0" w:line="204" w:lineRule="exact"/>
        <w:rPr>
          <w:rFonts w:ascii="Times New Roman" w:cs="Times New Roman" w:eastAsia="Times New Roman" w:hAnsi="Times New Roman"/>
          <w:sz w:val="22"/>
          <w:szCs w:val="22"/>
          <w:color w:val="auto"/>
        </w:rPr>
      </w:pPr>
    </w:p>
    <w:p>
      <w:pPr>
        <w:jc w:val="both"/>
        <w:ind w:firstLine="8"/>
        <w:spacing w:after="0" w:line="244" w:lineRule="auto"/>
        <w:tabs>
          <w:tab w:leader="none" w:pos="81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net proceeds</w:t>
      </w:r>
      <w:r>
        <w:rPr>
          <w:rFonts w:ascii="Times New Roman" w:cs="Times New Roman" w:eastAsia="Times New Roman" w:hAnsi="Times New Roman"/>
          <w:sz w:val="22"/>
          <w:szCs w:val="22"/>
          <w:color w:val="auto"/>
        </w:rPr>
        <w:t xml:space="preserve">” means gross proceeds to Vivid Seats from the issuance of Class A Common Stock or other securities less all reasonable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out-of-pocket fees and expenses of Vivid Seats, the Company and their respective Subsidiaries actually incurred in connection with such issuance.</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b w:val="1"/>
          <w:bCs w:val="1"/>
          <w:u w:val="single" w:color="auto"/>
          <w:color w:val="auto"/>
        </w:rPr>
        <w:t>Repurchase or Redemption of Class A Common Stock</w:t>
      </w:r>
      <w:r>
        <w:rPr>
          <w:rFonts w:ascii="Times New Roman" w:cs="Times New Roman" w:eastAsia="Times New Roman" w:hAnsi="Times New Roman"/>
          <w:sz w:val="22"/>
          <w:szCs w:val="22"/>
          <w:color w:val="auto"/>
        </w:rPr>
        <w:t>. If, at any time, any shares of Class A Common Stock are repurchased or redeemed (whether by exercise of a put or call, automatically or by means of another arrangement) by Vivid Seats for cash, then the Board shall cause the Company, immediately prior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5" w:name="page126"/>
    <w:bookmarkEnd w:id="125"/>
    <w:p>
      <w:pPr>
        <w:jc w:val="both"/>
        <w:spacing w:after="0" w:line="238" w:lineRule="auto"/>
        <w:rPr>
          <w:sz w:val="20"/>
          <w:szCs w:val="20"/>
          <w:color w:val="auto"/>
        </w:rPr>
      </w:pPr>
      <w:r>
        <w:rPr>
          <w:rFonts w:ascii="Times New Roman" w:cs="Times New Roman" w:eastAsia="Times New Roman" w:hAnsi="Times New Roman"/>
          <w:sz w:val="22"/>
          <w:szCs w:val="22"/>
          <w:color w:val="auto"/>
        </w:rPr>
        <w:t>repurchase or redemption of such shares, to redeem a corresponding number of Common Units held by Vivid Seats (determined based upon the Exchange Rate then in effect), at an aggregate redemption price equal to the aggregate purchase or redemption price of the share or shares of Class A Common Stock being repurchased or redeemed by Vivid Seats (plus any reasonable expenses related thereto) and upon such other terms as are the same for the share or shares of Class A Common Stock being repurchased or redeemed by Vivid Seats.</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b w:val="1"/>
          <w:bCs w:val="1"/>
          <w:u w:val="single" w:color="auto"/>
          <w:color w:val="auto"/>
        </w:rPr>
        <w:t>Changes in Common Stock</w:t>
      </w:r>
      <w:r>
        <w:rPr>
          <w:rFonts w:ascii="Times New Roman" w:cs="Times New Roman" w:eastAsia="Times New Roman" w:hAnsi="Times New Roman"/>
          <w:sz w:val="22"/>
          <w:szCs w:val="22"/>
          <w:color w:val="auto"/>
        </w:rPr>
        <w:t xml:space="preserve">. In addition to any other adjustments required hereby any subdivision (by stock split, stock dividend, reclassification, recapitalization or otherwise) or combination (by reverse stock split, reclassification, recapitalization or otherwise) of Class A Common Stock, Class B Common Stock or other capital stock of Vivid Seats shall be accompanied by an identical subdivision or combination, as applicable, of the Common Units or other Equity Securities, as applicable. In connection with a subdivision or combination of the Common Units or other Equity Securities pursuant to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the Board shall have the power, without the approval of any other Member or Unitholder or any other Person, to make such amendments to this Agreement in order to reflect such subdivision or combination, as applicable, of the Common Units or other Equity Securities.</w:t>
      </w:r>
    </w:p>
    <w:p>
      <w:pPr>
        <w:spacing w:after="0" w:line="20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3.5</w:t>
      </w:r>
      <w:r>
        <w:rPr>
          <w:sz w:val="20"/>
          <w:szCs w:val="20"/>
          <w:color w:val="auto"/>
        </w:rPr>
        <w:tab/>
      </w:r>
      <w:r>
        <w:rPr>
          <w:rFonts w:ascii="Times New Roman" w:cs="Times New Roman" w:eastAsia="Times New Roman" w:hAnsi="Times New Roman"/>
          <w:sz w:val="21"/>
          <w:szCs w:val="21"/>
          <w:b w:val="1"/>
          <w:bCs w:val="1"/>
          <w:u w:val="single" w:color="auto"/>
          <w:color w:val="auto"/>
        </w:rPr>
        <w:t>Capital Accounts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
        <w:spacing w:after="0" w:line="236" w:lineRule="auto"/>
        <w:tabs>
          <w:tab w:leader="none" w:pos="63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Capital Accounts</w:t>
      </w:r>
      <w:r>
        <w:rPr>
          <w:rFonts w:ascii="Times New Roman" w:cs="Times New Roman" w:eastAsia="Times New Roman" w:hAnsi="Times New Roman"/>
          <w:sz w:val="22"/>
          <w:szCs w:val="22"/>
          <w:color w:val="auto"/>
        </w:rPr>
        <w:t>. The Company shall maintain a separate Capital Account for each Unitholder according to the rules of Treasury Regulation Section 1.704-1(b)(2)(iv). For this purpose, the Company may (in the sole discretion of the Board), upon the occurrence of the events specified in Treasury Regulation Section 1.704-1(b)(2)(iv)(f), increase or decrease the Capital Accounts in accordance with the rules of such regulation and Treasury Regulation Section 1.704-1(b)(2)(iv)(g) to reflect a revaluation of the Company property. Without limiting the foregoing, each Unitholder’s Capital Account shall be adjusted, without duplication:</w:t>
      </w:r>
    </w:p>
    <w:p>
      <w:pPr>
        <w:spacing w:after="0" w:line="208"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adding any additional Capital Contributions made by such Unitholder in consideration for the issuance of Units;</w:t>
      </w:r>
    </w:p>
    <w:p>
      <w:pPr>
        <w:spacing w:after="0" w:line="233" w:lineRule="exact"/>
        <w:rPr>
          <w:rFonts w:ascii="Times New Roman" w:cs="Times New Roman" w:eastAsia="Times New Roman" w:hAnsi="Times New Roman"/>
          <w:sz w:val="22"/>
          <w:szCs w:val="22"/>
          <w:color w:val="auto"/>
        </w:rPr>
      </w:pPr>
    </w:p>
    <w:p>
      <w:pPr>
        <w:ind w:firstLine="8"/>
        <w:spacing w:after="0" w:line="258" w:lineRule="auto"/>
        <w:tabs>
          <w:tab w:leader="none" w:pos="64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deducting any amounts paid to such Unitholder in connection with the redemption or other repurchase by the Company of Units;</w:t>
      </w:r>
    </w:p>
    <w:p>
      <w:pPr>
        <w:spacing w:after="0" w:line="185" w:lineRule="exact"/>
        <w:rPr>
          <w:rFonts w:ascii="Times New Roman" w:cs="Times New Roman" w:eastAsia="Times New Roman" w:hAnsi="Times New Roman"/>
          <w:sz w:val="22"/>
          <w:szCs w:val="22"/>
          <w:color w:val="auto"/>
        </w:rPr>
      </w:pPr>
    </w:p>
    <w:p>
      <w:pPr>
        <w:ind w:firstLine="8"/>
        <w:spacing w:after="0" w:line="258" w:lineRule="auto"/>
        <w:tabs>
          <w:tab w:leader="none" w:pos="86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adding any Profits allocated in favor of such Unitholder and subtracting any Losses allocated in favor of such Unitholder; and</w:t>
      </w:r>
    </w:p>
    <w:p>
      <w:pPr>
        <w:spacing w:after="0" w:line="171"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deducting any distributions paid in cash or other assets to such Unitholder by the Company.</w:t>
      </w:r>
    </w:p>
    <w:p>
      <w:pPr>
        <w:spacing w:after="0" w:line="233" w:lineRule="exact"/>
        <w:rPr>
          <w:sz w:val="20"/>
          <w:szCs w:val="20"/>
          <w:color w:val="auto"/>
        </w:rPr>
      </w:pPr>
    </w:p>
    <w:p>
      <w:pPr>
        <w:jc w:val="both"/>
        <w:ind w:firstLine="8"/>
        <w:spacing w:after="0" w:line="238" w:lineRule="auto"/>
        <w:tabs>
          <w:tab w:leader="none" w:pos="71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Computation of Income, Gain, Loss and Deduction Items</w:t>
      </w:r>
      <w:r>
        <w:rPr>
          <w:rFonts w:ascii="Times New Roman" w:cs="Times New Roman" w:eastAsia="Times New Roman" w:hAnsi="Times New Roman"/>
          <w:sz w:val="22"/>
          <w:szCs w:val="22"/>
          <w:color w:val="auto"/>
        </w:rPr>
        <w:t xml:space="preserve">. For purposes of computing the amount of any item of the Company income, gain, loss or deduction to be allocated pursuant to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to be reflected in the Capital Accounts, the determination, recognition and classification of any such item shall be the same as its determination, recognition and classification for U.S.federal income Tax purposes (including any method of depreciation, cost recovery or amortization used for this purpose);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04" w:lineRule="exact"/>
        <w:rPr>
          <w:sz w:val="20"/>
          <w:szCs w:val="20"/>
          <w:color w:val="auto"/>
        </w:rPr>
      </w:pPr>
    </w:p>
    <w:p>
      <w:pPr>
        <w:jc w:val="both"/>
        <w:ind w:firstLine="8"/>
        <w:spacing w:after="0" w:line="244" w:lineRule="auto"/>
        <w:tabs>
          <w:tab w:leader="none" w:pos="80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computation of all items of income, gain, loss and deduction shall include those items described in Code Section 705(a)(1)(B), Code Section 705(a)(2)(B) and Treasury Regulation Section 1.704-1(b)(2)(iv)(i), without regard to the fact that such items are not includable in gross income or are not deductible for U.S. federal income Tax purposes;</w:t>
      </w:r>
    </w:p>
    <w:p>
      <w:pPr>
        <w:spacing w:after="0" w:line="200" w:lineRule="exact"/>
        <w:rPr>
          <w:rFonts w:ascii="Times New Roman" w:cs="Times New Roman" w:eastAsia="Times New Roman" w:hAnsi="Times New Roman"/>
          <w:sz w:val="22"/>
          <w:szCs w:val="22"/>
          <w:color w:val="auto"/>
        </w:rPr>
      </w:pPr>
    </w:p>
    <w:p>
      <w:pPr>
        <w:ind w:firstLine="8"/>
        <w:spacing w:after="0" w:line="258" w:lineRule="auto"/>
        <w:tabs>
          <w:tab w:leader="none" w:pos="58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Book Value of any Company property is adjusted pursuant to Treasury Regulation Section 1.704-1(b)(2)(iv)(e) or (f), the amount of such adjustment shall be taken into account as gain or loss from the disposition of such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6" w:name="page127"/>
    <w:bookmarkEnd w:id="126"/>
    <w:p>
      <w:pPr>
        <w:ind w:right="20" w:firstLine="8"/>
        <w:spacing w:after="0" w:line="258" w:lineRule="auto"/>
        <w:tabs>
          <w:tab w:leader="none" w:pos="61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of income, gain, loss or deduction attributable to the disposition of the Company property having a Book Value that differs from its adjusted basis for Tax purposes shall be computed by reference to the Book Value of such property;</w:t>
      </w:r>
    </w:p>
    <w:p>
      <w:pPr>
        <w:spacing w:after="0" w:line="172" w:lineRule="exact"/>
        <w:rPr>
          <w:rFonts w:ascii="Times New Roman" w:cs="Times New Roman" w:eastAsia="Times New Roman" w:hAnsi="Times New Roman"/>
          <w:sz w:val="22"/>
          <w:szCs w:val="22"/>
          <w:color w:val="auto"/>
        </w:rPr>
      </w:pPr>
    </w:p>
    <w:p>
      <w:pPr>
        <w:jc w:val="both"/>
        <w:ind w:firstLine="8"/>
        <w:spacing w:after="0" w:line="244" w:lineRule="auto"/>
        <w:tabs>
          <w:tab w:leader="none" w:pos="74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of depreciation, amortization and other cost recovery deductions with respect to the Company property having a Book Value that differs from its adjusted basis for Tax purposes shall be computed by reference to the property’s Book Value in accordance with Treasury Regulation Section 1.704-1(b)(2)(iv)(g);</w:t>
      </w:r>
    </w:p>
    <w:p>
      <w:pPr>
        <w:spacing w:after="0" w:line="200" w:lineRule="exact"/>
        <w:rPr>
          <w:rFonts w:ascii="Times New Roman" w:cs="Times New Roman" w:eastAsia="Times New Roman" w:hAnsi="Times New Roman"/>
          <w:sz w:val="22"/>
          <w:szCs w:val="22"/>
          <w:color w:val="auto"/>
        </w:rPr>
      </w:pPr>
    </w:p>
    <w:p>
      <w:pPr>
        <w:jc w:val="both"/>
        <w:ind w:firstLine="8"/>
        <w:spacing w:after="0" w:line="238" w:lineRule="auto"/>
        <w:tabs>
          <w:tab w:leader="none" w:pos="59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an adjustment to the adjusted Tax basis of any of the Company’s asset pursuant to Code Sections 732(d), 734(b) or 743(b)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(vi)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shall be applied in a manner consistent with the principles of Treasury Regulation Sections 1.704-1(b)(2)(iv)(d), (f)(1), (h)(2) and (s).</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b w:val="1"/>
          <w:bCs w:val="1"/>
          <w:u w:val="single" w:color="auto"/>
          <w:color w:val="auto"/>
        </w:rPr>
        <w:t>Negative Capital Accounts; No Interest Regarding Positive Capital Accounts</w:t>
      </w:r>
      <w:r>
        <w:rPr>
          <w:rFonts w:ascii="Times New Roman" w:cs="Times New Roman" w:eastAsia="Times New Roman" w:hAnsi="Times New Roman"/>
          <w:sz w:val="22"/>
          <w:szCs w:val="22"/>
          <w:color w:val="auto"/>
        </w:rPr>
        <w:t>. No Unitholder shall be required to pay to any other Unitholder or the Company any deficit or negative balance which may exist from time to time in such Unitholder’s Capital Account (including upon and after dissolution of the Company). Except as otherwise expressly provided herein, no Unitholder shall be entitled to receive interest from the Company in respect of any positive balance in its Capital Account, and no Unitholder shall be liable to pay interest to the Company or any Unitholder in respect of any negative balance in its Capital Account.</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b w:val="1"/>
          <w:bCs w:val="1"/>
          <w:u w:val="single" w:color="auto"/>
          <w:color w:val="auto"/>
        </w:rPr>
        <w:t>No Withdrawal</w:t>
      </w:r>
      <w:r>
        <w:rPr>
          <w:rFonts w:ascii="Times New Roman" w:cs="Times New Roman" w:eastAsia="Times New Roman" w:hAnsi="Times New Roman"/>
          <w:sz w:val="22"/>
          <w:szCs w:val="22"/>
          <w:color w:val="auto"/>
        </w:rPr>
        <w:t>. No Person shall be entitled to withdraw any part of such Person’s Capital Contributions or Capital Account or to receive any Distribution from the Company, except as expressly provided herein.</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b w:val="1"/>
          <w:bCs w:val="1"/>
          <w:u w:val="single" w:color="auto"/>
          <w:color w:val="auto"/>
        </w:rPr>
        <w:t>Loans From Unitholders</w:t>
      </w:r>
      <w:r>
        <w:rPr>
          <w:rFonts w:ascii="Times New Roman" w:cs="Times New Roman" w:eastAsia="Times New Roman" w:hAnsi="Times New Roman"/>
          <w:sz w:val="22"/>
          <w:szCs w:val="22"/>
          <w:color w:val="auto"/>
        </w:rPr>
        <w:t>. Loans by Unitholders to the Company shall not be considered Capital Contributions. If any Unitholder shall loan funds to the Company in excess of the amounts required hereunder to be contributed by such Unitholder to the capital of the Company, the making of such loans shall not result in any increase in the amount of the Capital Account of such Unitholder. The amount of any such loans shall be a debt of the Company to such Unitholder and shall be payable or collectible in accordance with the terms and conditions upon which such loans are made.</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Section 3.9 </w:t>
      </w:r>
      <w:r>
        <w:rPr>
          <w:rFonts w:ascii="Times New Roman" w:cs="Times New Roman" w:eastAsia="Times New Roman" w:hAnsi="Times New Roman"/>
          <w:sz w:val="22"/>
          <w:szCs w:val="22"/>
          <w:b w:val="1"/>
          <w:bCs w:val="1"/>
          <w:u w:val="single" w:color="auto"/>
          <w:color w:val="auto"/>
        </w:rPr>
        <w:t>Adjustments to Capital Accounts for Distributions In-Kind</w:t>
      </w:r>
      <w:r>
        <w:rPr>
          <w:rFonts w:ascii="Times New Roman" w:cs="Times New Roman" w:eastAsia="Times New Roman" w:hAnsi="Times New Roman"/>
          <w:sz w:val="22"/>
          <w:szCs w:val="22"/>
          <w:color w:val="auto"/>
        </w:rPr>
        <w:t xml:space="preserve">. To the extent that the Company distributes property in-kind to the Members, the Company shall be treated as making a distribution equal to the Fair Market Value of such property (as of the date of such distribution) for purposes of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and such property shall be treated as if it were sold for an amount equal to its Fair Market Value and any resulting gain or loss shall be allocated to the Members’ Capital Accounts in accordance with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Section 3.10 </w:t>
      </w:r>
      <w:r>
        <w:rPr>
          <w:rFonts w:ascii="Times New Roman" w:cs="Times New Roman" w:eastAsia="Times New Roman" w:hAnsi="Times New Roman"/>
          <w:sz w:val="21"/>
          <w:szCs w:val="21"/>
          <w:b w:val="1"/>
          <w:bCs w:val="1"/>
          <w:u w:val="single" w:color="auto"/>
          <w:color w:val="auto"/>
        </w:rPr>
        <w:t>Transfer of Capital Accounts</w:t>
      </w:r>
      <w:r>
        <w:rPr>
          <w:rFonts w:ascii="Times New Roman" w:cs="Times New Roman" w:eastAsia="Times New Roman" w:hAnsi="Times New Roman"/>
          <w:sz w:val="21"/>
          <w:szCs w:val="21"/>
          <w:color w:val="auto"/>
        </w:rPr>
        <w:t>.The original Capital Account established for each Substituted Member shall be in the same amount as the Capital Account of the Member (or portion thereof) to which such Substituted Member succeeds at the time such Substituted Member is admitted to as a Member of the Company. The Capital Account of any Member whose interest in the Company shall be increased or decreased by means of (a) the Transfer to it of all or part of the Units of another Member or</w:t>
      </w:r>
    </w:p>
    <w:p>
      <w:pPr>
        <w:spacing w:after="0" w:line="2" w:lineRule="exact"/>
        <w:rPr>
          <w:sz w:val="20"/>
          <w:szCs w:val="20"/>
          <w:color w:val="auto"/>
        </w:rPr>
      </w:pPr>
    </w:p>
    <w:p>
      <w:pPr>
        <w:jc w:val="both"/>
        <w:ind w:firstLine="8"/>
        <w:spacing w:after="0" w:line="234" w:lineRule="auto"/>
        <w:tabs>
          <w:tab w:leader="none" w:pos="35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repurchase or forfeiture of Units pursuant to any Equity Agreement shall be appropriately adjusted to reflect such Transfer, repurchase or forfeiture. Any reference in this Agreement to a Capital Contribution of or Distribution to a Member that has succeeded any other Member shall include any Capital Contributions or Distributions previously made by or to the former Member on account of the Units of such former Member Transferred to such Member.</w:t>
      </w:r>
    </w:p>
    <w:p>
      <w:pPr>
        <w:spacing w:after="0" w:line="173"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b w:val="1"/>
          <w:bCs w:val="1"/>
          <w:u w:val="single" w:color="auto"/>
          <w:color w:val="auto"/>
        </w:rPr>
        <w:t>Adjustments to Book Value</w:t>
      </w:r>
      <w:r>
        <w:rPr>
          <w:rFonts w:ascii="Times New Roman" w:cs="Times New Roman" w:eastAsia="Times New Roman" w:hAnsi="Times New Roman"/>
          <w:sz w:val="22"/>
          <w:szCs w:val="22"/>
          <w:color w:val="auto"/>
        </w:rPr>
        <w:t>. The Company shall adjust the Book Value of its assets to Fair Market Value in accordance with Treasury Regulations Section 1.704-1(b)(2)(iv)(f) as of the following times: (a) at the Board’s discretion in connection with the issuance of Units in the Company in exchange for more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7" w:name="page128"/>
    <w:bookmarkEnd w:id="127"/>
    <w:p>
      <w:pPr>
        <w:ind w:right="60"/>
        <w:spacing w:after="0" w:line="234" w:lineRule="auto"/>
        <w:rPr>
          <w:sz w:val="20"/>
          <w:szCs w:val="20"/>
          <w:color w:val="auto"/>
        </w:rPr>
      </w:pPr>
      <w:r>
        <w:rPr>
          <w:rFonts w:ascii="Times New Roman" w:cs="Times New Roman" w:eastAsia="Times New Roman" w:hAnsi="Times New Roman"/>
          <w:sz w:val="22"/>
          <w:szCs w:val="22"/>
          <w:color w:val="auto"/>
        </w:rPr>
        <w:t xml:space="preserve">a de minimis Capital Contribution or for services performed on behalf of the Company; (b) at the Board’s discretion in connection with the Distribution by the Company to a Member of more than a de minimis amount of the Company’s assets, including money; (c) the liquidation of the Company within the meaning of Treasury Regulations Section 1.704-1(b)(2)(ii)(g); and (d) at such other times as the Board determines necessary or appropriate in order to comply with Treasury Regulations Sections 1.704-1(b) and 1.704-2. Any such increase or decrease in Book Value of an asset shall be allocated as a Profit or Loss to the Capital Accounts of the Members under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(determined immediately prior to the event giving rise to the revaluation). For the avoidance of doubt, notwithstanding anything to the contrary contained in this Agreement, the Company shall adjust the Book Value of its assets to Fair Market Value as of the date of the Transactions in accordance with Treasury Regulations Section 1.704-1(b)(2)(iv)(f).</w:t>
      </w:r>
    </w:p>
    <w:p>
      <w:pPr>
        <w:spacing w:after="0" w:line="20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b w:val="1"/>
          <w:bCs w:val="1"/>
          <w:u w:val="single" w:color="auto"/>
          <w:color w:val="auto"/>
        </w:rPr>
        <w:t>Compliance With Section 1.704-1(b)</w:t>
      </w:r>
      <w:r>
        <w:rPr>
          <w:rFonts w:ascii="Times New Roman" w:cs="Times New Roman" w:eastAsia="Times New Roman" w:hAnsi="Times New Roman"/>
          <w:sz w:val="22"/>
          <w:szCs w:val="22"/>
          <w:color w:val="auto"/>
        </w:rPr>
        <w:t xml:space="preserve">. The provisions of this Agreement relating to the maintenance of Capital Accounts are intended to comply with Treasury Regulations Section 1.704-1(b), and shall be interpreted and applied in a manner consistent with such Treasury Regulations. In the event the Board shall determine that it is prudent to modify the manner in which the Capital Accounts are computed in order to comply with such Treasury Regulations, the Board may make such modification, without the approval of any other Member or Unitholder or any other Person and notwithstanding anything in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to the contrary. The Board also shall (a) make any adjustments that are necessary or appropriate to maintain equality between the Capital Accounts of the Members and the amount of the Company capital reflected on the Company’s balance sheet, as computed for book purposes, in accordance with Treasury Regulations Section 1.704-1(b)(iv)(g), and (b) make any appropriate modifications in the event unanticipated events might otherwise cause this Agreement not to comply with Treasury Regulations Section 1.704-1(b).</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b w:val="1"/>
          <w:bCs w:val="1"/>
          <w:u w:val="single" w:color="auto"/>
          <w:color w:val="auto"/>
        </w:rPr>
        <w:t>Warrants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right="60" w:firstLine="8"/>
        <w:spacing w:after="0" w:line="235" w:lineRule="auto"/>
        <w:tabs>
          <w:tab w:leader="none" w:pos="61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hereof, in connection with the transactions contemplated by the Transaction Agreement, the Company has issued warrants to purchase Common Units (the “</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to Vivid Seats and TopCo as set forth on the Unit Ownership Ledger pursuant to warrant agreements (the“</w:t>
      </w:r>
      <w:r>
        <w:rPr>
          <w:rFonts w:ascii="Times New Roman" w:cs="Times New Roman" w:eastAsia="Times New Roman" w:hAnsi="Times New Roman"/>
          <w:sz w:val="22"/>
          <w:szCs w:val="22"/>
          <w:u w:val="single" w:color="auto"/>
          <w:color w:val="auto"/>
        </w:rPr>
        <w:t>Warrant Agreements</w:t>
      </w:r>
      <w:r>
        <w:rPr>
          <w:rFonts w:ascii="Times New Roman" w:cs="Times New Roman" w:eastAsia="Times New Roman" w:hAnsi="Times New Roman"/>
          <w:sz w:val="22"/>
          <w:szCs w:val="22"/>
          <w:color w:val="auto"/>
        </w:rPr>
        <w:t>”) entered into between the Company, on the one hand, and Vivid Seats and Topco, as applicable, on the other hand, as of the date hereof. Upon the valid exercise of a Warrant in accordance with the applicable Warrant Agreement, the Company shall issue to Vivid Seats or TopCo, as applicable, the number of Common Units, free and clear of all Liens (other than those arising under applicable securities laws and this Agreement), to be issued in connection with such exercise.</w:t>
      </w:r>
    </w:p>
    <w:p>
      <w:pPr>
        <w:spacing w:after="0" w:line="196" w:lineRule="exact"/>
        <w:rPr>
          <w:rFonts w:ascii="Times New Roman" w:cs="Times New Roman" w:eastAsia="Times New Roman" w:hAnsi="Times New Roman"/>
          <w:sz w:val="22"/>
          <w:szCs w:val="22"/>
          <w:color w:val="auto"/>
        </w:rPr>
      </w:pPr>
    </w:p>
    <w:p>
      <w:pPr>
        <w:jc w:val="both"/>
        <w:ind w:firstLine="8"/>
        <w:spacing w:after="0" w:line="234" w:lineRule="auto"/>
        <w:tabs>
          <w:tab w:leader="none" w:pos="75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holder of a warrant issued by Vivid Seats to purchase shares of Class A Common Stock (the “</w:t>
      </w:r>
      <w:r>
        <w:rPr>
          <w:rFonts w:ascii="Times New Roman" w:cs="Times New Roman" w:eastAsia="Times New Roman" w:hAnsi="Times New Roman"/>
          <w:sz w:val="22"/>
          <w:szCs w:val="22"/>
          <w:u w:val="single" w:color="auto"/>
          <w:color w:val="auto"/>
        </w:rPr>
        <w:t>Upstairs Class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exercises an Upstairs Class A Warrant, then Vivid Seats agrees that it shall cause a corresponding exercise (including by effecting such exercise in the same manner, i.e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by payment of a cash exercise price or on a cashless basis) of a Warrant with similar terms held by it, such that the number of shares of Class A Common Stock issued in connection with the exercise of such Upstairs Class A Warrant shall match with a corresponding number of Common Units issued by the Company pursuant to the Warrant Agreement with Vivid Seats, and the exercise price paid by Vivid Seats shall be equal to the exercise price paid by the holder of the Upstairs Class A Warrant exercising such Upstairs Class A Warrant. Vivid Seats agrees that it will not exercise any Warrants other than in connection with the corresponding exercise of an Upstairs Class A Warrant. In the event an Upstairs Class A Warrant is redeemed, the Company will redeem a Warrant with similar terms held by Vivid Seats.</w:t>
      </w:r>
    </w:p>
    <w:p>
      <w:pPr>
        <w:spacing w:after="0" w:line="210" w:lineRule="exact"/>
        <w:rPr>
          <w:rFonts w:ascii="Times New Roman" w:cs="Times New Roman" w:eastAsia="Times New Roman" w:hAnsi="Times New Roman"/>
          <w:sz w:val="22"/>
          <w:szCs w:val="22"/>
          <w:color w:val="auto"/>
        </w:rPr>
      </w:pPr>
    </w:p>
    <w:p>
      <w:pPr>
        <w:jc w:val="both"/>
        <w:ind w:firstLine="8"/>
        <w:spacing w:after="0" w:line="238" w:lineRule="auto"/>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Topco exercises a Warrant, then TopCo agrees that it shall cause a corresponding exercise of a warrant issued by Vivid Seats to purchase shares of Class B Common Stock (the “</w:t>
      </w:r>
      <w:r>
        <w:rPr>
          <w:rFonts w:ascii="Times New Roman" w:cs="Times New Roman" w:eastAsia="Times New Roman" w:hAnsi="Times New Roman"/>
          <w:sz w:val="22"/>
          <w:szCs w:val="22"/>
          <w:u w:val="single" w:color="auto"/>
          <w:color w:val="auto"/>
        </w:rPr>
        <w:t>Upstairs Class B Warrants</w:t>
      </w:r>
      <w:r>
        <w:rPr>
          <w:rFonts w:ascii="Times New Roman" w:cs="Times New Roman" w:eastAsia="Times New Roman" w:hAnsi="Times New Roman"/>
          <w:sz w:val="22"/>
          <w:szCs w:val="22"/>
          <w:color w:val="auto"/>
        </w:rPr>
        <w:t>”) held by it, such that the number of Common Units issued by the Company pursuant to the Warrant Agreement with TopCo shall match a corresponding number of shares of Class B Common Stock issued in connection with the exercise of such Upstairs Class B Warrant. TopCo agrees that it will not exercise any Upstairs Class B Warrants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8" w:name="page129"/>
    <w:bookmarkEnd w:id="128"/>
    <w:p>
      <w:pPr>
        <w:ind w:right="20"/>
        <w:spacing w:after="0" w:line="242" w:lineRule="auto"/>
        <w:rPr>
          <w:sz w:val="20"/>
          <w:szCs w:val="20"/>
          <w:color w:val="auto"/>
        </w:rPr>
      </w:pPr>
      <w:r>
        <w:rPr>
          <w:rFonts w:ascii="Times New Roman" w:cs="Times New Roman" w:eastAsia="Times New Roman" w:hAnsi="Times New Roman"/>
          <w:sz w:val="22"/>
          <w:szCs w:val="22"/>
          <w:color w:val="auto"/>
        </w:rPr>
        <w:t>in connection with the corresponding exercise of a Warrant. In the event a Warrant held by Topco is redeemed, Vivid Seats will redeem an Upstairs Class B Warrant held by Topco.</w:t>
      </w:r>
    </w:p>
    <w:p>
      <w:pPr>
        <w:spacing w:after="0"/>
        <w:rPr>
          <w:sz w:val="20"/>
          <w:szCs w:val="20"/>
          <w:color w:val="auto"/>
        </w:rPr>
      </w:pPr>
      <w:r>
        <w:rPr>
          <w:rFonts w:ascii="Times New Roman" w:cs="Times New Roman" w:eastAsia="Times New Roman" w:hAnsi="Times New Roman"/>
          <w:sz w:val="22"/>
          <w:szCs w:val="22"/>
          <w:b w:val="1"/>
          <w:bCs w:val="1"/>
          <w:color w:val="auto"/>
        </w:rPr>
        <w:t>ARTICLE IV DISTRIBUTIONS AND ALLOCATIONS</w:t>
      </w:r>
    </w:p>
    <w:p>
      <w:pPr>
        <w:spacing w:after="0" w:line="19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b w:val="1"/>
          <w:bCs w:val="1"/>
          <w:u w:val="single" w:color="auto"/>
          <w:color w:val="auto"/>
        </w:rPr>
        <w:t>Distributions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hanging="612"/>
        <w:spacing w:after="0"/>
        <w:tabs>
          <w:tab w:leader="none" w:pos="6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Distributions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8"/>
        <w:spacing w:after="0" w:line="243" w:lineRule="auto"/>
        <w:tabs>
          <w:tab w:leader="none" w:pos="58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Distributions</w:t>
      </w:r>
      <w:r>
        <w:rPr>
          <w:rFonts w:ascii="Times New Roman" w:cs="Times New Roman" w:eastAsia="Times New Roman" w:hAnsi="Times New Roman"/>
          <w:sz w:val="21"/>
          <w:szCs w:val="21"/>
          <w:color w:val="auto"/>
        </w:rPr>
        <w:t>. To the extent funds of the Company are legally available for distribution by the Company and such distribution would not be prohibited under any credit facility or any other agreement to which the Company or any of its Subsidiaries is a party, in each case, as determined by Vivid Seats in its reasonable discretion (the “</w:t>
      </w:r>
      <w:r>
        <w:rPr>
          <w:rFonts w:ascii="Times New Roman" w:cs="Times New Roman" w:eastAsia="Times New Roman" w:hAnsi="Times New Roman"/>
          <w:sz w:val="21"/>
          <w:szCs w:val="21"/>
          <w:u w:val="single" w:color="auto"/>
          <w:color w:val="auto"/>
        </w:rPr>
        <w:t>Tax Distribution Conditions</w:t>
      </w:r>
      <w:r>
        <w:rPr>
          <w:rFonts w:ascii="Times New Roman" w:cs="Times New Roman" w:eastAsia="Times New Roman" w:hAnsi="Times New Roman"/>
          <w:sz w:val="21"/>
          <w:szCs w:val="21"/>
          <w:color w:val="auto"/>
        </w:rPr>
        <w:t>”), with respect to each Fiscal Quarter (or portion thereof), the Company shall distribute to each Unitholder, an amount of cash (each a “</w:t>
      </w:r>
      <w:r>
        <w:rPr>
          <w:rFonts w:ascii="Times New Roman" w:cs="Times New Roman" w:eastAsia="Times New Roman" w:hAnsi="Times New Roman"/>
          <w:sz w:val="21"/>
          <w:szCs w:val="21"/>
          <w:u w:val="single" w:color="auto"/>
          <w:color w:val="auto"/>
        </w:rPr>
        <w:t>Tax Distribution</w:t>
      </w:r>
      <w:r>
        <w:rPr>
          <w:rFonts w:ascii="Times New Roman" w:cs="Times New Roman" w:eastAsia="Times New Roman" w:hAnsi="Times New Roman"/>
          <w:sz w:val="21"/>
          <w:szCs w:val="21"/>
          <w:color w:val="auto"/>
        </w:rPr>
        <w:t xml:space="preserve">”) that is at least equal to such Unitholder’s Assumed Tax Liability for such Fiscal Quarter (or portion thereof). All Tax Distributions shall be made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on a per-Common Unit basis in an amount such that the Unitholder with the highest Assumed Tax Liability per Common Unit receives an amount equal to such Unitholder’s Assumed Tax Liability, on a quarterly basis at least five (5) days prior to the date on which any estimated tax payments are due with respect to the relevant Fiscal Quarter, in order to permit each Unitholder (or the beneficial owners of any Unitholder) to timely pay its estimated tax obligations for the applicable Fiscal Quarter (or portion thereof). The Board shall make, in its reasonable discretion, equitable adjustments (downward (but not below zero) or upward) to each Unitholder’s Tax Distributions (but in any event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in proportion to each Unitholder’s respective number of Common Units) to take into account increases or decreases in the number of Common Units held by each Unitholder during the relevant period. All Tax Distributions shall be treated for all purposes under this Agreement as advances against, and shall offset and reduce dollar-for-dollar, subsequent Distributions under </w:t>
      </w:r>
      <w:r>
        <w:rPr>
          <w:rFonts w:ascii="Times New Roman" w:cs="Times New Roman" w:eastAsia="Times New Roman" w:hAnsi="Times New Roman"/>
          <w:sz w:val="21"/>
          <w:szCs w:val="21"/>
          <w:u w:val="single" w:color="auto"/>
          <w:color w:val="auto"/>
        </w:rPr>
        <w:t>Section 4.1(b)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In determining the amount of any Tax Distributions, (i) the Assumed Tax Liability of Vivid Seats shall be increased if, and solely to the extent, necessary to allow Vivid Seats to satisfy its own tax obligations for the applicable Fiscal Quarter or portion thereof and payments currently due and owing under the Tax Receivable Agreement, taking into account any Distributions previously made to Vivid Seats under this Agreement and (ii) the Assumed Tax Liability of TopCo shall be increased if, and solely to the extent, necessary to allow TopCo to make payments to any of its members that are allocated taxable income in respect of their indirect interests in the Company attributable to an applicable Fiscal Quarter, without regard to whether taxable income of the Company is allocated to TopCo with respect to such Fiscal Quarter.</w:t>
      </w:r>
    </w:p>
    <w:p>
      <w:pPr>
        <w:spacing w:after="0" w:line="211" w:lineRule="exact"/>
        <w:rPr>
          <w:rFonts w:ascii="Times New Roman" w:cs="Times New Roman" w:eastAsia="Times New Roman" w:hAnsi="Times New Roman"/>
          <w:sz w:val="21"/>
          <w:szCs w:val="21"/>
          <w:color w:val="auto"/>
        </w:rPr>
      </w:pPr>
    </w:p>
    <w:p>
      <w:pPr>
        <w:jc w:val="both"/>
        <w:ind w:firstLine="8"/>
        <w:spacing w:after="0" w:line="244" w:lineRule="auto"/>
        <w:tabs>
          <w:tab w:leader="none" w:pos="61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 Unitholder would receive for any Fiscal Quarter less than its per-Common Unit share of the aggregate Tax Distributions to be paid pursuant to </w:t>
      </w:r>
      <w:r>
        <w:rPr>
          <w:rFonts w:ascii="Times New Roman" w:cs="Times New Roman" w:eastAsia="Times New Roman" w:hAnsi="Times New Roman"/>
          <w:sz w:val="21"/>
          <w:szCs w:val="21"/>
          <w:u w:val="single" w:color="auto"/>
          <w:color w:val="auto"/>
        </w:rPr>
        <w:t>Section 4.1(a)(i)</w:t>
      </w:r>
      <w:r>
        <w:rPr>
          <w:rFonts w:ascii="Times New Roman" w:cs="Times New Roman" w:eastAsia="Times New Roman" w:hAnsi="Times New Roman"/>
          <w:sz w:val="21"/>
          <w:szCs w:val="21"/>
          <w:color w:val="auto"/>
        </w:rPr>
        <w:t xml:space="preserve">, the Tax Distributions to such Unitholder shall be increased to ensure that all Tax Distributions to holders of Common Units are made in accordance with their per-Common Unit share. The Board shall be entitled to adjust subsequent Tax Distributions up or down to reflect any variation between its prior estimation of quarterly Tax Distributions that would have been computed under </w:t>
      </w:r>
      <w:r>
        <w:rPr>
          <w:rFonts w:ascii="Times New Roman" w:cs="Times New Roman" w:eastAsia="Times New Roman" w:hAnsi="Times New Roman"/>
          <w:sz w:val="21"/>
          <w:szCs w:val="21"/>
          <w:u w:val="single" w:color="auto"/>
          <w:color w:val="auto"/>
        </w:rPr>
        <w:t>Section 4.1(a)(i)</w:t>
      </w:r>
      <w:r>
        <w:rPr>
          <w:rFonts w:ascii="Times New Roman" w:cs="Times New Roman" w:eastAsia="Times New Roman" w:hAnsi="Times New Roman"/>
          <w:sz w:val="21"/>
          <w:szCs w:val="21"/>
          <w:color w:val="auto"/>
        </w:rPr>
        <w:t xml:space="preserve"> based on subsequent information. In the event that due to the Tax Distribution Conditions the funds available for any Tax Distribution to be made hereunder are insufficient to pay the full amount of the Tax Distribution that would otherwise be required under </w:t>
      </w:r>
      <w:r>
        <w:rPr>
          <w:rFonts w:ascii="Times New Roman" w:cs="Times New Roman" w:eastAsia="Times New Roman" w:hAnsi="Times New Roman"/>
          <w:sz w:val="21"/>
          <w:szCs w:val="21"/>
          <w:u w:val="single" w:color="auto"/>
          <w:color w:val="auto"/>
        </w:rPr>
        <w:t>Section 4.1(a)(i)</w:t>
      </w:r>
      <w:r>
        <w:rPr>
          <w:rFonts w:ascii="Times New Roman" w:cs="Times New Roman" w:eastAsia="Times New Roman" w:hAnsi="Times New Roman"/>
          <w:sz w:val="21"/>
          <w:szCs w:val="21"/>
          <w:color w:val="auto"/>
        </w:rPr>
        <w:t xml:space="preserve">, the Company shall use its reasonable best efforts to distribute to the Unitholders the amount of funds that are available after application of the Tax Distribution Conditions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(according to the amounts that would have been distributed to each Unitholder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4.1(a)(i)</w:t>
      </w:r>
      <w:r>
        <w:rPr>
          <w:rFonts w:ascii="Times New Roman" w:cs="Times New Roman" w:eastAsia="Times New Roman" w:hAnsi="Times New Roman"/>
          <w:sz w:val="21"/>
          <w:szCs w:val="21"/>
          <w:color w:val="auto"/>
        </w:rPr>
        <w:t xml:space="preserve"> if available funds (after application of the Tax Distribution Conditions) existed in a sufficient amount to make such Distribution in full). At any time thereafter when additional funds of the Company are available for Distribution after application of the Tax Distribution Conditions, the Company shall use its reasonable best efforts to immediately distribute such funds to the Unitholders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(according to the amounts that would have been distributed to each Unitholder pursuant to </w:t>
      </w:r>
      <w:r>
        <w:rPr>
          <w:rFonts w:ascii="Times New Roman" w:cs="Times New Roman" w:eastAsia="Times New Roman" w:hAnsi="Times New Roman"/>
          <w:sz w:val="21"/>
          <w:szCs w:val="21"/>
          <w:u w:val="single" w:color="auto"/>
          <w:color w:val="auto"/>
        </w:rPr>
        <w:t>Section 4.1(a)(i)</w:t>
      </w:r>
      <w:r>
        <w:rPr>
          <w:rFonts w:ascii="Times New Roman" w:cs="Times New Roman" w:eastAsia="Times New Roman" w:hAnsi="Times New Roman"/>
          <w:sz w:val="21"/>
          <w:szCs w:val="21"/>
          <w:color w:val="auto"/>
        </w:rPr>
        <w:t xml:space="preserve"> if available funds (after application of the Tax Distribution Conditions) would have existed in a sufficient amount to make such Tax Distribution in full). Notwithstanding anything else to the contrary, Tax Distributions to a Unitholder with respect to any Fiscal Quarter (or portion thereof) shall be reduced (but not below zero)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9" w:name="page130"/>
    <w:bookmarkEnd w:id="129"/>
    <w:p>
      <w:pPr>
        <w:ind w:right="20"/>
        <w:spacing w:after="0" w:line="258" w:lineRule="auto"/>
        <w:rPr>
          <w:sz w:val="20"/>
          <w:szCs w:val="20"/>
          <w:color w:val="auto"/>
        </w:rPr>
      </w:pPr>
      <w:r>
        <w:rPr>
          <w:rFonts w:ascii="Times New Roman" w:cs="Times New Roman" w:eastAsia="Times New Roman" w:hAnsi="Times New Roman"/>
          <w:sz w:val="22"/>
          <w:szCs w:val="22"/>
          <w:color w:val="auto"/>
        </w:rPr>
        <w:t>amount of any Distributions made during such Fiscal Quarter (or portion thereof) to such Unitholder that are not Tax Distributions.</w:t>
      </w:r>
    </w:p>
    <w:p>
      <w:pPr>
        <w:spacing w:after="0" w:line="186" w:lineRule="exact"/>
        <w:rPr>
          <w:sz w:val="20"/>
          <w:szCs w:val="20"/>
          <w:color w:val="auto"/>
        </w:rPr>
      </w:pPr>
    </w:p>
    <w:p>
      <w:pPr>
        <w:jc w:val="both"/>
        <w:ind w:firstLine="8"/>
        <w:spacing w:after="0" w:line="233" w:lineRule="auto"/>
        <w:tabs>
          <w:tab w:leader="none" w:pos="7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Tax Distributions</w:t>
      </w:r>
      <w:r>
        <w:rPr>
          <w:rFonts w:ascii="Times New Roman" w:cs="Times New Roman" w:eastAsia="Times New Roman" w:hAnsi="Times New Roman"/>
          <w:sz w:val="22"/>
          <w:szCs w:val="22"/>
          <w:color w:val="auto"/>
        </w:rPr>
        <w:t xml:space="preserve">. In the event of any audit by, or similar event with, a taxing authority that affects the calculation of any Unitholder’s Assumed Tax Liability for any Taxable Year (other than an audit conducted pursuant to the Partnership Tax Audit Rules for which no election is made pursuant to Code Section 6226 (or any similar provision of state or local law)),or in the event the Company files an amended tax return, each Unitholder’s Assumed Tax Liability with respect to such year shall be recalculated by giving effect to such event (for the avoidance of doubt, taking into account interest and penalties). Subject to the Tax Distribution Conditions, distributions shall be made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on a per-Common Unit basis in an amount such that each Unitholder and successor to any former Unitholder receives an amount equal to any shortfall in the amount of Tax Distributions the Unitholders and former Unitholders received for the relevant Taxable Years based on such recalculated Assumed Tax Liability, except, for the avoidance of doubt, to the extent Distributions were made to such Unitholders and former Unitholders pursuant to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in the relevant Taxable Years sufficient to cover such shortfall. Notwithstanding the foregoing, Distributions to be made under this </w:t>
      </w:r>
      <w:r>
        <w:rPr>
          <w:rFonts w:ascii="Times New Roman" w:cs="Times New Roman" w:eastAsia="Times New Roman" w:hAnsi="Times New Roman"/>
          <w:sz w:val="22"/>
          <w:szCs w:val="22"/>
          <w:u w:val="single" w:color="auto"/>
          <w:color w:val="auto"/>
        </w:rPr>
        <w:t>Section 4.1(a)(iii)</w:t>
      </w:r>
      <w:r>
        <w:rPr>
          <w:rFonts w:ascii="Times New Roman" w:cs="Times New Roman" w:eastAsia="Times New Roman" w:hAnsi="Times New Roman"/>
          <w:sz w:val="22"/>
          <w:szCs w:val="22"/>
          <w:color w:val="auto"/>
        </w:rPr>
        <w:t xml:space="preserve"> either (i) to a successor of a former Unitholder on account of a shortfall in Tax Distributions to a former Unitholder, or (ii) to a Unitholder in respect of a shortfall in the amount of Tax Distributions to such Unitholder for any Taxable Year (or portion thereof) ending on or before the Closing Date, shall not exceed $1 million in the aggregate.</w:t>
      </w:r>
    </w:p>
    <w:p>
      <w:pPr>
        <w:spacing w:after="0" w:line="193" w:lineRule="exact"/>
        <w:rPr>
          <w:sz w:val="20"/>
          <w:szCs w:val="20"/>
          <w:color w:val="auto"/>
        </w:rPr>
      </w:pPr>
    </w:p>
    <w:p>
      <w:pPr>
        <w:jc w:val="both"/>
        <w:ind w:firstLine="8"/>
        <w:spacing w:after="0" w:line="239" w:lineRule="auto"/>
        <w:tabs>
          <w:tab w:leader="none" w:pos="65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Distributions</w:t>
      </w:r>
      <w:r>
        <w:rPr>
          <w:rFonts w:ascii="Times New Roman" w:cs="Times New Roman" w:eastAsia="Times New Roman" w:hAnsi="Times New Roman"/>
          <w:sz w:val="22"/>
          <w:szCs w:val="22"/>
          <w:color w:val="auto"/>
        </w:rPr>
        <w:t xml:space="preserve">. Except as otherwise set forth in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the Board may (but shall not be obligated to) make Distributions at such time, in such amounts and in such form (including in-kind property) as determined by the Board in its sole discretion, in each case to the holders of Common Units immediately prior to such Distribution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and in accordance with each Unitholder’s relative ownership of Units.</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4.2</w:t>
      </w:r>
      <w:r>
        <w:rPr>
          <w:sz w:val="20"/>
          <w:szCs w:val="20"/>
          <w:color w:val="auto"/>
        </w:rPr>
        <w:tab/>
      </w:r>
      <w:r>
        <w:rPr>
          <w:rFonts w:ascii="Times New Roman" w:cs="Times New Roman" w:eastAsia="Times New Roman" w:hAnsi="Times New Roman"/>
          <w:sz w:val="21"/>
          <w:szCs w:val="21"/>
          <w:b w:val="1"/>
          <w:bCs w:val="1"/>
          <w:u w:val="single" w:color="auto"/>
          <w:color w:val="auto"/>
        </w:rPr>
        <w:t>Allocations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
        <w:spacing w:after="0" w:line="234" w:lineRule="auto"/>
        <w:tabs>
          <w:tab w:leader="none" w:pos="63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Profits or Losses for any Fiscal Year shall be allocated among the Unitholders in such a manner as to reduce or eliminate, to the extent possible, any difference, as of the end of such Fiscal Year, between (a) the sum of (i) the Capital Account of each Unitholder, (ii) such Unitholder’s share of Minimum Gain (as determined according to Treasury Regulation Section 1.704-2(g)) and (iii) such Unitholder’s partner nonrecourse debt minimum gain (as defined in Treasury Regulation Section 1.704-2(i)(2))and (b) the respective net amounts, positive or negative, which would be distributed to them or for which they would be liable to the Company under this Agreement and the Delaware Act, determined as if the Company were to (i) liquidate the assets of the Company for an amount equal to their Book Value and satisfy the liabilities of the Company in cash (limited in the case of non-recourse liabilities to the Book Value of the assets securing such liabilities) and (ii) distribute the proceeds of such liquidation pursuant to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8"/>
        <w:spacing w:after="0" w:line="235" w:lineRule="auto"/>
        <w:tabs>
          <w:tab w:leader="none" w:pos="60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any Fiscal Year there is a change in any Unitholder’s interest in the Company as a result of the admission of one or more Members, the withdrawal of a Member, or a Transfer of an interest in the Company, the Profits, Losses, or any other item allocable to the Unitholders under this Agreement for the Fiscal Year shall be allocated among the Unitholders so as to reflect their varying interests in the Company during the Fiscal Year, using any permissible method convention or extraordinary item under Section 706 of the Code and the Treasury Regulations promulgated thereunder, as reasonably selected by the Board. In furtherance of the foregoing, any such permissible method, convention or extraordinary item selected by the Board shall be set forth in a dated, written statement maintained with the Company’s books and records.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Unitholders hereby agree that any such selection by the Board is made by “agreement of the partners” within the meaning of Treasury Regulation Section 1.706-4(f).</w:t>
      </w:r>
    </w:p>
    <w:p>
      <w:pPr>
        <w:spacing w:after="0" w:line="16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b w:val="1"/>
          <w:bCs w:val="1"/>
          <w:u w:val="single" w:color="auto"/>
          <w:color w:val="auto"/>
        </w:rPr>
        <w:t>Special Allocations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0" w:name="page131"/>
    <w:bookmarkEnd w:id="130"/>
    <w:p>
      <w:pPr>
        <w:jc w:val="both"/>
        <w:ind w:firstLine="8"/>
        <w:spacing w:after="0" w:line="249" w:lineRule="auto"/>
        <w:tabs>
          <w:tab w:leader="none" w:pos="71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Gain Chargeback</w:t>
      </w:r>
      <w:r>
        <w:rPr>
          <w:rFonts w:ascii="Times New Roman" w:cs="Times New Roman" w:eastAsia="Times New Roman" w:hAnsi="Times New Roman"/>
          <w:sz w:val="21"/>
          <w:szCs w:val="21"/>
          <w:color w:val="auto"/>
        </w:rPr>
        <w:t>. Losses attributable to partner nonrecourse debt (as defined in Treasury Regulation Section 1.704-2(b)(4)) shall be allocated in the manner required by Treasury Regulation Section 1.704-2(i). If there is a net decrease during a Taxable Year in partner nonrecourse debt minimum gain (as defined in Treasury Regulation Section 1.704-2(i)</w:t>
      </w:r>
    </w:p>
    <w:p>
      <w:pPr>
        <w:spacing w:after="0" w:line="1" w:lineRule="exact"/>
        <w:rPr>
          <w:rFonts w:ascii="Times New Roman" w:cs="Times New Roman" w:eastAsia="Times New Roman" w:hAnsi="Times New Roman"/>
          <w:sz w:val="21"/>
          <w:szCs w:val="21"/>
          <w:color w:val="auto"/>
        </w:rPr>
      </w:pPr>
    </w:p>
    <w:p>
      <w:pPr>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(2)),Profits for such Taxable Year (and, if necessary, for subsequent Taxable Years) shall be allocated to the Unitholders in the amounts and of such character as determined according to Treasury Regulation Section 1.704-2(i)(4).</w:t>
      </w:r>
    </w:p>
    <w:p>
      <w:pPr>
        <w:spacing w:after="0" w:line="205" w:lineRule="exact"/>
        <w:rPr>
          <w:rFonts w:ascii="Times New Roman" w:cs="Times New Roman" w:eastAsia="Times New Roman" w:hAnsi="Times New Roman"/>
          <w:sz w:val="21"/>
          <w:szCs w:val="21"/>
          <w:color w:val="auto"/>
        </w:rPr>
      </w:pPr>
    </w:p>
    <w:p>
      <w:pPr>
        <w:jc w:val="both"/>
        <w:ind w:firstLine="8"/>
        <w:spacing w:after="0" w:line="235" w:lineRule="auto"/>
        <w:tabs>
          <w:tab w:leader="none" w:pos="84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Unitholder Nonrecourse Debt Minimum Char</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eback</w:t>
      </w:r>
      <w:r>
        <w:rPr>
          <w:rFonts w:ascii="Times New Roman" w:cs="Times New Roman" w:eastAsia="Times New Roman" w:hAnsi="Times New Roman"/>
          <w:sz w:val="22"/>
          <w:szCs w:val="22"/>
          <w:color w:val="auto"/>
        </w:rPr>
        <w:t xml:space="preserve">. Nonrecourse deductions (as determined according to Treasury Regulation Section 1.704-2(b)(1)) for any Taxable Year shall be allocated to each holder of Common Units ratably among such Unitholders based upon their ownership of Common Units. Except as otherwise provided in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if there is a net decrease in the Minimum Gain during any Taxable Year, each Unitholder shall be allocated Profits for such Taxable Year (and, if necessary, for subsequent Taxable Years) in the amounts and of such character as determined according to Treasury Regulation Section 1.704-2(f). This </w:t>
      </w:r>
      <w:r>
        <w:rPr>
          <w:rFonts w:ascii="Times New Roman" w:cs="Times New Roman" w:eastAsia="Times New Roman" w:hAnsi="Times New Roman"/>
          <w:sz w:val="22"/>
          <w:szCs w:val="22"/>
          <w:u w:val="single" w:color="auto"/>
          <w:color w:val="auto"/>
        </w:rPr>
        <w:t>Section 4.3(b)</w:t>
      </w:r>
      <w:r>
        <w:rPr>
          <w:rFonts w:ascii="Times New Roman" w:cs="Times New Roman" w:eastAsia="Times New Roman" w:hAnsi="Times New Roman"/>
          <w:sz w:val="22"/>
          <w:szCs w:val="22"/>
          <w:color w:val="auto"/>
        </w:rPr>
        <w:t xml:space="preserve"> is intended to be a Minimum Gain chargeback provision that complies with the requirements of Treasury Regulation Section 1.704-2(f), and shall be interpreted in a manner consistent therewith.</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Qualified Income Offset</w:t>
      </w:r>
      <w:r>
        <w:rPr>
          <w:rFonts w:ascii="Times New Roman" w:cs="Times New Roman" w:eastAsia="Times New Roman" w:hAnsi="Times New Roman"/>
          <w:sz w:val="22"/>
          <w:szCs w:val="22"/>
          <w:color w:val="auto"/>
        </w:rPr>
        <w:t xml:space="preserve">. If any Unitholder that unexpectedly receives an adjustment, allocation or distribution described in Treasury Regulation Section 1.704-1(b)(2)(ii)(d)(4), (5) and (6) has an Adjusted Capital Account Deficit as of the end of any Taxable Year, computed after the application of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4.3(b)</w:t>
      </w:r>
      <w:r>
        <w:rPr>
          <w:rFonts w:ascii="Times New Roman" w:cs="Times New Roman" w:eastAsia="Times New Roman" w:hAnsi="Times New Roman"/>
          <w:sz w:val="22"/>
          <w:szCs w:val="22"/>
          <w:color w:val="auto"/>
        </w:rPr>
        <w:t xml:space="preserve">, but before the application of any other provision of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then Profits for such Taxable Year shall be allocated to such Unitholder in proportion to, and to the extent of, such Adjusted Capital Account Deficit. This </w:t>
      </w:r>
      <w:r>
        <w:rPr>
          <w:rFonts w:ascii="Times New Roman" w:cs="Times New Roman" w:eastAsia="Times New Roman" w:hAnsi="Times New Roman"/>
          <w:sz w:val="22"/>
          <w:szCs w:val="22"/>
          <w:u w:val="single" w:color="auto"/>
          <w:color w:val="auto"/>
        </w:rPr>
        <w:t>Section 4.3(c)</w:t>
      </w:r>
      <w:r>
        <w:rPr>
          <w:rFonts w:ascii="Times New Roman" w:cs="Times New Roman" w:eastAsia="Times New Roman" w:hAnsi="Times New Roman"/>
          <w:sz w:val="22"/>
          <w:szCs w:val="22"/>
          <w:color w:val="auto"/>
        </w:rPr>
        <w:t xml:space="preserve"> is intended to be a qualified income offset provision as described in Treasury Regulation Section 1.704-1(b)(2)(ii)(d) and shall be interpreted in a manner consistent therewith.</w:t>
      </w:r>
    </w:p>
    <w:p>
      <w:pPr>
        <w:spacing w:after="0" w:line="208" w:lineRule="exact"/>
        <w:rPr>
          <w:sz w:val="20"/>
          <w:szCs w:val="20"/>
          <w:color w:val="auto"/>
        </w:rPr>
      </w:pPr>
    </w:p>
    <w:p>
      <w:pPr>
        <w:ind w:left="600" w:hanging="592"/>
        <w:spacing w:after="0"/>
        <w:tabs>
          <w:tab w:leader="none" w:pos="6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of Certain Profits  and  Losses</w:t>
      </w:r>
      <w:r>
        <w:rPr>
          <w:rFonts w:ascii="Times New Roman" w:cs="Times New Roman" w:eastAsia="Times New Roman" w:hAnsi="Times New Roman"/>
          <w:sz w:val="22"/>
          <w:szCs w:val="22"/>
          <w:color w:val="auto"/>
        </w:rPr>
        <w:t xml:space="preserve">. Profits  and  Losses  described in </w:t>
      </w:r>
      <w:r>
        <w:rPr>
          <w:rFonts w:ascii="Times New Roman" w:cs="Times New Roman" w:eastAsia="Times New Roman" w:hAnsi="Times New Roman"/>
          <w:sz w:val="22"/>
          <w:szCs w:val="22"/>
          <w:u w:val="single" w:color="auto"/>
          <w:color w:val="auto"/>
        </w:rPr>
        <w:t>Section 3.5(b)(v)</w:t>
      </w:r>
      <w:r>
        <w:rPr>
          <w:rFonts w:ascii="Times New Roman" w:cs="Times New Roman" w:eastAsia="Times New Roman" w:hAnsi="Times New Roman"/>
          <w:sz w:val="22"/>
          <w:szCs w:val="22"/>
          <w:color w:val="auto"/>
        </w:rPr>
        <w:t xml:space="preserve"> shall be allocated in a</w:t>
      </w:r>
    </w:p>
    <w:tbl>
      <w:tblPr>
        <w:tblLayout w:type="fixed"/>
        <w:tblInd w:w="0" w:type="dxa"/>
        <w:tblCellMar>
          <w:top w:w="0" w:type="dxa"/>
          <w:left w:w="0" w:type="dxa"/>
          <w:bottom w:w="0" w:type="dxa"/>
          <w:right w:w="0" w:type="dxa"/>
        </w:tblCellMar>
      </w:tblPr>
      <w:tr>
        <w:trPr>
          <w:trHeight w:val="233"/>
        </w:trPr>
        <w:tc>
          <w:tcPr>
            <w:tcW w:w="8560" w:type="dxa"/>
            <w:vAlign w:val="bottom"/>
            <w:gridSpan w:val="12"/>
          </w:tcPr>
          <w:p>
            <w:pPr>
              <w:spacing w:after="0" w:line="233" w:lineRule="exact"/>
              <w:rPr>
                <w:sz w:val="20"/>
                <w:szCs w:val="20"/>
                <w:color w:val="auto"/>
              </w:rPr>
            </w:pPr>
            <w:r>
              <w:rPr>
                <w:rFonts w:ascii="Times New Roman" w:cs="Times New Roman" w:eastAsia="Times New Roman" w:hAnsi="Times New Roman"/>
                <w:sz w:val="22"/>
                <w:szCs w:val="22"/>
                <w:color w:val="auto"/>
              </w:rPr>
              <w:t>manner consistent with the manner that the adjustments to the Capital Accounts are  required</w:t>
            </w:r>
          </w:p>
        </w:tc>
        <w:tc>
          <w:tcPr>
            <w:tcW w:w="2680" w:type="dxa"/>
            <w:vAlign w:val="bottom"/>
            <w:gridSpan w:val="2"/>
          </w:tcPr>
          <w:p>
            <w:pPr>
              <w:jc w:val="right"/>
              <w:ind w:right="20"/>
              <w:spacing w:after="0" w:line="233" w:lineRule="exact"/>
              <w:rPr>
                <w:sz w:val="20"/>
                <w:szCs w:val="20"/>
                <w:color w:val="auto"/>
              </w:rPr>
            </w:pPr>
            <w:r>
              <w:rPr>
                <w:rFonts w:ascii="Times New Roman" w:cs="Times New Roman" w:eastAsia="Times New Roman" w:hAnsi="Times New Roman"/>
                <w:sz w:val="22"/>
                <w:szCs w:val="22"/>
                <w:color w:val="auto"/>
              </w:rPr>
              <w:t>to  be  made  pursuant  to</w:t>
            </w:r>
          </w:p>
        </w:tc>
      </w:tr>
      <w:tr>
        <w:trPr>
          <w:trHeight w:val="282"/>
        </w:trPr>
        <w:tc>
          <w:tcPr>
            <w:tcW w:w="856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Treasury Regulation Section 1.704-1(b)(2)(iv)(j), (k) and (m).</w:t>
            </w: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(e)</w:t>
            </w:r>
          </w:p>
        </w:tc>
        <w:tc>
          <w:tcPr>
            <w:tcW w:w="792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Regulatory Allocations. The allocations set forth in Sections 4.3(a)-(d) (the “Regulatory</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Allocations”)  are intended to</w:t>
            </w:r>
          </w:p>
        </w:tc>
      </w:tr>
      <w:tr>
        <w:trPr>
          <w:trHeight w:val="20"/>
        </w:trPr>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comply with certain requirements of Sections 1.704-1(b)and 1.704-2 of the Treasury Regulations. The Regulatory Allocations may not be consistent with the manner in which the Unitholders intend to allocate Profit and Loss of the Company or make the Company distributions. Accordingly, notwithstanding the other provisions of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but subject to the Regulatory Allocations, income, gain, deduction, and loss shall be reallocated among the Unitholders so as to eliminate the effect of the Regulatory Allocations and thereby cause the respective Capital Accounts of the Unitholders to be in the amounts (or as close thereto as possible) they would have been if Profit and Loss (and such other items of income, gain, deduction and loss) had been allocated without reference to the Regulatory Allocations. In general, the Unitholders anticipate that this will be accomplished by specially allocating other Profit and Loss (and such other items of income, gain, deduction and loss) among the Unitholders so that the net amount of the Regulatory Allocations and such special allocations to each such Unitholder is zero. In addition, if in any Fiscal Year or Fiscal Period there is a decrease in partnership Minimum Gain, or in partner nonrecourse debt Minimum Gain, and application of the Minimum Gain chargeback requirements set forth in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4.3(b)</w:t>
      </w:r>
      <w:r>
        <w:rPr>
          <w:rFonts w:ascii="Times New Roman" w:cs="Times New Roman" w:eastAsia="Times New Roman" w:hAnsi="Times New Roman"/>
          <w:sz w:val="22"/>
          <w:szCs w:val="22"/>
          <w:color w:val="auto"/>
        </w:rPr>
        <w:t>would cause a distortion in the economic arrangement among the Unitholders, the Board may, if it does not expect that the Company will have sufficient other income to correct such distortion, request the Internal Revenue Service to waive either or both of such Minimum Gain chargeback requirements.If such request is granted, this Agreement shall be applied in such instance as if it did not contain such Minimum Gain chargeback requirement.</w:t>
      </w:r>
    </w:p>
    <w:p>
      <w:pPr>
        <w:spacing w:after="0" w:line="204" w:lineRule="exact"/>
        <w:rPr>
          <w:sz w:val="20"/>
          <w:szCs w:val="20"/>
          <w:color w:val="auto"/>
        </w:rPr>
      </w:pPr>
    </w:p>
    <w:p>
      <w:pPr>
        <w:jc w:val="both"/>
        <w:ind w:firstLine="8"/>
        <w:spacing w:after="0" w:line="244" w:lineRule="auto"/>
        <w:tabs>
          <w:tab w:leader="none" w:pos="79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item of deduction with respect to a Tax that is offset for a Unitholder under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shall be allocated to the Unitholder for which such payment is to be offset. For the avoidance of doubt, all tax deductions described in this </w:t>
      </w:r>
      <w:r>
        <w:rPr>
          <w:rFonts w:ascii="Times New Roman" w:cs="Times New Roman" w:eastAsia="Times New Roman" w:hAnsi="Times New Roman"/>
          <w:sz w:val="22"/>
          <w:szCs w:val="22"/>
          <w:u w:val="single" w:color="auto"/>
          <w:color w:val="auto"/>
        </w:rPr>
        <w:t>Section 4.3(e)</w:t>
      </w:r>
      <w:r>
        <w:rPr>
          <w:rFonts w:ascii="Times New Roman" w:cs="Times New Roman" w:eastAsia="Times New Roman" w:hAnsi="Times New Roman"/>
          <w:sz w:val="22"/>
          <w:szCs w:val="22"/>
          <w:color w:val="auto"/>
        </w:rPr>
        <w:t xml:space="preserve"> shall be taken into account in determining the amount of Tax Distribution made under the provisions of </w:t>
      </w:r>
      <w:r>
        <w:rPr>
          <w:rFonts w:ascii="Times New Roman" w:cs="Times New Roman" w:eastAsia="Times New Roman" w:hAnsi="Times New Roman"/>
          <w:sz w:val="22"/>
          <w:szCs w:val="22"/>
          <w:u w:val="single" w:color="auto"/>
          <w:color w:val="auto"/>
        </w:rPr>
        <w:t>Section 4.1(a)(i)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1" w:name="page132"/>
    <w:bookmarkEnd w:id="131"/>
    <w:p>
      <w:pPr>
        <w:ind w:right="20" w:firstLine="8"/>
        <w:spacing w:after="0" w:line="282" w:lineRule="auto"/>
        <w:tabs>
          <w:tab w:leader="none" w:pos="70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Allocations and other adjustments with respect to any “non-compensatory options” (as defined in Treasury Regulation Section 1.721-2(f)), shall be made in accordance with the Treasury Regulations including Treasury Regulations Section 1.721-2.</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b w:val="1"/>
          <w:bCs w:val="1"/>
          <w:u w:val="single" w:color="auto"/>
          <w:color w:val="auto"/>
        </w:rPr>
        <w:t>Offsetting Allocations</w:t>
      </w:r>
      <w:r>
        <w:rPr>
          <w:rFonts w:ascii="Times New Roman" w:cs="Times New Roman" w:eastAsia="Times New Roman" w:hAnsi="Times New Roman"/>
          <w:sz w:val="22"/>
          <w:szCs w:val="22"/>
          <w:color w:val="auto"/>
        </w:rPr>
        <w:t>. If, and to the extent that, any Member is deemed to recognize any item of income, gain, deduction or loss as a result of any transaction between such Member and the Company pursuant to Sections 83,482, or 7872 of the Code or any similar provision now or hereafter in effect, the Board shall use its commercially reasonable efforts to allocate any corresponding Profit or Loss to the Member who recognizes such item in order to reflect the Members’ economic interest in the Company.</w:t>
      </w:r>
    </w:p>
    <w:p>
      <w:pPr>
        <w:spacing w:after="0" w:line="20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4.5</w:t>
      </w:r>
      <w:r>
        <w:rPr>
          <w:sz w:val="20"/>
          <w:szCs w:val="20"/>
          <w:color w:val="auto"/>
        </w:rPr>
        <w:tab/>
      </w:r>
      <w:r>
        <w:rPr>
          <w:rFonts w:ascii="Times New Roman" w:cs="Times New Roman" w:eastAsia="Times New Roman" w:hAnsi="Times New Roman"/>
          <w:sz w:val="21"/>
          <w:szCs w:val="21"/>
          <w:b w:val="1"/>
          <w:bCs w:val="1"/>
          <w:u w:val="single" w:color="auto"/>
          <w:color w:val="auto"/>
        </w:rPr>
        <w:t>Tax Allocations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Allocations Generall</w:t>
      </w:r>
      <w:r>
        <w:rPr>
          <w:rFonts w:ascii="Times New Roman" w:cs="Times New Roman" w:eastAsia="Times New Roman" w:hAnsi="Times New Roman"/>
          <w:sz w:val="22"/>
          <w:szCs w:val="22"/>
          <w:color w:val="auto"/>
        </w:rPr>
        <w:t xml:space="preserve">y. Except as provided in </w:t>
      </w:r>
      <w:r>
        <w:rPr>
          <w:rFonts w:ascii="Times New Roman" w:cs="Times New Roman" w:eastAsia="Times New Roman" w:hAnsi="Times New Roman"/>
          <w:sz w:val="22"/>
          <w:szCs w:val="22"/>
          <w:u w:val="single" w:color="auto"/>
          <w:color w:val="auto"/>
        </w:rPr>
        <w:t>Section 4.5(b)</w:t>
      </w:r>
      <w:r>
        <w:rPr>
          <w:rFonts w:ascii="Times New Roman" w:cs="Times New Roman" w:eastAsia="Times New Roman" w:hAnsi="Times New Roman"/>
          <w:sz w:val="22"/>
          <w:szCs w:val="22"/>
          <w:color w:val="auto"/>
        </w:rPr>
        <w:t xml:space="preserve"> below, for U.S. federal, state and local income Tax purposes, each item of income, gain, loss or deduction shall be allocated among the Unitholders in the same manner and in the same proportion that the corresponding book items have been allocated among the Unitholders’ respective Capital Accounts;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any such allocation is not permitted by the Code or other applicable law, then each subsequent item of 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gains, losses, deductions and credits will be allocated among the Unitholders so as to reflect as nearly as possible the allocation set forth herein in computing their Capital Accounts.</w:t>
      </w:r>
    </w:p>
    <w:p>
      <w:pPr>
        <w:spacing w:after="0" w:line="208" w:lineRule="exact"/>
        <w:rPr>
          <w:sz w:val="20"/>
          <w:szCs w:val="20"/>
          <w:color w:val="auto"/>
        </w:rPr>
      </w:pPr>
    </w:p>
    <w:p>
      <w:pPr>
        <w:ind w:right="160" w:firstLine="8"/>
        <w:spacing w:after="0" w:line="234" w:lineRule="auto"/>
        <w:tabs>
          <w:tab w:leader="none" w:pos="63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704(c) Allocations</w:t>
      </w:r>
      <w:r>
        <w:rPr>
          <w:rFonts w:ascii="Times New Roman" w:cs="Times New Roman" w:eastAsia="Times New Roman" w:hAnsi="Times New Roman"/>
          <w:sz w:val="22"/>
          <w:szCs w:val="22"/>
          <w:color w:val="auto"/>
        </w:rPr>
        <w:t xml:space="preserve">.Items of the Company taxable income, gain, loss and deduction with respect to any property contributed to the capital of the Company shall, solely for Tax purposes, be allocated among the Unitholders in accordance with Code Section 704(c) so as to take account of any variation between the adjusted basis of such asset for federal income Tax purposes and its initial Book Value. Such allocations shall be made using a reasonable method specified in Treasury Regulations Section 1.704-3. In addition, if the Book Value of any Company asset is adjusted pursuant to the requirements of Treasury Regulation Section 1.704-1(b)(2)(iv)(e) or (f), then subsequent allocations of items of taxable income, gain, loss and deduction with respect to such asset shall take account of any variation between the adjusted basis of such asset for federal income Tax purposes and its Book Value in the same manner as under Code Section 704(c). Notwithstanding the foregoing, the Board shall determine all allocations pursuant to this </w:t>
      </w:r>
      <w:r>
        <w:rPr>
          <w:rFonts w:ascii="Times New Roman" w:cs="Times New Roman" w:eastAsia="Times New Roman" w:hAnsi="Times New Roman"/>
          <w:sz w:val="22"/>
          <w:szCs w:val="22"/>
          <w:u w:val="single" w:color="auto"/>
          <w:color w:val="auto"/>
        </w:rPr>
        <w:t>Section 4.5(b)</w:t>
      </w:r>
      <w:r>
        <w:rPr>
          <w:rFonts w:ascii="Times New Roman" w:cs="Times New Roman" w:eastAsia="Times New Roman" w:hAnsi="Times New Roman"/>
          <w:sz w:val="22"/>
          <w:szCs w:val="22"/>
          <w:color w:val="auto"/>
        </w:rPr>
        <w:t xml:space="preserve"> using any method selected by the Board that is permitted under Section 704(c) of the Code and the Treasury Regulations thereunder.</w:t>
      </w:r>
    </w:p>
    <w:p>
      <w:pPr>
        <w:spacing w:after="0" w:line="206" w:lineRule="exact"/>
        <w:rPr>
          <w:rFonts w:ascii="Times New Roman" w:cs="Times New Roman" w:eastAsia="Times New Roman" w:hAnsi="Times New Roman"/>
          <w:sz w:val="22"/>
          <w:szCs w:val="22"/>
          <w:color w:val="auto"/>
        </w:rPr>
      </w:pPr>
    </w:p>
    <w:p>
      <w:pPr>
        <w:jc w:val="both"/>
        <w:ind w:firstLine="8"/>
        <w:spacing w:after="0" w:line="251" w:lineRule="auto"/>
        <w:tabs>
          <w:tab w:leader="none" w:pos="72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754 Election</w:t>
      </w:r>
      <w:r>
        <w:rPr>
          <w:rFonts w:ascii="Times New Roman" w:cs="Times New Roman" w:eastAsia="Times New Roman" w:hAnsi="Times New Roman"/>
          <w:sz w:val="21"/>
          <w:szCs w:val="21"/>
          <w:color w:val="auto"/>
        </w:rPr>
        <w:t>. The Company will make an election under Section 754 of the Code (or any comparable election under relevant state or local Law) for its Taxable Year that includes or begins on the date of this Agreement to adjust the basis of the Company property as permitted and provided in Sections 734 and 743 of the Code. Such election shall be effective solely for federal (and, if applicable, state and local) income Tax purposes and shall not result in any adjustment to the Book Value of any Company asset or to the Member’s Capital Accounts (except as provided in Treasury Regulations Section 1.704-1(b)(2)(iv)(m)).</w:t>
      </w:r>
    </w:p>
    <w:p>
      <w:pPr>
        <w:spacing w:after="0" w:line="195" w:lineRule="exact"/>
        <w:rPr>
          <w:rFonts w:ascii="Times New Roman" w:cs="Times New Roman" w:eastAsia="Times New Roman" w:hAnsi="Times New Roman"/>
          <w:sz w:val="21"/>
          <w:szCs w:val="21"/>
          <w:color w:val="auto"/>
        </w:rPr>
      </w:pPr>
    </w:p>
    <w:p>
      <w:pPr>
        <w:jc w:val="both"/>
        <w:ind w:firstLine="8"/>
        <w:spacing w:after="0" w:line="244" w:lineRule="auto"/>
        <w:tabs>
          <w:tab w:leader="none" w:pos="79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of Tax Credits, Tax Credit Recapture, Etc</w:t>
      </w:r>
      <w:r>
        <w:rPr>
          <w:rFonts w:ascii="Times New Roman" w:cs="Times New Roman" w:eastAsia="Times New Roman" w:hAnsi="Times New Roman"/>
          <w:sz w:val="22"/>
          <w:szCs w:val="22"/>
          <w:color w:val="auto"/>
        </w:rPr>
        <w:t>. Allocations of Tax credits, Tax credit recapture, and any items related thereto shall be allocated to the Unitholders according to their interests in such items as determined by the Board taking into account the principles of Treasury Regulation Section 1.704-1(b)(4)(ii)and(viii).</w:t>
      </w:r>
    </w:p>
    <w:p>
      <w:pPr>
        <w:spacing w:after="0" w:line="200" w:lineRule="exact"/>
        <w:rPr>
          <w:rFonts w:ascii="Times New Roman" w:cs="Times New Roman" w:eastAsia="Times New Roman" w:hAnsi="Times New Roman"/>
          <w:sz w:val="22"/>
          <w:szCs w:val="22"/>
          <w:color w:val="auto"/>
        </w:rPr>
      </w:pPr>
    </w:p>
    <w:p>
      <w:pPr>
        <w:ind w:firstLine="8"/>
        <w:spacing w:after="0" w:line="258" w:lineRule="auto"/>
        <w:tabs>
          <w:tab w:leader="none" w:pos="7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Corrective Allocations</w:t>
      </w:r>
      <w:r>
        <w:rPr>
          <w:rFonts w:ascii="Times New Roman" w:cs="Times New Roman" w:eastAsia="Times New Roman" w:hAnsi="Times New Roman"/>
          <w:sz w:val="22"/>
          <w:szCs w:val="22"/>
          <w:color w:val="auto"/>
        </w:rPr>
        <w:t>. If necessary, the Company will make corrective allocations as set forth in Treasury Regulation Section 1.704-1(b)(4)(x).</w:t>
      </w:r>
    </w:p>
    <w:p>
      <w:pPr>
        <w:spacing w:after="0" w:line="185" w:lineRule="exact"/>
        <w:rPr>
          <w:rFonts w:ascii="Times New Roman" w:cs="Times New Roman" w:eastAsia="Times New Roman" w:hAnsi="Times New Roman"/>
          <w:sz w:val="22"/>
          <w:szCs w:val="22"/>
          <w:color w:val="auto"/>
        </w:rPr>
      </w:pPr>
    </w:p>
    <w:p>
      <w:pPr>
        <w:jc w:val="both"/>
        <w:ind w:firstLine="8"/>
        <w:spacing w:after="0" w:line="244" w:lineRule="auto"/>
        <w:tabs>
          <w:tab w:leader="none" w:pos="7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Allocations</w:t>
      </w:r>
      <w:r>
        <w:rPr>
          <w:rFonts w:ascii="Times New Roman" w:cs="Times New Roman" w:eastAsia="Times New Roman" w:hAnsi="Times New Roman"/>
          <w:sz w:val="22"/>
          <w:szCs w:val="22"/>
          <w:color w:val="auto"/>
        </w:rPr>
        <w:t xml:space="preserve">. Allocations pursuant to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are solely for purposes of U.S. federal, state and local Taxes and shall not affect, or in any way be taken into account in computing, any Unitholder’s Capital Account or share of Profits, Losses, Distributions (other than Tax Distributions) or other items pursuant to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2" w:name="page133"/>
    <w:bookmarkEnd w:id="132"/>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b w:val="1"/>
          <w:bCs w:val="1"/>
          <w:u w:val="single" w:color="auto"/>
          <w:color w:val="auto"/>
        </w:rPr>
        <w:t>Indemnification and Reimbursement for Payments on Behalf of a Unitholder</w:t>
      </w:r>
      <w:r>
        <w:rPr>
          <w:rFonts w:ascii="Times New Roman" w:cs="Times New Roman" w:eastAsia="Times New Roman" w:hAnsi="Times New Roman"/>
          <w:sz w:val="22"/>
          <w:szCs w:val="22"/>
          <w:color w:val="auto"/>
        </w:rPr>
        <w:t xml:space="preserve">. Except as otherwise provided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if the Company is required by law to make any payment to a Governmental Entity that is specifically attributable to a Unitholder or a Unitholder’s status as such (including U.S. federal withholding Taxes, state personal property Taxes, and state unincorporated business Taxes), then such Unitholder shall indemnify and contribute to the Company in full for the entire amount paid (including interest, penalties and related expenses). The Board may offset Distributions or other amounts to which a Person is otherwise entitled under this Agreement against such Person’s obligation to indemnify the Company under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or with respect to any other amounts owed by the Unitholder to the Company or any of its Subsidiaries. A Unitholder’s obligation to indemnify and make contributions to the Company under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shall survive the termination, dissolution, liquidation and winding up of the Company, and for purposes of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the Company shall be treated as continuing in existence, and will survive any partial or complete Transfer or redemption of Unitholder’s interest in the Company. The Company may pursue and enforce all rights and remedies it may have against each Unitholder under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including instituting a lawsuit to collect such indemnification and contribution, with interest calculated at a rate equal to the Base Rate plus three percentage points per annum (but not in excess of the highest rate per annum permitted by law), compounded on the last day of each Fiscal Quarter.</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b w:val="1"/>
          <w:bCs w:val="1"/>
          <w:u w:val="single" w:color="auto"/>
          <w:color w:val="auto"/>
        </w:rPr>
        <w:t>Prior Agreements Allocations</w:t>
      </w:r>
      <w:r>
        <w:rPr>
          <w:rFonts w:ascii="Times New Roman" w:cs="Times New Roman" w:eastAsia="Times New Roman" w:hAnsi="Times New Roman"/>
          <w:sz w:val="22"/>
          <w:szCs w:val="22"/>
          <w:color w:val="auto"/>
        </w:rPr>
        <w:t>. The parties acknowledge and agree that in connection with the consummation of the Transactions contemplated by the Transaction Agreement, there shall be a closing of the books of the Company in accordance with Code Section 706 and the Treasury Regulations thereunder utilizing the “interim closing method” under the monthly convention, and that in connection therewith (x) all items of profit, gain, deduction, loss and credit attributable to taxable periods (or portions thereof) ending prior to the date hereof shall be made to the members of the Company in such periods in accordance with the Prior LLC Agreement, and (y) all items of profit, gain, deduction, loss and credit attributable to taxable periods (or portions thereof) beginning on or after the date hereof shall be made in accordance with this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MANAGEMENT AND CONTROL OF BUSINESS</w:t>
      </w:r>
    </w:p>
    <w:p>
      <w:pPr>
        <w:spacing w:after="0" w:line="19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b w:val="1"/>
          <w:bCs w:val="1"/>
          <w:u w:val="single" w:color="auto"/>
          <w:color w:val="auto"/>
        </w:rPr>
        <w:t>Management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
        <w:spacing w:after="0" w:line="234" w:lineRule="auto"/>
        <w:tabs>
          <w:tab w:leader="none" w:pos="63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w:t>
      </w:r>
      <w:r>
        <w:rPr>
          <w:rFonts w:ascii="Times New Roman" w:cs="Times New Roman" w:eastAsia="Times New Roman" w:hAnsi="Times New Roman"/>
          <w:sz w:val="22"/>
          <w:szCs w:val="22"/>
          <w:color w:val="auto"/>
        </w:rPr>
        <w:t>. Except as otherwise specifically provided in this Agreement or by non-waivable provision of the Delaware Act, the business, property and affairs of the Company shall be managed, operated and controlled at the sole, absolute and exclusive direction of the board of managers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each manager of the Board, a “</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in accordance with the terms of this Agreement. Except as otherwise expressly provided by this Agreement, no Member shall have management authority or voting or other rights over, or any other ability to take part in the conduct or control of the business of, the Company. Each Manager shall be a “manager” (as defined in the Delaware Act) of the Company, but notwithstanding the foregoing, no Manager shall have any rights or powers beyond the rights and powers granted to such Manager in this Agreement. Notwithstanding any duty existing at law, in equity or otherwise, with respect to any matter that is to be voted on by the Managers, a Manager may grant a proxy to any other Manager or other Person.</w:t>
      </w:r>
    </w:p>
    <w:p>
      <w:pPr>
        <w:spacing w:after="0" w:line="210" w:lineRule="exact"/>
        <w:rPr>
          <w:rFonts w:ascii="Times New Roman" w:cs="Times New Roman" w:eastAsia="Times New Roman" w:hAnsi="Times New Roman"/>
          <w:sz w:val="22"/>
          <w:szCs w:val="22"/>
          <w:color w:val="auto"/>
        </w:rPr>
      </w:pPr>
    </w:p>
    <w:p>
      <w:pPr>
        <w:ind w:firstLine="8"/>
        <w:spacing w:after="0" w:line="258" w:lineRule="auto"/>
        <w:tabs>
          <w:tab w:leader="none" w:pos="7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Managers; Term of Office</w:t>
      </w:r>
      <w:r>
        <w:rPr>
          <w:rFonts w:ascii="Times New Roman" w:cs="Times New Roman" w:eastAsia="Times New Roman" w:hAnsi="Times New Roman"/>
          <w:sz w:val="22"/>
          <w:szCs w:val="22"/>
          <w:color w:val="auto"/>
        </w:rPr>
        <w:t>. The authorized number of Managers shall be two Managers. The following individuals shall initially be elected to the Board:</w:t>
      </w:r>
    </w:p>
    <w:p>
      <w:pPr>
        <w:spacing w:after="0" w:line="185" w:lineRule="exact"/>
        <w:rPr>
          <w:sz w:val="20"/>
          <w:szCs w:val="20"/>
          <w:color w:val="auto"/>
        </w:rPr>
      </w:pPr>
    </w:p>
    <w:p>
      <w:pPr>
        <w:ind w:right="600" w:firstLine="8"/>
        <w:spacing w:after="0" w:line="258" w:lineRule="auto"/>
        <w:tabs>
          <w:tab w:leader="none" w:pos="63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representative designated by Vivid Seats or any successor Manager designated by Vivid Seats (the “</w:t>
      </w:r>
      <w:r>
        <w:rPr>
          <w:rFonts w:ascii="Times New Roman" w:cs="Times New Roman" w:eastAsia="Times New Roman" w:hAnsi="Times New Roman"/>
          <w:sz w:val="22"/>
          <w:szCs w:val="22"/>
          <w:u w:val="single" w:color="auto"/>
          <w:color w:val="auto"/>
        </w:rPr>
        <w:t>Vivid Seats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who shall initially be Stanley Chia; and</w:t>
      </w:r>
    </w:p>
    <w:p>
      <w:pPr>
        <w:spacing w:after="0" w:line="185" w:lineRule="exact"/>
        <w:rPr>
          <w:rFonts w:ascii="Times New Roman" w:cs="Times New Roman" w:eastAsia="Times New Roman" w:hAnsi="Times New Roman"/>
          <w:sz w:val="22"/>
          <w:szCs w:val="22"/>
          <w:color w:val="auto"/>
        </w:rPr>
      </w:pPr>
    </w:p>
    <w:p>
      <w:pPr>
        <w:ind w:right="20" w:firstLine="8"/>
        <w:spacing w:after="0" w:line="258" w:lineRule="auto"/>
        <w:tabs>
          <w:tab w:leader="none" w:pos="64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representative designated by Topco or any successor Manager designated by Topco (the “</w:t>
      </w:r>
      <w:r>
        <w:rPr>
          <w:rFonts w:ascii="Times New Roman" w:cs="Times New Roman" w:eastAsia="Times New Roman" w:hAnsi="Times New Roman"/>
          <w:sz w:val="22"/>
          <w:szCs w:val="22"/>
          <w:u w:val="single" w:color="auto"/>
          <w:color w:val="auto"/>
        </w:rPr>
        <w:t>Topco Manager</w:t>
      </w:r>
      <w:r>
        <w:rPr>
          <w:rFonts w:ascii="Times New Roman" w:cs="Times New Roman" w:eastAsia="Times New Roman" w:hAnsi="Times New Roman"/>
          <w:sz w:val="22"/>
          <w:szCs w:val="22"/>
          <w:color w:val="auto"/>
        </w:rPr>
        <w:t>”), who shall initially be Mark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The Managers shall hold office until their respective successors are designated in accordance with the terms set forth below.</w:t>
      </w:r>
    </w:p>
    <w:p>
      <w:pPr>
        <w:spacing w:after="0" w:line="234" w:lineRule="exact"/>
        <w:rPr>
          <w:sz w:val="20"/>
          <w:szCs w:val="20"/>
          <w:color w:val="auto"/>
        </w:rPr>
      </w:pPr>
    </w:p>
    <w:p>
      <w:pPr>
        <w:ind w:right="220" w:firstLine="8"/>
        <w:spacing w:after="0" w:line="255" w:lineRule="auto"/>
        <w:tabs>
          <w:tab w:leader="none" w:pos="618"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color w:val="auto"/>
        </w:rPr>
        <w:t xml:space="preserve">. In the event that any designee under </w:t>
      </w:r>
      <w:r>
        <w:rPr>
          <w:rFonts w:ascii="Times New Roman" w:cs="Times New Roman" w:eastAsia="Times New Roman" w:hAnsi="Times New Roman"/>
          <w:sz w:val="21"/>
          <w:szCs w:val="21"/>
          <w:u w:val="single" w:color="auto"/>
          <w:color w:val="auto"/>
        </w:rPr>
        <w:t>Section 5.1(b)</w:t>
      </w:r>
      <w:r>
        <w:rPr>
          <w:rFonts w:ascii="Times New Roman" w:cs="Times New Roman" w:eastAsia="Times New Roman" w:hAnsi="Times New Roman"/>
          <w:sz w:val="21"/>
          <w:szCs w:val="21"/>
          <w:color w:val="auto"/>
        </w:rPr>
        <w:t xml:space="preserve"> for any reason ceases to serve as a member of the Board, the resulting vacancy on the Board shall be filled by the Person that is originally entitled to designate such Manager pursuant to </w:t>
      </w:r>
      <w:r>
        <w:rPr>
          <w:rFonts w:ascii="Times New Roman" w:cs="Times New Roman" w:eastAsia="Times New Roman" w:hAnsi="Times New Roman"/>
          <w:sz w:val="21"/>
          <w:szCs w:val="21"/>
          <w:u w:val="single" w:color="auto"/>
          <w:color w:val="auto"/>
        </w:rPr>
        <w:t>Section 5.1(b)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party fails to designate a person to fill a vacancy on the Board pursuant to the terms of this </w:t>
      </w:r>
      <w:r>
        <w:rPr>
          <w:rFonts w:ascii="Times New Roman" w:cs="Times New Roman" w:eastAsia="Times New Roman" w:hAnsi="Times New Roman"/>
          <w:sz w:val="21"/>
          <w:szCs w:val="21"/>
          <w:u w:val="single" w:color="auto"/>
          <w:color w:val="auto"/>
        </w:rPr>
        <w:t>Section 5.1(c)</w:t>
      </w:r>
      <w:r>
        <w:rPr>
          <w:rFonts w:ascii="Times New Roman" w:cs="Times New Roman" w:eastAsia="Times New Roman" w:hAnsi="Times New Roman"/>
          <w:sz w:val="21"/>
          <w:szCs w:val="21"/>
          <w:color w:val="auto"/>
        </w:rPr>
        <w:t xml:space="preserve">, such vacant managership shall remain vacant until such managership is filled pursuant to this </w:t>
      </w:r>
      <w:r>
        <w:rPr>
          <w:rFonts w:ascii="Times New Roman" w:cs="Times New Roman" w:eastAsia="Times New Roman" w:hAnsi="Times New Roman"/>
          <w:sz w:val="21"/>
          <w:szCs w:val="21"/>
          <w:u w:val="single" w:color="auto"/>
          <w:color w:val="auto"/>
        </w:rPr>
        <w:t>Section 5.1(c)</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auto"/>
        </w:rPr>
      </w:pPr>
    </w:p>
    <w:p>
      <w:pPr>
        <w:jc w:val="both"/>
        <w:ind w:firstLine="8"/>
        <w:spacing w:after="0" w:line="244" w:lineRule="auto"/>
        <w:tabs>
          <w:tab w:leader="none" w:pos="63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For each matter that is put to a vote of the Board, the Vivid Seats Manager shall be entitled to two (2) votes, and the Topo Manager shall be entitled to one (1) vote. Any decisions to be made by the Board shall require the approval of a majority of the votes entitled to vote on such matter.</w:t>
      </w:r>
    </w:p>
    <w:p>
      <w:pPr>
        <w:spacing w:after="0" w:line="186" w:lineRule="exact"/>
        <w:rPr>
          <w:rFonts w:ascii="Times New Roman" w:cs="Times New Roman" w:eastAsia="Times New Roman" w:hAnsi="Times New Roman"/>
          <w:sz w:val="22"/>
          <w:szCs w:val="22"/>
          <w:color w:val="auto"/>
        </w:rPr>
      </w:pPr>
    </w:p>
    <w:p>
      <w:pPr>
        <w:jc w:val="both"/>
        <w:ind w:firstLine="8"/>
        <w:spacing w:after="0" w:line="232" w:lineRule="auto"/>
        <w:tabs>
          <w:tab w:leader="none" w:pos="65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The Board is, to the extent of its rights and powers set forth in this Agreement, an agent of the Company for the purpose of the Company’s business, and the actions of the Board taken in accordance with such rights and powers shall bind the Company (and no Member shall have such right). The Board shall have all necessary powers to carry out the purposes, business and objectives of the Company. The Board may delegate in its discretion the authority to sign agreements and other documents and take other actions on behalf of the Company to any Person (including any Member, officer or employee of the Company) to enter into and perform any document on behalf of the Company. Without limiting the foregoing, the Board shall have the sole power and authority to effect any of the following by the Company or any of its Subsidiaries in one or a series of related transactions, in each case without the vote, consent or approval of any other Member or Unitholder or any other Person: (i) any sale, lease, transfer, exchange or other disposition of any, all or substantially all of the assets of the Company (including the exercise or grant of any conversion, option, privilege or subscription right or any other right available in connection with any assets at any time held by the Company); (ii) any merger, consolidation, division, reorganization or other combination of the Company with or into another entity, (iii) any acquisition; (iv) any issuance of debt or equity securities; or (v) any incurrence of indebtedness. Except for any vote, consent or approval of any Unitholder expressly required by this Agreement, if a vote, consent or approval of the Unitholders is required by the Delaware Act or other applicable law with respect to any action to be taken by the Company or matter considered by the Board, each Unitholder will be deemed to have consented to or approved such action or voted on such matter in accordance with the consent or approval of the Board on such action or matter.</w:t>
      </w:r>
    </w:p>
    <w:p>
      <w:pPr>
        <w:spacing w:after="0" w:line="218" w:lineRule="exact"/>
        <w:rPr>
          <w:rFonts w:ascii="Times New Roman" w:cs="Times New Roman" w:eastAsia="Times New Roman" w:hAnsi="Times New Roman"/>
          <w:sz w:val="22"/>
          <w:szCs w:val="22"/>
          <w:color w:val="auto"/>
        </w:rPr>
      </w:pPr>
    </w:p>
    <w:p>
      <w:pPr>
        <w:jc w:val="both"/>
        <w:ind w:firstLine="8"/>
        <w:spacing w:after="0" w:line="238" w:lineRule="auto"/>
        <w:tabs>
          <w:tab w:leader="none" w:pos="87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 of the Board</w:t>
      </w:r>
      <w:r>
        <w:rPr>
          <w:rFonts w:ascii="Times New Roman" w:cs="Times New Roman" w:eastAsia="Times New Roman" w:hAnsi="Times New Roman"/>
          <w:sz w:val="22"/>
          <w:szCs w:val="22"/>
          <w:color w:val="auto"/>
        </w:rPr>
        <w:t>. The Board shall meet at such time and at such place (either within or without the State of Delaware) as the Board may designate. Advance notice of any regular or special meeting shall be given to the Managers at least two (2) business days in advance of such meeting. The business to be transacted at, or the purpose of, any regular or special meeting of the Board shall be specified in reasonable detail in such notice. A record shall be maintained by the Company of each meeting of the Board.</w:t>
      </w:r>
    </w:p>
    <w:p>
      <w:pPr>
        <w:spacing w:after="0" w:line="203" w:lineRule="exact"/>
        <w:rPr>
          <w:rFonts w:ascii="Times New Roman" w:cs="Times New Roman" w:eastAsia="Times New Roman" w:hAnsi="Times New Roman"/>
          <w:sz w:val="22"/>
          <w:szCs w:val="22"/>
          <w:color w:val="auto"/>
        </w:rPr>
      </w:pPr>
    </w:p>
    <w:p>
      <w:pPr>
        <w:jc w:val="both"/>
        <w:ind w:firstLine="8"/>
        <w:spacing w:after="0" w:line="244" w:lineRule="auto"/>
        <w:tabs>
          <w:tab w:leader="none" w:pos="61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Meetings</w:t>
      </w:r>
      <w:r>
        <w:rPr>
          <w:rFonts w:ascii="Times New Roman" w:cs="Times New Roman" w:eastAsia="Times New Roman" w:hAnsi="Times New Roman"/>
          <w:sz w:val="22"/>
          <w:szCs w:val="22"/>
          <w:color w:val="auto"/>
        </w:rPr>
        <w:t>. Any meeting of the Board may be held, and any Manager may attend and vote and be present at a meeting, in person (including by proxy given to another Manager), telephonically or by means of other communications equipment allowing all persons participating in the meeting to hear each other.</w:t>
      </w:r>
    </w:p>
    <w:p>
      <w:pPr>
        <w:spacing w:after="0" w:line="200" w:lineRule="exact"/>
        <w:rPr>
          <w:rFonts w:ascii="Times New Roman" w:cs="Times New Roman" w:eastAsia="Times New Roman" w:hAnsi="Times New Roman"/>
          <w:sz w:val="22"/>
          <w:szCs w:val="22"/>
          <w:color w:val="auto"/>
        </w:rPr>
      </w:pPr>
    </w:p>
    <w:p>
      <w:pPr>
        <w:jc w:val="both"/>
        <w:ind w:firstLine="8"/>
        <w:spacing w:after="0" w:line="239" w:lineRule="auto"/>
        <w:tabs>
          <w:tab w:leader="none" w:pos="6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xml:space="preserve">. The presence (in person, telephonically, by means of communications equipment, by proxy or by operation of this </w:t>
      </w:r>
      <w:r>
        <w:rPr>
          <w:rFonts w:ascii="Times New Roman" w:cs="Times New Roman" w:eastAsia="Times New Roman" w:hAnsi="Times New Roman"/>
          <w:sz w:val="22"/>
          <w:szCs w:val="22"/>
          <w:u w:val="single" w:color="auto"/>
          <w:color w:val="auto"/>
        </w:rPr>
        <w:t>Section 5.1(h)</w:t>
      </w:r>
      <w:r>
        <w:rPr>
          <w:rFonts w:ascii="Times New Roman" w:cs="Times New Roman" w:eastAsia="Times New Roman" w:hAnsi="Times New Roman"/>
          <w:sz w:val="22"/>
          <w:szCs w:val="22"/>
          <w:color w:val="auto"/>
        </w:rPr>
        <w:t>) of the Managers holding a majority of votes entitled to vote shall constitute a quorum of the Board for purposes of conducting business. At all times when the Board is conducting business at a meeting of the Board, a quorum of the Board must be present at such meeting.</w:t>
      </w:r>
    </w:p>
    <w:p>
      <w:pPr>
        <w:spacing w:after="0" w:line="207" w:lineRule="exact"/>
        <w:rPr>
          <w:rFonts w:ascii="Times New Roman" w:cs="Times New Roman" w:eastAsia="Times New Roman" w:hAnsi="Times New Roman"/>
          <w:sz w:val="22"/>
          <w:szCs w:val="22"/>
          <w:color w:val="auto"/>
        </w:rPr>
      </w:pPr>
    </w:p>
    <w:p>
      <w:pPr>
        <w:jc w:val="both"/>
        <w:ind w:firstLine="8"/>
        <w:spacing w:after="0" w:line="239" w:lineRule="auto"/>
        <w:tabs>
          <w:tab w:leader="none" w:pos="78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Attendance and Waiver of Notice</w:t>
      </w:r>
      <w:r>
        <w:rPr>
          <w:rFonts w:ascii="Times New Roman" w:cs="Times New Roman" w:eastAsia="Times New Roman" w:hAnsi="Times New Roman"/>
          <w:sz w:val="22"/>
          <w:szCs w:val="22"/>
          <w:color w:val="auto"/>
        </w:rPr>
        <w:t>. Attendance by a Manager at any meeting (in person, telephonically, by means of communications equipment or by proxy) shall constitute a waiver of notice of such meeting, except where a Manager attends a meeting for the express purpose of objecting to the transaction of any business on the ground that the meeting is not lawfully called or 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4" w:name="page135"/>
    <w:bookmarkEnd w:id="134"/>
    <w:p>
      <w:pPr>
        <w:jc w:val="both"/>
        <w:ind w:firstLine="8"/>
        <w:spacing w:after="0" w:line="244" w:lineRule="auto"/>
        <w:tabs>
          <w:tab w:leader="none" w:pos="6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Actions Without a Meeting</w:t>
      </w:r>
      <w:r>
        <w:rPr>
          <w:rFonts w:ascii="Times New Roman" w:cs="Times New Roman" w:eastAsia="Times New Roman" w:hAnsi="Times New Roman"/>
          <w:sz w:val="22"/>
          <w:szCs w:val="22"/>
          <w:color w:val="auto"/>
        </w:rPr>
        <w:t>. Notwithstanding any provision contained in this Agreement, any action of the Board may be taken by written consent without a meeting. Any such action taken by the Board without a meeting shall be effective only if the written consent or consents are in writing, setting forth the action so taken, and signed by all Managers.</w:t>
      </w:r>
    </w:p>
    <w:p>
      <w:pPr>
        <w:spacing w:after="0" w:line="200" w:lineRule="exact"/>
        <w:rPr>
          <w:rFonts w:ascii="Times New Roman" w:cs="Times New Roman" w:eastAsia="Times New Roman" w:hAnsi="Times New Roman"/>
          <w:sz w:val="22"/>
          <w:szCs w:val="22"/>
          <w:color w:val="auto"/>
        </w:rPr>
      </w:pPr>
    </w:p>
    <w:p>
      <w:pPr>
        <w:jc w:val="both"/>
        <w:ind w:firstLine="8"/>
        <w:spacing w:after="0" w:line="239" w:lineRule="auto"/>
        <w:tabs>
          <w:tab w:leader="none" w:pos="64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of Managers; Reimbursement</w:t>
      </w:r>
      <w:r>
        <w:rPr>
          <w:rFonts w:ascii="Times New Roman" w:cs="Times New Roman" w:eastAsia="Times New Roman" w:hAnsi="Times New Roman"/>
          <w:sz w:val="22"/>
          <w:szCs w:val="22"/>
          <w:color w:val="auto"/>
        </w:rPr>
        <w:t>. Except as approved by the Board, and then only in reasonable amounts as determined by the Board, the Managers shall receive no compensation for serving in such capacity. The Managers constituting the Board shall be entitled to be reimbursed, out of available cash, for reasonable out-of-pocket costs and expenses incurred in the course of their service hereunder.</w:t>
      </w:r>
    </w:p>
    <w:p>
      <w:pPr>
        <w:spacing w:after="0" w:line="193" w:lineRule="exact"/>
        <w:rPr>
          <w:rFonts w:ascii="Times New Roman" w:cs="Times New Roman" w:eastAsia="Times New Roman" w:hAnsi="Times New Roman"/>
          <w:sz w:val="22"/>
          <w:szCs w:val="22"/>
          <w:color w:val="auto"/>
        </w:rPr>
      </w:pPr>
    </w:p>
    <w:p>
      <w:pPr>
        <w:jc w:val="both"/>
        <w:ind w:firstLine="8"/>
        <w:spacing w:after="0" w:line="234" w:lineRule="auto"/>
        <w:tabs>
          <w:tab w:leader="none" w:pos="58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Third Parties</w:t>
      </w:r>
      <w:r>
        <w:rPr>
          <w:rFonts w:ascii="Times New Roman" w:cs="Times New Roman" w:eastAsia="Times New Roman" w:hAnsi="Times New Roman"/>
          <w:sz w:val="22"/>
          <w:szCs w:val="22"/>
          <w:color w:val="auto"/>
        </w:rPr>
        <w:t>. Any Person dealing with the Company, other than a Unitholder, may rely on the authority of the Board (or any Officer authorized by the Board) in taking any action in the name of the Company without inquiry into the provisions of this Agreement or compliance herewith, regardless of whether that action actually is taken in accordance with the provisions of this Agreement. Every agreement, instrument or document executed by the Board (or any Officer authorized by the Board) in the name of the Company with respect to any business or property of the Company shall be conclusive evidence in favor of any Person relying thereon or claiming thereunder that (i) at the time of the execution or delivery thereof, this Agreement was in full force and effect, (ii) such agreement, instrument or document was duly executed according to this Agreement and is binding upon the Company and (iii) the Board or such Officer was duly authorized and empowered to execute and deliver such agreement, instrument or document for and on behalf of the Company.</w:t>
      </w:r>
    </w:p>
    <w:p>
      <w:pPr>
        <w:spacing w:after="0" w:line="20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b w:val="1"/>
          <w:bCs w:val="1"/>
          <w:u w:val="single" w:color="auto"/>
          <w:color w:val="auto"/>
        </w:rPr>
        <w:t>Investment Company Act</w:t>
      </w:r>
      <w:r>
        <w:rPr>
          <w:rFonts w:ascii="Times New Roman" w:cs="Times New Roman" w:eastAsia="Times New Roman" w:hAnsi="Times New Roman"/>
          <w:sz w:val="22"/>
          <w:szCs w:val="22"/>
          <w:color w:val="auto"/>
        </w:rPr>
        <w:t>. The Board shall use reasonable best efforts to ensure that the Company shall not be subject to registration as an investment company pursuant to the Investment Company Act.</w:t>
      </w:r>
    </w:p>
    <w:p>
      <w:pPr>
        <w:spacing w:after="0" w:line="17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b w:val="1"/>
          <w:bCs w:val="1"/>
          <w:u w:val="single" w:color="auto"/>
          <w:color w:val="auto"/>
        </w:rPr>
        <w:t>Officers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40" w:firstLine="8"/>
        <w:spacing w:after="0" w:line="235" w:lineRule="auto"/>
        <w:tabs>
          <w:tab w:leader="none" w:pos="6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w:t>
      </w:r>
      <w:r>
        <w:rPr>
          <w:rFonts w:ascii="Times New Roman" w:cs="Times New Roman" w:eastAsia="Times New Roman" w:hAnsi="Times New Roman"/>
          <w:sz w:val="22"/>
          <w:szCs w:val="22"/>
          <w:color w:val="auto"/>
        </w:rPr>
        <w:t>. Unless determined otherwise by the Board, the officers of the Company shall be a Chief Executive Officer, a President, a Chief Financial Officer, a Treasurer and a Secretary and each other officer of Vivid Seats shall also be an officer of the Company, with the same title. All officers shall be appointed by the Board (or by the Chief Executive Officer to the extent the Board delegates such authority to the Chief Executive Officer) and shall hold office until their successors are appointed by the Board (or by the Chief Executive Officer to the extent the Board delegates such authority to the Chief Executive Officer). Two or more offices may be held by the same individual. The officers of the Company may be removed by the Board (or by the Chief Executive Officer to the extent the Board delegates such authority to the Chief Executive Officer) at any time for any reason or no reason.</w:t>
      </w:r>
    </w:p>
    <w:p>
      <w:pPr>
        <w:spacing w:after="0" w:line="205" w:lineRule="exact"/>
        <w:rPr>
          <w:rFonts w:ascii="Times New Roman" w:cs="Times New Roman" w:eastAsia="Times New Roman" w:hAnsi="Times New Roman"/>
          <w:sz w:val="22"/>
          <w:szCs w:val="22"/>
          <w:color w:val="auto"/>
        </w:rPr>
      </w:pPr>
    </w:p>
    <w:p>
      <w:pPr>
        <w:jc w:val="both"/>
        <w:ind w:firstLine="8"/>
        <w:spacing w:after="0" w:line="244" w:lineRule="auto"/>
        <w:tabs>
          <w:tab w:leader="none" w:pos="61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Officers and Agents</w:t>
      </w:r>
      <w:r>
        <w:rPr>
          <w:rFonts w:ascii="Times New Roman" w:cs="Times New Roman" w:eastAsia="Times New Roman" w:hAnsi="Times New Roman"/>
          <w:sz w:val="22"/>
          <w:szCs w:val="22"/>
          <w:color w:val="auto"/>
        </w:rPr>
        <w:t>. The Board may appoint such other officers and agents as it may deem necessary or advisable, who shall hold their offices for such terms and shall exercise such powers and perform such duties as shall be determined from time to time by the Board.</w:t>
      </w:r>
    </w:p>
    <w:p>
      <w:pPr>
        <w:spacing w:after="0" w:line="186" w:lineRule="exact"/>
        <w:rPr>
          <w:rFonts w:ascii="Times New Roman" w:cs="Times New Roman" w:eastAsia="Times New Roman" w:hAnsi="Times New Roman"/>
          <w:sz w:val="22"/>
          <w:szCs w:val="22"/>
          <w:color w:val="auto"/>
        </w:rPr>
      </w:pPr>
    </w:p>
    <w:p>
      <w:pPr>
        <w:jc w:val="both"/>
        <w:ind w:firstLine="8"/>
        <w:spacing w:after="0" w:line="244" w:lineRule="auto"/>
        <w:tabs>
          <w:tab w:leader="none" w:pos="67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Chief Executive Officer shall be the chief executive officer of the Company and shall have the general powers and duties of supervision and management usually vested in the office of a chief executive officer of a company. He or she shall preside at all meetings of Members if present thereat.</w:t>
      </w:r>
    </w:p>
    <w:p>
      <w:pPr>
        <w:spacing w:after="0" w:line="200" w:lineRule="exact"/>
        <w:rPr>
          <w:rFonts w:ascii="Times New Roman" w:cs="Times New Roman" w:eastAsia="Times New Roman" w:hAnsi="Times New Roman"/>
          <w:sz w:val="22"/>
          <w:szCs w:val="22"/>
          <w:color w:val="auto"/>
        </w:rPr>
      </w:pPr>
    </w:p>
    <w:p>
      <w:pPr>
        <w:jc w:val="both"/>
        <w:ind w:right="20" w:firstLine="8"/>
        <w:spacing w:after="0" w:line="244" w:lineRule="auto"/>
        <w:tabs>
          <w:tab w:leader="none" w:pos="63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The President shall be the chief executive officer of the Company in the absence of the Chief Executive Officer. In general, the President shall perform all duties incident to the office of President and such other duties as may be prescribed from time to time by the Board.</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6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Chief Financial Officer</w:t>
      </w:r>
      <w:r>
        <w:rPr>
          <w:rFonts w:ascii="Times New Roman" w:cs="Times New Roman" w:eastAsia="Times New Roman" w:hAnsi="Times New Roman"/>
          <w:sz w:val="22"/>
          <w:szCs w:val="22"/>
          <w:color w:val="auto"/>
        </w:rPr>
        <w:t>. The Chief Financial Officer shall be the chief financial officer of the Company and shall keep and maintain or cause to be kept and maintained adequate and correct books and records of accounts of the properties and business transactions of the Company. The books of account shall at all times be open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5" w:name="page136"/>
    <w:bookmarkEnd w:id="135"/>
    <w:p>
      <w:pPr>
        <w:spacing w:after="0" w:line="258" w:lineRule="auto"/>
        <w:rPr>
          <w:sz w:val="20"/>
          <w:szCs w:val="20"/>
          <w:color w:val="auto"/>
        </w:rPr>
      </w:pPr>
      <w:r>
        <w:rPr>
          <w:rFonts w:ascii="Times New Roman" w:cs="Times New Roman" w:eastAsia="Times New Roman" w:hAnsi="Times New Roman"/>
          <w:sz w:val="22"/>
          <w:szCs w:val="22"/>
          <w:color w:val="auto"/>
        </w:rPr>
        <w:t>inspection by the Board. The Chief Financial Officer shall deposit all monies and other valuables in the name of, and to the credit of, the Company with such depositaries as may be designated by the Board.</w:t>
      </w:r>
    </w:p>
    <w:p>
      <w:pPr>
        <w:spacing w:after="0" w:line="186" w:lineRule="exact"/>
        <w:rPr>
          <w:sz w:val="20"/>
          <w:szCs w:val="20"/>
          <w:color w:val="auto"/>
        </w:rPr>
      </w:pPr>
    </w:p>
    <w:p>
      <w:pPr>
        <w:jc w:val="both"/>
        <w:ind w:firstLine="8"/>
        <w:spacing w:after="0" w:line="235" w:lineRule="auto"/>
        <w:tabs>
          <w:tab w:leader="none" w:pos="66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have the custody of Company funds and securities and shall keep full and accurate account of receipts and disbursements. He or she shall deposit all moneys and other valuables in the name and to the credit of the Company in such depositaries as may be designated by the Board or the Chief Executive Officer. The Treasurer shall disburse the funds of the Company as may be ordered by the Board or the Chief Executive Officer, taking proper vouchers for such disbursements. He or she shall render to the Board and the Chief Executive Officer whenever either of them may request it, an account of all his or her transactions as Treasurer and of the financial condition of the Company. If required by the Board, the Treasurer shall give the Company a bond for the faithful discharge of his or her duties in such amount and with such surety as the Board shall prescribe.</w:t>
      </w:r>
    </w:p>
    <w:p>
      <w:pPr>
        <w:spacing w:after="0" w:line="205" w:lineRule="exact"/>
        <w:rPr>
          <w:rFonts w:ascii="Times New Roman" w:cs="Times New Roman" w:eastAsia="Times New Roman" w:hAnsi="Times New Roman"/>
          <w:sz w:val="22"/>
          <w:szCs w:val="22"/>
          <w:color w:val="auto"/>
        </w:rPr>
      </w:pPr>
    </w:p>
    <w:p>
      <w:pPr>
        <w:jc w:val="both"/>
        <w:ind w:firstLine="8"/>
        <w:spacing w:after="0" w:line="238" w:lineRule="auto"/>
        <w:tabs>
          <w:tab w:leader="none" w:pos="64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give, or cause to be given, notice of all meetings of Members and all other notices required by applicable law or by this Agreement, and in case of his or her absence or refusal or neglect so to do, any such notice may be given by any person thereunto directed by the Chief Executive Officer, or by the Board. He or she shall record all the proceedings of the meetings of the Company, and shall perform such other duties as may be assigned to him or her by the Board or by the Chief Executive Officer.</w:t>
      </w:r>
    </w:p>
    <w:p>
      <w:pPr>
        <w:spacing w:after="0" w:line="203" w:lineRule="exact"/>
        <w:rPr>
          <w:rFonts w:ascii="Times New Roman" w:cs="Times New Roman" w:eastAsia="Times New Roman" w:hAnsi="Times New Roman"/>
          <w:sz w:val="22"/>
          <w:szCs w:val="22"/>
          <w:color w:val="auto"/>
        </w:rPr>
      </w:pPr>
    </w:p>
    <w:p>
      <w:pPr>
        <w:ind w:firstLine="8"/>
        <w:spacing w:after="0" w:line="258" w:lineRule="auto"/>
        <w:tabs>
          <w:tab w:leader="none" w:pos="68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Officers</w:t>
      </w:r>
      <w:r>
        <w:rPr>
          <w:rFonts w:ascii="Times New Roman" w:cs="Times New Roman" w:eastAsia="Times New Roman" w:hAnsi="Times New Roman"/>
          <w:sz w:val="22"/>
          <w:szCs w:val="22"/>
          <w:color w:val="auto"/>
        </w:rPr>
        <w:t>. Other officers, if any, shall have such powers and shall perform such duties as shall be assigned to them, respectively, by the Board or by the Chief Executive Officer.</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b w:val="1"/>
          <w:bCs w:val="1"/>
          <w:u w:val="single" w:color="auto"/>
          <w:color w:val="auto"/>
        </w:rPr>
        <w:t>Fiduciary Duties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60" w:firstLine="8"/>
        <w:spacing w:after="0" w:line="236" w:lineRule="auto"/>
        <w:tabs>
          <w:tab w:leader="none" w:pos="56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Members and Unitholders</w:t>
      </w:r>
      <w:r>
        <w:rPr>
          <w:rFonts w:ascii="Times New Roman" w:cs="Times New Roman" w:eastAsia="Times New Roman" w:hAnsi="Times New Roman"/>
          <w:sz w:val="22"/>
          <w:szCs w:val="22"/>
          <w:color w:val="auto"/>
        </w:rPr>
        <w:t xml:space="preserve">. To the fullest extent permitted by law, including Section 18-1101(e) of the Delaware Act, and notwithstanding any duty otherwise existing at law or in equity, no Member or Unitholder, solely in its capacity as such, shall owe any fiduciary duty to the Company, the Board, any Member, any Unitholder or any other Person bound by this Agreement,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foregoing shall not eliminate the implied contractual covenant of good faith and fair dealing. Nothing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5.4(a)</w:t>
      </w:r>
      <w:r>
        <w:rPr>
          <w:rFonts w:ascii="Times New Roman" w:cs="Times New Roman" w:eastAsia="Times New Roman" w:hAnsi="Times New Roman"/>
          <w:sz w:val="22"/>
          <w:szCs w:val="22"/>
          <w:color w:val="auto"/>
        </w:rPr>
        <w:t xml:space="preserve"> shall limit the liabilities, duties or obligations of any Member or Unitholder acting in his or her capacity as an officer or Board pursuant to any other provision of this Agreement.</w:t>
      </w:r>
    </w:p>
    <w:p>
      <w:pPr>
        <w:spacing w:after="0" w:line="208" w:lineRule="exact"/>
        <w:rPr>
          <w:rFonts w:ascii="Times New Roman" w:cs="Times New Roman" w:eastAsia="Times New Roman" w:hAnsi="Times New Roman"/>
          <w:sz w:val="22"/>
          <w:szCs w:val="22"/>
          <w:color w:val="auto"/>
        </w:rPr>
      </w:pPr>
    </w:p>
    <w:p>
      <w:pPr>
        <w:jc w:val="both"/>
        <w:ind w:firstLine="8"/>
        <w:spacing w:after="0" w:line="235" w:lineRule="auto"/>
        <w:tabs>
          <w:tab w:leader="none" w:pos="63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and Officers</w:t>
      </w:r>
      <w:r>
        <w:rPr>
          <w:rFonts w:ascii="Times New Roman" w:cs="Times New Roman" w:eastAsia="Times New Roman" w:hAnsi="Times New Roman"/>
          <w:sz w:val="22"/>
          <w:szCs w:val="22"/>
          <w:color w:val="auto"/>
        </w:rPr>
        <w:t xml:space="preserve">. Notwithstanding any other provision to the contrary in this Agreement, except as set forth in the last sentence of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5.4(c)</w:t>
      </w:r>
      <w:r>
        <w:rPr>
          <w:rFonts w:ascii="Times New Roman" w:cs="Times New Roman" w:eastAsia="Times New Roman" w:hAnsi="Times New Roman"/>
          <w:sz w:val="22"/>
          <w:szCs w:val="22"/>
          <w:color w:val="auto"/>
        </w:rPr>
        <w:t>, (i) the Managers shall, in their capacity as Managers, and not in any other capacity, have the same fiduciary duties to the Company and the Unitholders and Members as members of a board of directors of a Delaware corporation; and (ii) each officer of the Company shall, in his or her capacity as such, and not in any other capacity, have the same fiduciary duties to the Company and the Unitholders and Members as an officer of a Delaware corporation. For the avoidance of doubt, the fiduciary duties described in clause (i) above shall not be limited by the fact that the Board shall be permitted to take certain actions in its sole or reasonable discretion pursuant to the terms of this Agreement or any agreement entered into in connection herewith.</w:t>
      </w:r>
    </w:p>
    <w:p>
      <w:pPr>
        <w:spacing w:after="0" w:line="205" w:lineRule="exact"/>
        <w:rPr>
          <w:rFonts w:ascii="Times New Roman" w:cs="Times New Roman" w:eastAsia="Times New Roman" w:hAnsi="Times New Roman"/>
          <w:sz w:val="22"/>
          <w:szCs w:val="22"/>
          <w:color w:val="auto"/>
        </w:rPr>
      </w:pPr>
    </w:p>
    <w:p>
      <w:pPr>
        <w:jc w:val="both"/>
        <w:ind w:firstLine="8"/>
        <w:spacing w:after="0" w:line="245" w:lineRule="auto"/>
        <w:tabs>
          <w:tab w:leader="none" w:pos="68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Board Conflicts</w:t>
      </w:r>
      <w:r>
        <w:rPr>
          <w:rFonts w:ascii="Times New Roman" w:cs="Times New Roman" w:eastAsia="Times New Roman" w:hAnsi="Times New Roman"/>
          <w:sz w:val="21"/>
          <w:szCs w:val="21"/>
          <w:color w:val="auto"/>
        </w:rPr>
        <w:t>. The parties hereto acknowledge that the members of Vivid Seats’ board of directors will owe fiduciary duties to Vivid Seats and its stockholders. The Board will use commercially reasonable and appropriate efforts and means, as determined in good faith by the Board, to minimize any conflict of interest between the Members, on the one hand, and the stockholders of Vivid Seats, on the other hand, and to effectuate any transaction that involves or affects any of the Company, the Board, the Members and/or the stockholders of Vivid Seats in a manner that does not (i) disadvantage the Members of their interests relative to the stockholders of Vivid Seats or (ii) advantage the stockholders of Vivid Seats relative to the Members or</w:t>
      </w:r>
    </w:p>
    <w:p>
      <w:pPr>
        <w:spacing w:after="0" w:line="2" w:lineRule="exact"/>
        <w:rPr>
          <w:rFonts w:ascii="Times New Roman" w:cs="Times New Roman" w:eastAsia="Times New Roman" w:hAnsi="Times New Roman"/>
          <w:sz w:val="21"/>
          <w:szCs w:val="21"/>
          <w:color w:val="auto"/>
        </w:rPr>
      </w:pPr>
    </w:p>
    <w:p>
      <w:pPr>
        <w:jc w:val="both"/>
        <w:ind w:right="20" w:firstLine="8"/>
        <w:spacing w:after="0" w:line="235" w:lineRule="auto"/>
        <w:tabs>
          <w:tab w:leader="none" w:pos="41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treat the Members and the stockholders of Vivid Seats differently;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of a conflict between the interests of the stockholders of Vivid Seats and the interests of the Members, such Members agree that the Board shall discharge its fiduciary duties to such Members by acting in the best interests of Vivid Seats’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6" w:name="page137"/>
    <w:bookmarkEnd w:id="136"/>
    <w:p>
      <w:pPr>
        <w:jc w:val="both"/>
        <w:ind w:firstLine="8"/>
        <w:spacing w:after="0" w:line="235" w:lineRule="auto"/>
        <w:tabs>
          <w:tab w:leader="none" w:pos="69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w:t>
      </w:r>
      <w:r>
        <w:rPr>
          <w:rFonts w:ascii="Times New Roman" w:cs="Times New Roman" w:eastAsia="Times New Roman" w:hAnsi="Times New Roman"/>
          <w:sz w:val="22"/>
          <w:szCs w:val="22"/>
          <w:color w:val="auto"/>
        </w:rPr>
        <w:t>r. Any duties and liabilities set forth in this Agreement shall replace those existing at law or in equity and each of the Company,each Member and Unitholder and any other Person bound by this Agreement hereby, to the fullest extent permitted by applicable law, including Section 18-1101(e) of the Delaware Act, waives the right to make any claim, bring any action or seek any recovery based on any duties or liabilities existing at law or in equity other than any such duties and liabilities set forth in this Agreement.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 EXCULPATION AND INDEMNIFICATION</w:t>
      </w:r>
    </w:p>
    <w:p>
      <w:pPr>
        <w:spacing w:after="0" w:line="19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b w:val="1"/>
          <w:bCs w:val="1"/>
          <w:u w:val="single" w:color="auto"/>
          <w:color w:val="auto"/>
        </w:rPr>
        <w:t>Exculpation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8"/>
        <w:spacing w:after="0" w:line="235" w:lineRule="auto"/>
        <w:tabs>
          <w:tab w:leader="none" w:pos="63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Actions in Capacity as a Member or Unitholder</w:t>
      </w:r>
      <w:r>
        <w:rPr>
          <w:rFonts w:ascii="Times New Roman" w:cs="Times New Roman" w:eastAsia="Times New Roman" w:hAnsi="Times New Roman"/>
          <w:sz w:val="22"/>
          <w:szCs w:val="22"/>
          <w:color w:val="auto"/>
        </w:rPr>
        <w:t>. To the fullest extent permitted by applicable law, and except as otherwise expressly provided herein, no Member, Unitholder (other than the Board, acting in its capacity as such) or its respective Indemnitees shall be liable to the Company, any Member, any Unitholder or any other Person bound by this Agreement as a result of or arising out any action of or omission by such Member or Unitholder solely in its capacity as a Member or Unitholder, except to the extent such Obligations arise out of such Member’s (1) material breach of this Agreement or any other Transaction Document or (2) bad faith violation of the implied contractual covenant of good faith and fair dealing, in each case as determined by a final judgment, order or decree of an arbitrator or a court of competent jurisdiction (which is not appealable or with respect to which the time for appeal therefrom has expired and no appeal has been perfected).</w:t>
      </w:r>
    </w:p>
    <w:p>
      <w:pPr>
        <w:spacing w:after="0" w:line="205" w:lineRule="exact"/>
        <w:rPr>
          <w:rFonts w:ascii="Times New Roman" w:cs="Times New Roman" w:eastAsia="Times New Roman" w:hAnsi="Times New Roman"/>
          <w:sz w:val="22"/>
          <w:szCs w:val="22"/>
          <w:color w:val="auto"/>
        </w:rPr>
      </w:pPr>
    </w:p>
    <w:p>
      <w:pPr>
        <w:jc w:val="both"/>
        <w:ind w:firstLine="8"/>
        <w:spacing w:after="0" w:line="236" w:lineRule="auto"/>
        <w:tabs>
          <w:tab w:leader="none" w:pos="67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Actions</w:t>
      </w:r>
      <w:r>
        <w:rPr>
          <w:rFonts w:ascii="Times New Roman" w:cs="Times New Roman" w:eastAsia="Times New Roman" w:hAnsi="Times New Roman"/>
          <w:sz w:val="22"/>
          <w:szCs w:val="22"/>
          <w:color w:val="auto"/>
        </w:rPr>
        <w:t>. To the fullest extent permitted by applicable law, and except as otherwise expressly provided herein, no Indemnitee shall be liable to the Company, any Member, any Unitholder or any other Person bound by this Agreement as a result of or arising out of the activities of the Indemnitee on behalf of the Company to the extent within the scope of the authority reasonably believed by such Indemnitee to be conferred on such Indemnitee, except to the extent such Indemnitee would not be entitled to exculpation or indemnification pursuant to the articles of incorporation and bylaws of Vivid Seats (as the same may be amended from time to time).</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Section 6.2 </w:t>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.To the fullest extent permitted by applicable law, each of (a) the Managers, (b) the Unitholders and Members and their respective Affiliates, (c) the stockholders, members, managers, directors, officers, partners, employees and agents of the Unitholders, Members and their respective Affiliates, (d) the PR and any “designated individual” and (e) the officers and directors of Vivid Seats, the Company and each of their Subsidiaries (each,an“</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shall be indemnified and held harmless by the Company from and against any and all losses, claims, damages, liabilities, expenses (including legal fees and expenses), judgments, fines, settlements and other amounts arising from any and all claims, demands, actions, suits or proceedings, civil, criminal, administrative or investigative (collectively, “</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xml:space="preserve">”), which at any time may be imposed on, incurred by, or asserted against, the Indemnitee as a result of or arising out of this Agreement, Vivid Seats, the Company, their respective assets, businesses or affairs, or the activities of the Indemnitee on behalf of Vivid Seats, the Company or any of their Subsidiaries to the extent within the scope of the authority reasonably believed to be conferred on such Indemnitee;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to the extent such Indemnitee is not entitled to exculpation with respect to such Obligations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6.1</w:t>
      </w:r>
      <w:r>
        <w:rPr>
          <w:rFonts w:ascii="Times New Roman" w:cs="Times New Roman" w:eastAsia="Times New Roman" w:hAnsi="Times New Roman"/>
          <w:sz w:val="21"/>
          <w:szCs w:val="21"/>
          <w:color w:val="auto"/>
        </w:rPr>
        <w:t xml:space="preserve">, the Indemnitee shall not be entitled to indemnification for any such Obligations to the extent such Indemnitee would not be entitled to exculpation or indemnification pursuant to the articles of incorporation and bylaws of Vivid Seats (as the same may be amended from time to time);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to the extent such Indemnitee is entitled to exculpation with respect to such Obligations pursuant to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the Indemnitee shall not be entitled to indemnification for any such Obligations to the extent they arise out of such Indemnitee’s (1) material breach of this Agreement or any other Transaction Document or (2) bad faith violation of the implied contractual covenant of good faith and fair dealing. The termination of any action, suit or proceeding by judgment, order, settlement, conviction, or upon a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or its equivalent, shall not, of itself, create a presumption that the Indemnitee was not entitled to indemnification hereunder. Any indemnification pursuant to this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shall be made only out of the assets of the Company and no Member shall have any personal liability on account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7" w:name="page138"/>
    <w:bookmarkEnd w:id="137"/>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Section 6.3 </w:t>
      </w:r>
      <w:r>
        <w:rPr>
          <w:rFonts w:ascii="Times New Roman" w:cs="Times New Roman" w:eastAsia="Times New Roman" w:hAnsi="Times New Roman"/>
          <w:sz w:val="21"/>
          <w:szCs w:val="21"/>
          <w:b w:val="1"/>
          <w:bCs w:val="1"/>
          <w:u w:val="single" w:color="auto"/>
          <w:color w:val="auto"/>
        </w:rPr>
        <w:t>Expenses</w:t>
      </w:r>
      <w:r>
        <w:rPr>
          <w:rFonts w:ascii="Times New Roman" w:cs="Times New Roman" w:eastAsia="Times New Roman" w:hAnsi="Times New Roman"/>
          <w:sz w:val="21"/>
          <w:szCs w:val="21"/>
          <w:color w:val="auto"/>
        </w:rPr>
        <w:t xml:space="preserve">. Expenses (including reasonable legal fees and expenses) incurred by an Indemnitee in defending any claim, demand, action, suit or proceeding described in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shall, from time to time, be advanced by the Company prior to the final disposition of such claim, demand, action, suit or proceeding, upon receipt by the Company of an undertaking by or on behalf of the Indemnitee to repay such amount if it shall be determined that the Indemnitee is not entitled to be indemnified as provided in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undertaking shall be unsecured and interest free and shall be accepted without regard to an Indemnitee’s ability to repay amounts advanced and without regard to an Indemnitee’s entitlement to indemnification.</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Section 6.4 </w:t>
      </w:r>
      <w:r>
        <w:rPr>
          <w:rFonts w:ascii="Times New Roman" w:cs="Times New Roman" w:eastAsia="Times New Roman" w:hAnsi="Times New Roman"/>
          <w:sz w:val="21"/>
          <w:szCs w:val="21"/>
          <w:b w:val="1"/>
          <w:bCs w:val="1"/>
          <w:u w:val="single" w:color="auto"/>
          <w:color w:val="auto"/>
        </w:rPr>
        <w:t>Non-Exclusivity; Savings Clause</w:t>
      </w:r>
      <w:r>
        <w:rPr>
          <w:rFonts w:ascii="Times New Roman" w:cs="Times New Roman" w:eastAsia="Times New Roman" w:hAnsi="Times New Roman"/>
          <w:sz w:val="21"/>
          <w:szCs w:val="21"/>
          <w:color w:val="auto"/>
        </w:rPr>
        <w:t xml:space="preserve">. The indemnification and advancement of expenses set forth in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shall not be exclusive of any other rights to which those seeking indemnification or advancement of expenses may be entitled under any other agreement, policy of insurance or otherwise. The indemnification and advancement of expenses set forth in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shall continue as to an Indemnitee who has ceased to be a named Indemnitee and shall inure to the benefit of the heirs, executors, administrators, successors and permitted assigns of such a Person. If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or any portion hereof shall be invalidated on any ground by any court of competent jurisdiction, then the Company shall nevertheless exculpate, indemnify and advance expenses each Indemnitee to the fullest extent permitted by any applicable portion of such sections not so invalidated and to the fullest extent permitted by applicable law. The exculpation, indemnification and advancement of expenses provisions set forth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shall be deemed to be a contract between the Company and each of the Persons constituting Indemnitees at any time while such provisions remain in effect, whether or not such Person continues to serve in such capacity and whether or not such Person is a party hereto. In addition, neither </w:t>
      </w:r>
      <w:r>
        <w:rPr>
          <w:rFonts w:ascii="Times New Roman" w:cs="Times New Roman" w:eastAsia="Times New Roman" w:hAnsi="Times New Roman"/>
          <w:sz w:val="21"/>
          <w:szCs w:val="21"/>
          <w:u w:val="single" w:color="auto"/>
          <w:color w:val="auto"/>
        </w:rPr>
        <w:t>Sections 6.1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nor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may be retroactively amended to adversely affect the rights of any Indemnitee arising in connection with any acts, omissions, facts or circumstances occurring prior to such amendment.</w:t>
      </w:r>
    </w:p>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xml:space="preserve">. The Company may purchase and maintain insurance on behalf of the Indemnitees against any liability asserted against them and incurred by them in such capacity, or arising out of their status as Indemnitees, whether or not the Company would have the power to indemnify them against such liability under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ARTICLE VII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ACCOUNTING AND RECORDS; TAX MATTERS</w:t>
      </w:r>
    </w:p>
    <w:p>
      <w:pPr>
        <w:spacing w:after="0" w:line="17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b w:val="1"/>
          <w:bCs w:val="1"/>
          <w:u w:val="single" w:color="auto"/>
          <w:color w:val="auto"/>
        </w:rPr>
        <w:t>Accounting and Records</w:t>
      </w:r>
      <w:r>
        <w:rPr>
          <w:rFonts w:ascii="Times New Roman" w:cs="Times New Roman" w:eastAsia="Times New Roman" w:hAnsi="Times New Roman"/>
          <w:sz w:val="22"/>
          <w:szCs w:val="22"/>
          <w:color w:val="auto"/>
        </w:rPr>
        <w:t>. The books and records of the Company shall be made and maintained, and the financial position and the results of its operations recorded, at the expense of the Company, in accordance with such method of accounting as is determined by the Board. The books and records of the Company shall reflect all Company transactions and shall be made and maintained in a manner that is appropriate and adequate for the Company’s business.</w:t>
      </w:r>
    </w:p>
    <w:p>
      <w:pPr>
        <w:spacing w:after="0" w:line="18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b w:val="1"/>
          <w:bCs w:val="1"/>
          <w:u w:val="single" w:color="auto"/>
          <w:color w:val="auto"/>
        </w:rPr>
        <w:t>Preparation of Tax Returns; Administrative Matters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40" w:firstLine="8"/>
        <w:spacing w:after="0" w:line="239" w:lineRule="auto"/>
        <w:tabs>
          <w:tab w:leader="none" w:pos="61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arrange for the preparation and timely filing of all Tax returns required to be filed by the Company, and making any elections described in </w:t>
      </w:r>
      <w:r>
        <w:rPr>
          <w:rFonts w:ascii="Times New Roman" w:cs="Times New Roman" w:eastAsia="Times New Roman" w:hAnsi="Times New Roman"/>
          <w:sz w:val="22"/>
          <w:szCs w:val="22"/>
          <w:u w:val="single" w:color="auto"/>
          <w:color w:val="auto"/>
        </w:rPr>
        <w:t>Section 7.2(c)</w:t>
      </w:r>
      <w:r>
        <w:rPr>
          <w:rFonts w:ascii="Times New Roman" w:cs="Times New Roman" w:eastAsia="Times New Roman" w:hAnsi="Times New Roman"/>
          <w:sz w:val="22"/>
          <w:szCs w:val="22"/>
          <w:color w:val="auto"/>
        </w:rPr>
        <w:t>. Each Unitholder shall furnish to the Company all pertinent information in its possession relating to the Company’s operations that is necessary to enable the Company’s income Tax returns to be prepared and filed.</w:t>
      </w:r>
    </w:p>
    <w:p>
      <w:pPr>
        <w:spacing w:after="0" w:line="207" w:lineRule="exact"/>
        <w:rPr>
          <w:rFonts w:ascii="Times New Roman" w:cs="Times New Roman" w:eastAsia="Times New Roman" w:hAnsi="Times New Roman"/>
          <w:sz w:val="22"/>
          <w:szCs w:val="22"/>
          <w:color w:val="auto"/>
        </w:rPr>
      </w:pPr>
    </w:p>
    <w:p>
      <w:pPr>
        <w:jc w:val="both"/>
        <w:ind w:firstLine="8"/>
        <w:spacing w:after="0" w:line="235" w:lineRule="auto"/>
        <w:tabs>
          <w:tab w:leader="none" w:pos="70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to each Unitholder (A) preliminary information relating to the Company (including a draft Schedule K-1) that is necessary for the preparation of such Unitholder’s returns for federal and state income Tax and any other Tax reporting purposes for a Taxable Year no later than February 15 of the following Taxable Year and (B) by February 28 of such following Taxable Year, such final information (including a final Schedule K-1) that is consistent in all respects with the estimates provided pursuant to clause (A), subject to any reasonable comments received from Unitholders owning 5% or more of the outstanding Common Units that are received by February 23 of such following Taxable Year, which the Company shall consider in good faith. Subject to the preceding sentence, for so long as any Unitholder owns 5% or more of the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8" w:name="page139"/>
    <w:bookmarkEnd w:id="138"/>
    <w:p>
      <w:pPr>
        <w:jc w:val="both"/>
        <w:spacing w:after="0"/>
        <w:rPr>
          <w:sz w:val="20"/>
          <w:szCs w:val="20"/>
          <w:color w:val="auto"/>
        </w:rPr>
      </w:pPr>
      <w:r>
        <w:rPr>
          <w:rFonts w:ascii="Times New Roman" w:cs="Times New Roman" w:eastAsia="Times New Roman" w:hAnsi="Times New Roman"/>
          <w:sz w:val="22"/>
          <w:szCs w:val="22"/>
          <w:color w:val="auto"/>
        </w:rPr>
        <w:t>Common Units, the Company shall (i) send a draft of any income tax return of the Company (other than the information and schedules referred to in the preceding sentence) to such Unitholder, at least fifteen (15) days prior to filing, for review and comment, and (ii) consider in good faith all reasonable comments received from such Unitholder at least five (5) days prior to the due date for the filing of any such tax return.</w:t>
      </w:r>
    </w:p>
    <w:p>
      <w:pPr>
        <w:spacing w:after="0" w:line="204" w:lineRule="exact"/>
        <w:rPr>
          <w:sz w:val="20"/>
          <w:szCs w:val="20"/>
          <w:color w:val="auto"/>
        </w:rPr>
      </w:pPr>
    </w:p>
    <w:p>
      <w:pPr>
        <w:jc w:val="both"/>
        <w:ind w:firstLine="8"/>
        <w:spacing w:after="0" w:line="239" w:lineRule="auto"/>
        <w:tabs>
          <w:tab w:leader="none" w:pos="62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any Unitholder owns 5% or more of the outstanding Common Units, the Company shall use reasonable best efforts to provide (or cause to be provided), at the Company’s expense, such accounting, tax, legal, insurance and administrative support to such Unitholder and its Affiliates (including with respect to Topco, for the avoidance of doubt, GTCR- Tickets Blocker Acquisition LLC and its Subsidiaries) as such Unitholder may reasonably request.</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b w:val="1"/>
          <w:bCs w:val="1"/>
          <w:u w:val="single" w:color="auto"/>
          <w:color w:val="auto"/>
        </w:rPr>
        <w:t>Tax Elections</w:t>
      </w:r>
      <w:r>
        <w:rPr>
          <w:rFonts w:ascii="Times New Roman" w:cs="Times New Roman" w:eastAsia="Times New Roman" w:hAnsi="Times New Roman"/>
          <w:sz w:val="22"/>
          <w:szCs w:val="22"/>
          <w:color w:val="auto"/>
        </w:rPr>
        <w:t>. The Taxable Year shall be the Fiscal Year unless the Board shall determine otherwise. The Board shall determine whether to make or revoke any available election pursuant to the Code. Each Unitholder will upon request supply any information necessary to give proper effect to such election.</w:t>
      </w:r>
    </w:p>
    <w:p>
      <w:pPr>
        <w:spacing w:after="0" w:line="19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b w:val="1"/>
          <w:bCs w:val="1"/>
          <w:u w:val="single" w:color="auto"/>
          <w:color w:val="auto"/>
        </w:rPr>
        <w:t>Tax Controversies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8"/>
        <w:spacing w:after="0" w:line="231" w:lineRule="auto"/>
        <w:tabs>
          <w:tab w:leader="none" w:pos="61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Vivid Seats shall be the “partnership representative” (or “</w:t>
      </w:r>
      <w:r>
        <w:rPr>
          <w:rFonts w:ascii="Times New Roman" w:cs="Times New Roman" w:eastAsia="Times New Roman" w:hAnsi="Times New Roman"/>
          <w:sz w:val="22"/>
          <w:szCs w:val="22"/>
          <w:u w:val="single" w:color="auto"/>
          <w:color w:val="auto"/>
        </w:rPr>
        <w:t>PR</w:t>
      </w:r>
      <w:r>
        <w:rPr>
          <w:rFonts w:ascii="Times New Roman" w:cs="Times New Roman" w:eastAsia="Times New Roman" w:hAnsi="Times New Roman"/>
          <w:sz w:val="22"/>
          <w:szCs w:val="22"/>
          <w:color w:val="auto"/>
        </w:rPr>
        <w:t>”) of the Company for purposes of the Partnership Tax Audit Rules, and, as such, shall be authorized to designate any other Person selected by Vivid Seats as the partnership representative. Each Member, by execution of this Agreement, hereby consents to the appointment of Vivid Seats (or its designee) as the PR as set forth herein and agrees to execute, certify, acknowledge, deliver, swear to, file and record, at the appropriate public offices, such documents as may be necessary or appropriate to evidence such consent and agrees to take, and that the PR is authorized to take (or cause the Company to take), such other actions as may be necessary pursuant to the Partnership Tax Audit Rules to cause such designation. The PR shall be authorized and required to represent the Company (at the Company’s expense) in connection with all audits and examinations of the Company’s affairs by Tax authorities, including resulting administrative and judicial proceedings, and to expend the Company’s funds for professional services and reasonably incurred in connection therewith. In addition, the PR shall have the power and authority to (i) manage, control, settle, challenge, litigate, or prosecute, on behalf of the Company, any administrative proceedings or other action at the Company level with the Internal Revenue Service or any other taxing authority relating to the determination of any item of Company income, gain, loss, deduction, or credit for federal income tax purposes or otherwise relating to the Partnership Tax Audit Rules, and (ii) make any election under the Partnership Tax Audit Rules, and the PR shall have all other rights and powers granted under the Partnership Tax Audit Rules to a PR with respect to the Company and its Members; provided, in each case, that as long as any Unitholder owns 5% or more of the outstanding Common Units, (A) the PR shall notify such Unitholder of, and keep such Unitholder reasonably informed with respect to, any such audits, examinations or resulting proceedings the outcome of which is reasonably expected to affect the tax liabilities of such Unitholder, (B) such Unitholder shall have the right to discuss with the PR, and provide input and comment to the PR regarding, any such audits, examinations or resulting proceedings, and (C) neither the PR nor any designated individual shall settle or compromise any such audits, examinations or resulting proceedings to the extent they relate to issues the resolution of which would reasonably be expected to affect the tax liability of such Unitholder without such Unitholder’s consent, such consent not to be unreasonably withheld, conditioned or delayed. Each Unitholder agrees to reasonably cooperate with the Company and to do or refrain from doing any or all things reasonably requested by the Company with respect to the conduct of such proceedings. For each Taxable Year in which the PR is an entity, the Company shall appoint the “designated individual” identified by the PR to act on its behalf in accordance with the applicable Partnership Tax Audit Rules. Promptly following a request of the PR or designated individual, the Company shall, to the fullest extent permitted by law, reimburse and indemnify the PR and designated individual for all reasonable expenses, including legal and accounting fees, incurred by the PR and/or designated individual in its capacity as such.</w:t>
      </w:r>
    </w:p>
    <w:p>
      <w:pPr>
        <w:spacing w:after="0" w:line="229" w:lineRule="exact"/>
        <w:rPr>
          <w:rFonts w:ascii="Times New Roman" w:cs="Times New Roman" w:eastAsia="Times New Roman" w:hAnsi="Times New Roman"/>
          <w:sz w:val="22"/>
          <w:szCs w:val="22"/>
          <w:color w:val="auto"/>
        </w:rPr>
      </w:pPr>
    </w:p>
    <w:p>
      <w:pPr>
        <w:ind w:firstLine="8"/>
        <w:spacing w:after="0" w:line="258" w:lineRule="auto"/>
        <w:tabs>
          <w:tab w:leader="none" w:pos="66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 audit by the Internal Revenue Service, or another applicable taxing authority, the PR shall make on a timely basis, to the extent permissible under applicable law, the election provided by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9" w:name="page140"/>
    <w:bookmarkEnd w:id="139"/>
    <w:p>
      <w:pPr>
        <w:jc w:val="both"/>
        <w:spacing w:after="0" w:line="236" w:lineRule="auto"/>
        <w:rPr>
          <w:sz w:val="20"/>
          <w:szCs w:val="20"/>
          <w:color w:val="auto"/>
        </w:rPr>
      </w:pPr>
      <w:r>
        <w:rPr>
          <w:rFonts w:ascii="Times New Roman" w:cs="Times New Roman" w:eastAsia="Times New Roman" w:hAnsi="Times New Roman"/>
          <w:sz w:val="22"/>
          <w:szCs w:val="22"/>
          <w:color w:val="auto"/>
        </w:rPr>
        <w:t>6226(a) of the Partnership Tax Audit Rules to treat a “partnership adjustment” as an adjustment to be taken into account by each Unitholder in accordance with Section 6226(b) of the Partnership Tax Audit Rules. If the election under Section 6226(a) of the of the Partnership Tax Audit Rules is made, each Unitholder who was a Unitholder of the Company for U.S. federal income tax purposes for the “reviewed year” (within the meaning of Code Section 6225(d)(1) of the Partnership Tax Audit Rules) shall take such adjustment into account as required under Section 6226(b) of the Partnership Tax Audit Rules and shall be liable for any related tax, interest, penalty, addition to tax, or additional amounts.</w:t>
      </w:r>
    </w:p>
    <w:p>
      <w:pPr>
        <w:spacing w:after="0" w:line="209" w:lineRule="exact"/>
        <w:rPr>
          <w:sz w:val="20"/>
          <w:szCs w:val="20"/>
          <w:color w:val="auto"/>
        </w:rPr>
      </w:pPr>
    </w:p>
    <w:p>
      <w:pPr>
        <w:jc w:val="both"/>
        <w:ind w:firstLine="8"/>
        <w:spacing w:after="0" w:line="233" w:lineRule="auto"/>
        <w:tabs>
          <w:tab w:leader="none" w:pos="68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 audit by the Internal Revenue Service or other applicable taxing authority, if the PR does not or is otherwise unable to make the election provided by Section 6226(a) of the Partnership Tax Audit Rules as noted above, the PR shall allocate the burden of any taxes (including, for the avoidance of doubt, any “imputed underpayment” within the meaning of Section 6225 of the Partnership Tax Audit Rules), penalties, interest and related expenses imposed on the Company pursuant to the Partnership Tax Audit Rules among the Unitholder to whom such amounts are attributable (whether as a result of their status, actions, inactions or otherwise), as reasonably determined by the PR and each Unitholder shall promptly upon request from the Board (and in any event within 5 days of such request) reimburse the Company in full for the entire amount the PR determines to be attributable to such Unitholder;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will also be allowed to recover any amount due from such Unitholder pursuant to this sentence from any distribution otherwise payable to such Unitholder pursuant to this Agreement. Solely for purposes of determining the current Unitholder(s) to which any taxes or other amounts are attributable under this provision, references to any Unitholder in this </w:t>
      </w:r>
      <w:r>
        <w:rPr>
          <w:rFonts w:ascii="Times New Roman" w:cs="Times New Roman" w:eastAsia="Times New Roman" w:hAnsi="Times New Roman"/>
          <w:sz w:val="22"/>
          <w:szCs w:val="22"/>
          <w:u w:val="single" w:color="auto"/>
          <w:color w:val="auto"/>
        </w:rPr>
        <w:t>Section 7.4(c)</w:t>
      </w:r>
      <w:r>
        <w:rPr>
          <w:rFonts w:ascii="Times New Roman" w:cs="Times New Roman" w:eastAsia="Times New Roman" w:hAnsi="Times New Roman"/>
          <w:sz w:val="22"/>
          <w:szCs w:val="22"/>
          <w:color w:val="auto"/>
        </w:rPr>
        <w:t xml:space="preserve"> shall include a reference to each Person that previously held the Units currently held by such Unitholder (but only to the extent of such Person’s interest in such Units).</w:t>
      </w:r>
    </w:p>
    <w:p>
      <w:pPr>
        <w:spacing w:after="0" w:line="211" w:lineRule="exact"/>
        <w:rPr>
          <w:rFonts w:ascii="Times New Roman" w:cs="Times New Roman" w:eastAsia="Times New Roman" w:hAnsi="Times New Roman"/>
          <w:sz w:val="22"/>
          <w:szCs w:val="22"/>
          <w:color w:val="auto"/>
        </w:rPr>
      </w:pPr>
    </w:p>
    <w:p>
      <w:pPr>
        <w:jc w:val="both"/>
        <w:ind w:firstLine="8"/>
        <w:spacing w:after="0" w:line="244" w:lineRule="auto"/>
        <w:tabs>
          <w:tab w:leader="none" w:pos="67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 is authorized to, and shall follow principles (to the extent available) similar to those set forth in </w:t>
      </w:r>
      <w:r>
        <w:rPr>
          <w:rFonts w:ascii="Times New Roman" w:cs="Times New Roman" w:eastAsia="Times New Roman" w:hAnsi="Times New Roman"/>
          <w:sz w:val="22"/>
          <w:szCs w:val="22"/>
          <w:u w:val="single" w:color="auto"/>
          <w:color w:val="auto"/>
        </w:rPr>
        <w:t>Section 7.4(a)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7.4(b)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7.4(c)</w:t>
      </w:r>
      <w:r>
        <w:rPr>
          <w:rFonts w:ascii="Times New Roman" w:cs="Times New Roman" w:eastAsia="Times New Roman" w:hAnsi="Times New Roman"/>
          <w:sz w:val="22"/>
          <w:szCs w:val="22"/>
          <w:color w:val="auto"/>
        </w:rPr>
        <w:t xml:space="preserve"> with respect to any audits by state, local, or foreign tax authorities and any tax liabilities that result therefrom.</w:t>
      </w:r>
    </w:p>
    <w:p>
      <w:pPr>
        <w:spacing w:after="0" w:line="200" w:lineRule="exact"/>
        <w:rPr>
          <w:rFonts w:ascii="Times New Roman" w:cs="Times New Roman" w:eastAsia="Times New Roman" w:hAnsi="Times New Roman"/>
          <w:sz w:val="22"/>
          <w:szCs w:val="22"/>
          <w:color w:val="auto"/>
        </w:rPr>
      </w:pPr>
    </w:p>
    <w:p>
      <w:pPr>
        <w:ind w:left="860" w:hanging="852"/>
        <w:spacing w:after="0"/>
        <w:tabs>
          <w:tab w:leader="none" w:pos="8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shall be interpreted to apply to Members and former Members and shall survive the transfer of a</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Member’s Units, the termination of this Agreement, and the termination, dissolution, liquidation and winding up of the Company.</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ARTICLE VIII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TRANSFER OF UNITS; ADMISSION OF NEW MEMBERS</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Section 8.1 </w:t>
      </w:r>
      <w:r>
        <w:rPr>
          <w:rFonts w:ascii="Times New Roman" w:cs="Times New Roman" w:eastAsia="Times New Roman" w:hAnsi="Times New Roman"/>
          <w:sz w:val="21"/>
          <w:szCs w:val="21"/>
          <w:b w:val="1"/>
          <w:bCs w:val="1"/>
          <w:u w:val="single" w:color="auto"/>
          <w:color w:val="auto"/>
        </w:rPr>
        <w:t>Transfer of Units</w:t>
      </w:r>
      <w:r>
        <w:rPr>
          <w:rFonts w:ascii="Times New Roman" w:cs="Times New Roman" w:eastAsia="Times New Roman" w:hAnsi="Times New Roman"/>
          <w:sz w:val="21"/>
          <w:szCs w:val="21"/>
          <w:color w:val="auto"/>
        </w:rPr>
        <w:t xml:space="preserve">. Other than as provided for below in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no Member may sell, assign, transfer, grant a participation in, pledge, hypothecate, encumber or otherwise dispose of (such transaction being herein collectively called a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xml:space="preserve">”) all or any portion of its Units except with the approval of the Board, which may be granted or withheld in its sole discretion. Without the approval of the Board (but otherwise in compliance with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a Member may, at any time, (a) Transfer any portion of such Member’s Units pursuant to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(b) Transfer any portion of such Member’s Units to a Permitted Transferee of such Member. Any Transfer of Units to a Permitted Transferee of such Member by a Member which also holds Class B Common Stock must be accompanied by the transfer of a corresponding number of shares of Class B Common Stock (determined based upon the Exchange Rate then in effect) to such Permitted Transferee. Any purported Transfer of all or a portion of a Member’s Units not complying with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shall be void and shall not create any obligation on the part of the Company or the other Members to recognize that purported Transfer or to recognize the Person to which the Transfer purportedly was made as a Member. A Person acquiring a Member’s Units pursuant to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shall not be admitted as a Substituted Member or an Additional Member except in accordance with the requirements of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but such Person shall, to the extent of the Units transferred to it, be entitled to such Member’s (i) share of Distributions, (ii) share of Profits and Losses and (iii) Capital Account in accordance with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Notwithstanding anything in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or elsewhere in this Agreement to the contrary, if a Member Transfers all or any portion of its Units after the designation of a record date and declaration of a Distribution pursuant to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and before the payment date of such distribution, the transferring Member (and not the Person acquiring all or any portion of its Units) shall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0" w:name="page141"/>
    <w:bookmarkEnd w:id="140"/>
    <w:p>
      <w:pPr>
        <w:jc w:val="both"/>
        <w:spacing w:after="0"/>
        <w:rPr>
          <w:sz w:val="20"/>
          <w:szCs w:val="20"/>
          <w:color w:val="auto"/>
        </w:rPr>
      </w:pPr>
      <w:r>
        <w:rPr>
          <w:rFonts w:ascii="Times New Roman" w:cs="Times New Roman" w:eastAsia="Times New Roman" w:hAnsi="Times New Roman"/>
          <w:sz w:val="22"/>
          <w:szCs w:val="22"/>
          <w:color w:val="auto"/>
        </w:rPr>
        <w:t xml:space="preserve">to receive such Distribution in respect of such transferred Units. Notwithstanding the foregoing, except as otherwise provided in this Agreement, including in </w:t>
      </w:r>
      <w:r>
        <w:rPr>
          <w:rFonts w:ascii="Times New Roman" w:cs="Times New Roman" w:eastAsia="Times New Roman" w:hAnsi="Times New Roman"/>
          <w:sz w:val="22"/>
          <w:szCs w:val="22"/>
          <w:u w:val="single" w:color="auto"/>
          <w:color w:val="auto"/>
        </w:rPr>
        <w:t>Sections 3.2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Vivid Seats may not Transfer all or any part of its Units without the consent of the Members (other than Vivid Seats) holding at least a majority of the aggregate Common Units then outstanding and held by such Members.</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b w:val="1"/>
          <w:bCs w:val="1"/>
          <w:u w:val="single" w:color="auto"/>
          <w:color w:val="auto"/>
        </w:rPr>
        <w:t>Recognition of Transfer; Substituted and Additional Members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
        <w:spacing w:after="0" w:line="244" w:lineRule="auto"/>
        <w:tabs>
          <w:tab w:leader="none" w:pos="81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 or indirect Transfer of all or any portion of a Member’s Units may be made, and no purchaser, assignee, transferee or other recipient of all or any part of such Units shall be admitted to the Company as a Substituted Member or Additional Member hereunder, unless:</w:t>
      </w:r>
    </w:p>
    <w:p>
      <w:pPr>
        <w:spacing w:after="0" w:line="200" w:lineRule="exact"/>
        <w:rPr>
          <w:sz w:val="20"/>
          <w:szCs w:val="20"/>
          <w:color w:val="auto"/>
        </w:rPr>
      </w:pPr>
    </w:p>
    <w:p>
      <w:pPr>
        <w:ind w:left="640" w:hanging="632"/>
        <w:spacing w:after="0"/>
        <w:tabs>
          <w:tab w:leader="none" w:pos="6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shall have been complied with;</w:t>
      </w:r>
    </w:p>
    <w:p>
      <w:pPr>
        <w:spacing w:after="0" w:line="233" w:lineRule="exact"/>
        <w:rPr>
          <w:rFonts w:ascii="Times New Roman" w:cs="Times New Roman" w:eastAsia="Times New Roman" w:hAnsi="Times New Roman"/>
          <w:sz w:val="22"/>
          <w:szCs w:val="22"/>
          <w:color w:val="auto"/>
        </w:rPr>
      </w:pPr>
    </w:p>
    <w:p>
      <w:pPr>
        <w:jc w:val="both"/>
        <w:ind w:firstLine="8"/>
        <w:spacing w:after="0" w:line="235" w:lineRule="auto"/>
        <w:tabs>
          <w:tab w:leader="none" w:pos="67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proposed Substituted Member or Additional Member that is (A) a competitor or potential competitor of Vivid Seats or the Company or their respective Subsidiaries, (B) a Person with whom Vivid Seats or the Company or their respective Subsidiaries has had or is expected to have a material commercial or financial relationship or (C) likely to subject Vivid Seats or the Company or their respective Subsidiaries to any material legal or regulatory requirement or obligation, or materially increase the burden thereof, in each case as determined by the Board in its sole discretion, the admission of the purchaser, assignee, transferee or other recipient as a Substituted Member or Additional Member shall have been approved by the Board;</w:t>
      </w:r>
    </w:p>
    <w:p>
      <w:pPr>
        <w:spacing w:after="0" w:line="210" w:lineRule="exact"/>
        <w:rPr>
          <w:rFonts w:ascii="Times New Roman" w:cs="Times New Roman" w:eastAsia="Times New Roman" w:hAnsi="Times New Roman"/>
          <w:sz w:val="22"/>
          <w:szCs w:val="22"/>
          <w:color w:val="auto"/>
        </w:rPr>
      </w:pPr>
    </w:p>
    <w:p>
      <w:pPr>
        <w:jc w:val="both"/>
        <w:ind w:firstLine="8"/>
        <w:spacing w:after="0" w:line="239" w:lineRule="auto"/>
        <w:tabs>
          <w:tab w:leader="none" w:pos="77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shall have been furnished with the documents effecting such Transfer, in form and substance reasonably satisfactory to the Board, executed and acknowledged by both the seller, assignor or transferor and the purchaser, assignee, transferee or other recipient, and the Board shall have executed (and the Board hereby agrees to execute) any other documents on behalf of itself and the Members required to effect the Transfer;</w:t>
      </w:r>
    </w:p>
    <w:p>
      <w:pPr>
        <w:spacing w:after="0" w:line="193"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 xml:space="preserve"> shall have been complied with;</w:t>
      </w:r>
    </w:p>
    <w:p>
      <w:pPr>
        <w:spacing w:after="0" w:line="206" w:lineRule="exact"/>
        <w:rPr>
          <w:rFonts w:ascii="Times New Roman" w:cs="Times New Roman" w:eastAsia="Times New Roman" w:hAnsi="Times New Roman"/>
          <w:sz w:val="22"/>
          <w:szCs w:val="22"/>
          <w:color w:val="auto"/>
        </w:rPr>
      </w:pPr>
    </w:p>
    <w:p>
      <w:pPr>
        <w:ind w:right="20" w:firstLine="8"/>
        <w:spacing w:after="0" w:line="258" w:lineRule="auto"/>
        <w:tabs>
          <w:tab w:leader="none" w:pos="6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shall be reasonably satisfied that such Transfer will not (A) result in a violation of the Securities Act or any other applicable law; or (B) cause an assignment under the Investment Company Act;</w:t>
      </w:r>
    </w:p>
    <w:p>
      <w:pPr>
        <w:spacing w:after="0" w:line="185" w:lineRule="exact"/>
        <w:rPr>
          <w:rFonts w:ascii="Times New Roman" w:cs="Times New Roman" w:eastAsia="Times New Roman" w:hAnsi="Times New Roman"/>
          <w:sz w:val="22"/>
          <w:szCs w:val="22"/>
          <w:color w:val="auto"/>
        </w:rPr>
      </w:pPr>
    </w:p>
    <w:p>
      <w:pPr>
        <w:jc w:val="both"/>
        <w:ind w:firstLine="8"/>
        <w:spacing w:after="0" w:line="239" w:lineRule="auto"/>
        <w:tabs>
          <w:tab w:leader="none" w:pos="74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would not cause the Company to be treated as a “publicly traded partnership” within the meaning of Section 7704 of the Code or any other association taxable as a corporation for federal income tax purposes and, without limiting the generality of the foregoing, such Transfer shall not be effected on or through an “established securities market” or a “secondary market or the substantial equivalent thereof,” as such terms are used in Treas. Reg. § 1.7704-1;</w:t>
      </w:r>
    </w:p>
    <w:p>
      <w:pPr>
        <w:spacing w:after="0" w:line="207"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Board shall have received the opinion of counsel, if any, required by </w:t>
      </w:r>
      <w:r>
        <w:rPr>
          <w:rFonts w:ascii="Times New Roman" w:cs="Times New Roman" w:eastAsia="Times New Roman" w:hAnsi="Times New Roman"/>
          <w:sz w:val="21"/>
          <w:szCs w:val="21"/>
          <w:u w:val="single" w:color="auto"/>
          <w:color w:val="auto"/>
        </w:rPr>
        <w:t>Section 8.2(c)</w:t>
      </w:r>
      <w:r>
        <w:rPr>
          <w:rFonts w:ascii="Times New Roman" w:cs="Times New Roman" w:eastAsia="Times New Roman" w:hAnsi="Times New Roman"/>
          <w:sz w:val="21"/>
          <w:szCs w:val="21"/>
          <w:color w:val="auto"/>
        </w:rPr>
        <w:t xml:space="preserve"> in connection with such Transfer;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1"/>
          <w:szCs w:val="21"/>
          <w:color w:val="auto"/>
        </w:rPr>
      </w:pPr>
    </w:p>
    <w:p>
      <w:pPr>
        <w:ind w:firstLine="8"/>
        <w:spacing w:after="0" w:line="258" w:lineRule="auto"/>
        <w:tabs>
          <w:tab w:leader="none" w:pos="59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instruments reflecting such Transfer and/or admission shall have been filed in each jurisdiction in which such filing is necessary in order to qualify the Company to conduct business or to preserve the limited liability of the Members.</w:t>
      </w:r>
    </w:p>
    <w:p>
      <w:pPr>
        <w:spacing w:after="0" w:line="185" w:lineRule="exact"/>
        <w:rPr>
          <w:sz w:val="20"/>
          <w:szCs w:val="20"/>
          <w:color w:val="auto"/>
        </w:rPr>
      </w:pPr>
    </w:p>
    <w:p>
      <w:pPr>
        <w:jc w:val="both"/>
        <w:ind w:firstLine="8"/>
        <w:spacing w:after="0" w:line="248" w:lineRule="auto"/>
        <w:tabs>
          <w:tab w:leader="none" w:pos="777"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Substituted Member and Additional Member shall be bound by all of the provisions of this Agreement. Each Substituted Member and Additional Member, as a condition to its admission as a Member, shall execute and acknowledge such instruments (including a counterpart of this Agreement or a joinder agreement in customary form), in form and substance reasonably satisfactory to the Board, as the Board reasonably deems necessary or desirable to effectuate such admission and to confirm the agreement of such Substituted Member or Additional Member to be bound by all the terms and provisions of this Agreement with respect to the Units acquired by such Substituted Member or Additional Member. The admission of a Substituted Member or Additional Member shall not require the consent of any Member (but shall require the consent of the Board,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1" w:name="page142"/>
    <w:bookmarkEnd w:id="141"/>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and to the extent such consent of the Board is expressly required by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As promptly as practicable after the admission of a Substituted Member or Additional Member, the Unit Ownership Ledger and other books and records of the Company shall be changed to reflect such admission.</w:t>
      </w:r>
    </w:p>
    <w:p>
      <w:pPr>
        <w:spacing w:after="0" w:line="187" w:lineRule="exact"/>
        <w:rPr>
          <w:sz w:val="20"/>
          <w:szCs w:val="20"/>
          <w:color w:val="auto"/>
        </w:rPr>
      </w:pPr>
    </w:p>
    <w:p>
      <w:pPr>
        <w:jc w:val="both"/>
        <w:ind w:firstLine="8"/>
        <w:spacing w:after="0" w:line="235" w:lineRule="auto"/>
        <w:tabs>
          <w:tab w:leader="none" w:pos="69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a further condition to any Transfer of all or any part of a Member’s Units, the Board may, in its discretion, require a written opinion of counsel to the transferring Member reasonably satisfactory to the Board, obtained at the sole expense of the transferring Member, reasonably satisfactory in form and substance to the Board, as to such matters as are customary and appropriate in transactions of this type, including, without limitation (or, in the case of any Transfer made to a Permitted Transferee, limited to an opinion) to the effect that such Transfer will not result in a violation of the registration or other requirements of the Securities Act or any other federal or state securities laws. No such opinion, however, shall be required in connection with a Transfer made pursuant to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b w:val="1"/>
          <w:bCs w:val="1"/>
          <w:u w:val="single" w:color="auto"/>
          <w:color w:val="auto"/>
        </w:rPr>
        <w:t>Expense of Transfer; Indemnification</w:t>
      </w:r>
      <w:r>
        <w:rPr>
          <w:rFonts w:ascii="Times New Roman" w:cs="Times New Roman" w:eastAsia="Times New Roman" w:hAnsi="Times New Roman"/>
          <w:sz w:val="22"/>
          <w:szCs w:val="22"/>
          <w:color w:val="auto"/>
        </w:rPr>
        <w:t>. All reasonable costs and expenses incurred by the Board and the Company in connection with any Transfer of a Member’s Units, including any filing and recording costs and the reasonable fees and disbursements of counsel for the Company, shall be paid by the transferring Member. In addition, the transferring Member hereby indemnifies the Board and the Company against any losses, claims, damages or liabilities to which the Board, the Company, or any of their Affiliates may become subject arising out of or based upon any false representation or warranty made by, or breach or failure to comply with any covenant or agreement of, such transferring Member or such transferee in connection with such Transfer.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IX REDEMPTION; EXCHANGE</w:t>
      </w:r>
    </w:p>
    <w:p>
      <w:pPr>
        <w:spacing w:after="0" w:line="19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9.1</w:t>
      </w:r>
      <w:r>
        <w:rPr>
          <w:sz w:val="20"/>
          <w:szCs w:val="20"/>
          <w:color w:val="auto"/>
        </w:rPr>
        <w:tab/>
      </w:r>
      <w:r>
        <w:rPr>
          <w:rFonts w:ascii="Times New Roman" w:cs="Times New Roman" w:eastAsia="Times New Roman" w:hAnsi="Times New Roman"/>
          <w:sz w:val="21"/>
          <w:szCs w:val="21"/>
          <w:b w:val="1"/>
          <w:bCs w:val="1"/>
          <w:u w:val="single" w:color="auto"/>
          <w:color w:val="auto"/>
        </w:rPr>
        <w:t>Redemption of Common Units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hanging="612"/>
        <w:spacing w:after="0"/>
        <w:tabs>
          <w:tab w:leader="none" w:pos="6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Elective Redemption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8"/>
        <w:spacing w:after="0" w:line="232" w:lineRule="auto"/>
        <w:tabs>
          <w:tab w:leader="none" w:pos="58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First Redemption Time, each Member (other than Vivid Seats and its Subsidiaries) shall be entitled, upon the terms and subject to the conditions hereof, to cause the Company to redeem its Redeemable Units in whole or in part, in each case, relating to a corresponding number of shares of Class B Common Stock after taking into account the Exchange Rate (in each case, free and clear of all Liens) of such Member, in exchange for the delivery to the Member (or its designee) of either, at the option of the Board, (x) a number of shares of Class A Common Stock that is equal to the product of the applicable Redeemed Unit Amount multiplied by the Exchange Rate or (y) solely in connection with a Redemption (including a Change of Control Redemption) that coincides with a substantially concurrent public offering or private sale of Class A Common Stock, the applicable Cash Payment. Any redemption of Redeemable Units for Class A Common Stock or the Cash Payment, as applicable, is defined herein as a “</w:t>
      </w:r>
      <w:r>
        <w:rPr>
          <w:rFonts w:ascii="Times New Roman" w:cs="Times New Roman" w:eastAsia="Times New Roman" w:hAnsi="Times New Roman"/>
          <w:sz w:val="22"/>
          <w:szCs w:val="22"/>
          <w:u w:val="single" w:color="auto"/>
          <w:color w:val="auto"/>
        </w:rPr>
        <w:t>Redemption.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9.1(a)(ii)</w:t>
      </w:r>
      <w:r>
        <w:rPr>
          <w:rFonts w:ascii="Times New Roman" w:cs="Times New Roman" w:eastAsia="Times New Roman" w:hAnsi="Times New Roman"/>
          <w:sz w:val="22"/>
          <w:szCs w:val="22"/>
          <w:color w:val="auto"/>
        </w:rPr>
        <w:t xml:space="preserve">, after the First Redemption Time, each Member (other than Vivid Seats and its Subsidiaries) may elect to cause the Company to redeem Redeemable Units at any time and from time to time in accordance with the terms of this Agreement, but a Unitholder may not cause a Redemption more than once per Fiscal Quarter without the prior consent of Vivid Seats. The minimum number of Redeemable Units (and corresponding number of shares of Class B Common Stock after taking into account the Exchange Rate, if any) that may be redeemed by any Member shall be the lesser of (1) 20,000 and (2) all of the Redeemable Units (and corresponding number of shares of Class B Common Stock taking into account the Exchange Rate, if any) then held by such Member and its Affiliates. Notwithstanding anything to the contrary herein, the Company shall not, nor shall Vivid Seats pursuant to </w:t>
      </w:r>
      <w:r>
        <w:rPr>
          <w:rFonts w:ascii="Times New Roman" w:cs="Times New Roman" w:eastAsia="Times New Roman" w:hAnsi="Times New Roman"/>
          <w:sz w:val="22"/>
          <w:szCs w:val="22"/>
          <w:u w:val="single" w:color="auto"/>
          <w:color w:val="auto"/>
        </w:rPr>
        <w:t>Section 9.1(f)</w:t>
      </w:r>
      <w:r>
        <w:rPr>
          <w:rFonts w:ascii="Times New Roman" w:cs="Times New Roman" w:eastAsia="Times New Roman" w:hAnsi="Times New Roman"/>
          <w:sz w:val="22"/>
          <w:szCs w:val="22"/>
          <w:color w:val="auto"/>
        </w:rPr>
        <w:t xml:space="preserve">, effectuate a Cash Payment pursuant to this </w:t>
      </w:r>
      <w:r>
        <w:rPr>
          <w:rFonts w:ascii="Times New Roman" w:cs="Times New Roman" w:eastAsia="Times New Roman" w:hAnsi="Times New Roman"/>
          <w:sz w:val="22"/>
          <w:szCs w:val="22"/>
          <w:u w:val="single" w:color="auto"/>
          <w:color w:val="auto"/>
        </w:rPr>
        <w:t>Section 9.1(a)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unless(A) Vivid Seats determines to consummate a private sale or public offering of Class A Common Stock on, or not later than five (5) Business Days after, the relevant Redemption Date and (B) Vivid Seats contributes sufficient proceeds from such private sale or public offering to the Company for payment by the Company of the applicable Cash Payment. For the avoidance of doubt, the Company shall have no obligation to make a Cash Payment that exceeds the cash contributed to the Company by Vivid Seats from Vivid Seats’ offering or sales of Class A Common Stock referenced earlier in this </w:t>
      </w:r>
      <w:r>
        <w:rPr>
          <w:rFonts w:ascii="Times New Roman" w:cs="Times New Roman" w:eastAsia="Times New Roman" w:hAnsi="Times New Roman"/>
          <w:sz w:val="22"/>
          <w:szCs w:val="22"/>
          <w:u w:val="single" w:color="auto"/>
          <w:color w:val="auto"/>
        </w:rPr>
        <w:t>Section 9.1(a)(i)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2" w:name="page143"/>
    <w:bookmarkEnd w:id="142"/>
    <w:p>
      <w:pPr>
        <w:jc w:val="both"/>
        <w:ind w:firstLine="8"/>
        <w:spacing w:after="0" w:line="235" w:lineRule="auto"/>
        <w:tabs>
          <w:tab w:leader="none" w:pos="75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the Company shall not, nor shall Vivid Seats pursuant to </w:t>
      </w:r>
      <w:r>
        <w:rPr>
          <w:rFonts w:ascii="Times New Roman" w:cs="Times New Roman" w:eastAsia="Times New Roman" w:hAnsi="Times New Roman"/>
          <w:sz w:val="22"/>
          <w:szCs w:val="22"/>
          <w:u w:val="single" w:color="auto"/>
          <w:color w:val="auto"/>
        </w:rPr>
        <w:t>Section 9.1(f)</w:t>
      </w:r>
      <w:r>
        <w:rPr>
          <w:rFonts w:ascii="Times New Roman" w:cs="Times New Roman" w:eastAsia="Times New Roman" w:hAnsi="Times New Roman"/>
          <w:sz w:val="22"/>
          <w:szCs w:val="22"/>
          <w:color w:val="auto"/>
        </w:rPr>
        <w:t xml:space="preserve">, be obligated to effectuate a Redemption of Redeemable Units as set forth in this </w:t>
      </w:r>
      <w:r>
        <w:rPr>
          <w:rFonts w:ascii="Times New Roman" w:cs="Times New Roman" w:eastAsia="Times New Roman" w:hAnsi="Times New Roman"/>
          <w:sz w:val="22"/>
          <w:szCs w:val="22"/>
          <w:u w:val="single" w:color="auto"/>
          <w:color w:val="auto"/>
        </w:rPr>
        <w:t>Section 9.1(a)</w:t>
      </w:r>
      <w:r>
        <w:rPr>
          <w:rFonts w:ascii="Times New Roman" w:cs="Times New Roman" w:eastAsia="Times New Roman" w:hAnsi="Times New Roman"/>
          <w:sz w:val="22"/>
          <w:szCs w:val="22"/>
          <w:color w:val="auto"/>
        </w:rPr>
        <w:t>,and the Company shall have the right to refuse to honor any request for such a Redemption, if at any time Vivid Seats or the Company determines based on the advice of counsel that such Redemption would be prohibited by law or regulation (including, without limitation, the unavailability of a registration of such Redemption under the Securities Act, or an exemption from the registration requirements thereof). Upon such determination, Vivid Seats or the Company (as applicable) shall notify the Member requesting such Redemption, which such notice shall include an explanation in reasonable detail as to the reason that the Redemption request has not been honored.</w:t>
      </w:r>
    </w:p>
    <w:p>
      <w:pPr>
        <w:spacing w:after="0" w:line="205" w:lineRule="exact"/>
        <w:rPr>
          <w:rFonts w:ascii="Times New Roman" w:cs="Times New Roman" w:eastAsia="Times New Roman" w:hAnsi="Times New Roman"/>
          <w:sz w:val="22"/>
          <w:szCs w:val="22"/>
          <w:color w:val="auto"/>
        </w:rPr>
      </w:pPr>
    </w:p>
    <w:p>
      <w:pPr>
        <w:jc w:val="both"/>
        <w:ind w:firstLine="8"/>
        <w:spacing w:after="0" w:line="256" w:lineRule="auto"/>
        <w:tabs>
          <w:tab w:leader="none" w:pos="69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Member shall exercise its right to cause the Company to effectuate a Redemption of Redeemable Units, as set forth in this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by delivering to the Company, with a contemporaneous copy delivered to Vivid Seats, during normal business hours, (A) a written election of redemption in respect of the Redeemable Units to be redeemed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 “</w:t>
      </w:r>
      <w:r>
        <w:rPr>
          <w:rFonts w:ascii="Times New Roman" w:cs="Times New Roman" w:eastAsia="Times New Roman" w:hAnsi="Times New Roman"/>
          <w:sz w:val="20"/>
          <w:szCs w:val="20"/>
          <w:u w:val="single" w:color="auto"/>
          <w:color w:val="auto"/>
        </w:rPr>
        <w:t>Redemption Notice</w:t>
      </w:r>
      <w:r>
        <w:rPr>
          <w:rFonts w:ascii="Times New Roman" w:cs="Times New Roman" w:eastAsia="Times New Roman" w:hAnsi="Times New Roman"/>
          <w:sz w:val="20"/>
          <w:szCs w:val="20"/>
          <w:color w:val="auto"/>
        </w:rPr>
        <w:t xml:space="preserve">”), duly executed by such Member; (B) any certificates in such Member’s possession representing such Redeemable Units, (C) any stock certificates in such Member’s possession representing the corresponding number of shares of Class B Common Stock to be retired in connection with such Redemption, in accordance with Section 4.04(b) of the Vivid Seats’ certificate of incorporation and (D) if Vivid Seats, the Company or any redeeming Subsidiary requires the delivery of the certification contemplated by </w:t>
      </w:r>
      <w:r>
        <w:rPr>
          <w:rFonts w:ascii="Times New Roman" w:cs="Times New Roman" w:eastAsia="Times New Roman" w:hAnsi="Times New Roman"/>
          <w:sz w:val="20"/>
          <w:szCs w:val="20"/>
          <w:u w:val="single" w:color="auto"/>
          <w:color w:val="auto"/>
        </w:rPr>
        <w:t>Section 9.4(b)</w:t>
      </w:r>
      <w:r>
        <w:rPr>
          <w:rFonts w:ascii="Times New Roman" w:cs="Times New Roman" w:eastAsia="Times New Roman" w:hAnsi="Times New Roman"/>
          <w:sz w:val="20"/>
          <w:szCs w:val="20"/>
          <w:color w:val="auto"/>
        </w:rPr>
        <w:t xml:space="preserve">, such certification or written notice from such Member that it is unable to provide such certification. Unless such Member timely has delivered a Retraction Notice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,a Redemption pursuant to this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shall be effected on the fifth (5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Business Day following the Business Day on which Vivid Seats and the Company have received the items specified in clauses (A)-(D) of the first sentence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9.1(a)(iii)</w:t>
      </w:r>
      <w:r>
        <w:rPr>
          <w:rFonts w:ascii="Times New Roman" w:cs="Times New Roman" w:eastAsia="Times New Roman" w:hAnsi="Times New Roman"/>
          <w:sz w:val="20"/>
          <w:szCs w:val="20"/>
          <w:color w:val="auto"/>
        </w:rPr>
        <w:t xml:space="preserve"> or such later date that is a Business Day specified in the Redemption Notice (such Business Day, the “</w:t>
      </w:r>
      <w:r>
        <w:rPr>
          <w:rFonts w:ascii="Times New Roman" w:cs="Times New Roman" w:eastAsia="Times New Roman" w:hAnsi="Times New Roman"/>
          <w:sz w:val="20"/>
          <w:szCs w:val="20"/>
          <w:u w:val="single" w:color="auto"/>
          <w:color w:val="auto"/>
        </w:rPr>
        <w:t>Redemption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Company may establish alternate exchange procedures as necessary in order to facilitate the establishment by such Member of a trading plan meeting the requirements of Rule 10b5-1 under the Exchange Act. On the Redemption Date, all rights of such Member as a holder of the Redeemable Units (and the corresponding number of shares of Class B Common Stock to be cancelled) that are subject to the Redemption shall cease, and unless the Company has elected Cash Payment, such Member (or its designee) shall be treated for all purposes as having become the record holder of the shares of Class A Common Stock to be received by such Member in respect of such Redemption.</w:t>
      </w: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jc w:val="both"/>
        <w:ind w:firstLine="8"/>
        <w:spacing w:after="0" w:line="239" w:lineRule="auto"/>
        <w:tabs>
          <w:tab w:leader="none" w:pos="70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two (2) Business Days following the Business Day on which Vivid Seats and the Company have received the Redemption Notice, the Company shall give written notice (the“</w:t>
      </w:r>
      <w:r>
        <w:rPr>
          <w:rFonts w:ascii="Times New Roman" w:cs="Times New Roman" w:eastAsia="Times New Roman" w:hAnsi="Times New Roman"/>
          <w:sz w:val="22"/>
          <w:szCs w:val="22"/>
          <w:u w:val="single" w:color="auto"/>
          <w:color w:val="auto"/>
        </w:rPr>
        <w:t>Contribution Notice</w:t>
      </w:r>
      <w:r>
        <w:rPr>
          <w:rFonts w:ascii="Times New Roman" w:cs="Times New Roman" w:eastAsia="Times New Roman" w:hAnsi="Times New Roman"/>
          <w:sz w:val="22"/>
          <w:szCs w:val="22"/>
          <w:color w:val="auto"/>
        </w:rPr>
        <w:t xml:space="preserve">”) to such Member of its intended settlement method;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Company does not timely deliver a Contribution Notice, the Company shall be deemed to have not elected the Cash Payment method.</w:t>
      </w:r>
    </w:p>
    <w:p>
      <w:pPr>
        <w:spacing w:after="0" w:line="207" w:lineRule="exact"/>
        <w:rPr>
          <w:rFonts w:ascii="Times New Roman" w:cs="Times New Roman" w:eastAsia="Times New Roman" w:hAnsi="Times New Roman"/>
          <w:sz w:val="22"/>
          <w:szCs w:val="22"/>
          <w:color w:val="auto"/>
        </w:rPr>
      </w:pPr>
    </w:p>
    <w:p>
      <w:pPr>
        <w:jc w:val="both"/>
        <w:ind w:firstLine="8"/>
        <w:spacing w:after="0" w:line="239" w:lineRule="auto"/>
        <w:tabs>
          <w:tab w:leader="none" w:pos="65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 may specify, in an applicable Redemption Notice, that the Redemption is to be contingent (including as to timing) upon the occurrence of any transaction or event, including the consummation of a purchase by another Person (whether in a tender or exchange offer, an underwritten offering, Change of Control transaction or otherwise) of shares of Class A Common Stock or any merger, consolidation or other business combination.</w:t>
      </w:r>
    </w:p>
    <w:p>
      <w:pPr>
        <w:spacing w:after="0" w:line="207" w:lineRule="exact"/>
        <w:rPr>
          <w:rFonts w:ascii="Times New Roman" w:cs="Times New Roman" w:eastAsia="Times New Roman" w:hAnsi="Times New Roman"/>
          <w:sz w:val="22"/>
          <w:szCs w:val="22"/>
          <w:color w:val="auto"/>
        </w:rPr>
      </w:pPr>
    </w:p>
    <w:p>
      <w:pPr>
        <w:jc w:val="both"/>
        <w:ind w:firstLine="8"/>
        <w:spacing w:after="0" w:line="249" w:lineRule="auto"/>
        <w:tabs>
          <w:tab w:leader="none" w:pos="622"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Member may withdraw or amend its Redemption Notice, in whole or in part, at any time prior to 5:00 p.m. New York, New York time, on the Business Day immediately prior to the Redemption Date by giving written notice (a “</w:t>
      </w:r>
      <w:r>
        <w:rPr>
          <w:rFonts w:ascii="Times New Roman" w:cs="Times New Roman" w:eastAsia="Times New Roman" w:hAnsi="Times New Roman"/>
          <w:sz w:val="21"/>
          <w:szCs w:val="21"/>
          <w:u w:val="single" w:color="auto"/>
          <w:color w:val="auto"/>
        </w:rPr>
        <w:t>Retraction Notice</w:t>
      </w:r>
      <w:r>
        <w:rPr>
          <w:rFonts w:ascii="Times New Roman" w:cs="Times New Roman" w:eastAsia="Times New Roman" w:hAnsi="Times New Roman"/>
          <w:sz w:val="21"/>
          <w:szCs w:val="21"/>
          <w:color w:val="auto"/>
        </w:rPr>
        <w:t xml:space="preserve">”) to the Company (with a copy to Vivid Seats) specifying (in each case, subject to the requirements set forth in </w:t>
      </w:r>
      <w:r>
        <w:rPr>
          <w:rFonts w:ascii="Times New Roman" w:cs="Times New Roman" w:eastAsia="Times New Roman" w:hAnsi="Times New Roman"/>
          <w:sz w:val="21"/>
          <w:szCs w:val="21"/>
          <w:u w:val="single" w:color="auto"/>
          <w:color w:val="auto"/>
        </w:rPr>
        <w:t>Section 9.1(a)((i))</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jc w:val="both"/>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the number of withdrawn Redeemable Units, (B) the number of Redeemable Units (and corresponding number of shares of Class B Common Stock after taking into account the Exchange Rate) as to which the Redemption Notice remains in effect, if any, and (C) if the Member so determines, a new Redemption Date or any other new or revised information permitted in the Redemption Notice.</w:t>
      </w:r>
    </w:p>
    <w:p>
      <w:pPr>
        <w:spacing w:after="0" w:line="204" w:lineRule="exact"/>
        <w:rPr>
          <w:sz w:val="20"/>
          <w:szCs w:val="20"/>
          <w:color w:val="auto"/>
        </w:rPr>
      </w:pPr>
    </w:p>
    <w:p>
      <w:pPr>
        <w:ind w:firstLine="8"/>
        <w:spacing w:after="0" w:line="258" w:lineRule="auto"/>
        <w:tabs>
          <w:tab w:leader="none" w:pos="61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In connection with a Change of Control, and subject to any approval of the Change of Control by the holders of Class A Common Stock and Class B Common Stock that may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3" w:name="page144"/>
    <w:bookmarkEnd w:id="143"/>
    <w:p>
      <w:pPr>
        <w:jc w:val="both"/>
        <w:ind w:firstLine="8"/>
        <w:spacing w:after="0" w:line="234" w:lineRule="auto"/>
        <w:tabs>
          <w:tab w:leader="none" w:pos="77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Vivid Seats shall have the right to require each Member (other than Vivid Seats and its Subsidiaries) to effectuate a Redemption by the Company of some or all of such Member’s Redeemable Units, relating to a corresponding number of shares of Class B Common Stock after taking into account the Exchange Rate (in each case, free and clear of all Liens) of such Member, in each case, in exchange for the delivery to such Member (or its designee) of a number of shares of Class A Common Stock that is equal to the product of the applicable Redeemed Unit Amount and the Exchange Rate (such Redemption, a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Redemption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Vivid Seats elects to require such Member to redeem less than all of its outstanding Redeemable Units (and the corresponding number of shares of Class B Common Stock after taking into account the Exchange Rate), such Member’s participation in the required Redemption shall be reduced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based on ownership of Redeemable Units. For the avoidance of doubt,any</w:t>
      </w:r>
    </w:p>
    <w:p>
      <w:pPr>
        <w:spacing w:after="0" w:line="2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 xml:space="preserve">Redeemable Units that are not redeemed pursuant to a Change of Control Redemption may be caused to be redeemed by the Member after the Change of Control transaction pursuant to </w:t>
      </w:r>
      <w:r>
        <w:rPr>
          <w:rFonts w:ascii="Times New Roman" w:cs="Times New Roman" w:eastAsia="Times New Roman" w:hAnsi="Times New Roman"/>
          <w:sz w:val="21"/>
          <w:szCs w:val="21"/>
          <w:u w:val="single" w:color="auto"/>
          <w:color w:val="auto"/>
        </w:rPr>
        <w:t>Section 9.1(a)</w:t>
      </w:r>
      <w:r>
        <w:rPr>
          <w:rFonts w:ascii="Times New Roman" w:cs="Times New Roman" w:eastAsia="Times New Roman" w:hAnsi="Times New Roman"/>
          <w:sz w:val="21"/>
          <w:szCs w:val="21"/>
          <w:color w:val="auto"/>
        </w:rPr>
        <w:t xml:space="preserve"> subject to and in accordance with the terms thereof.</w:t>
      </w:r>
    </w:p>
    <w:p>
      <w:pPr>
        <w:spacing w:after="0" w:line="135" w:lineRule="exact"/>
        <w:rPr>
          <w:sz w:val="20"/>
          <w:szCs w:val="20"/>
          <w:color w:val="auto"/>
        </w:rPr>
      </w:pPr>
    </w:p>
    <w:p>
      <w:pPr>
        <w:ind w:firstLine="8"/>
        <w:spacing w:after="0" w:line="258" w:lineRule="auto"/>
        <w:tabs>
          <w:tab w:leader="none" w:pos="62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election of Vivid Seats pursuant to this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shall be at the sole discretion of Vivid Seats upon the approval thereof by a majority of the Board of Directors of Vivid Seats.</w:t>
      </w:r>
    </w:p>
    <w:p>
      <w:pPr>
        <w:spacing w:after="0" w:line="185" w:lineRule="exact"/>
        <w:rPr>
          <w:rFonts w:ascii="Times New Roman" w:cs="Times New Roman" w:eastAsia="Times New Roman" w:hAnsi="Times New Roman"/>
          <w:sz w:val="22"/>
          <w:szCs w:val="22"/>
          <w:color w:val="auto"/>
        </w:rPr>
      </w:pPr>
    </w:p>
    <w:p>
      <w:pPr>
        <w:jc w:val="both"/>
        <w:ind w:firstLine="8"/>
        <w:spacing w:after="0" w:line="236" w:lineRule="auto"/>
        <w:tabs>
          <w:tab w:leader="none" w:pos="71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Redemption pursuant to this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shall be effective immediately prior to the consummation of the Change of Control (and, for the avoidance of doubt, shall not be effective if such Change of Control is not consummated) (the “</w:t>
      </w:r>
      <w:r>
        <w:rPr>
          <w:rFonts w:ascii="Times New Roman" w:cs="Times New Roman" w:eastAsia="Times New Roman" w:hAnsi="Times New Roman"/>
          <w:sz w:val="22"/>
          <w:szCs w:val="22"/>
          <w:u w:val="single" w:color="auto"/>
          <w:color w:val="auto"/>
        </w:rPr>
        <w:t>Change of Control Redemption Date</w:t>
      </w:r>
      <w:r>
        <w:rPr>
          <w:rFonts w:ascii="Times New Roman" w:cs="Times New Roman" w:eastAsia="Times New Roman" w:hAnsi="Times New Roman"/>
          <w:sz w:val="22"/>
          <w:szCs w:val="22"/>
          <w:color w:val="auto"/>
        </w:rPr>
        <w:t xml:space="preserve">”). From and after the Change of Control Redemption Date, such Member shall cease to have any rights with respect to the Redeemable Units (and the corresponding number of shares of Class B Common Stock to be cancelled) that are subject to the Redemption pursuant to this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(other than the right to receive shares of Class A Common Stock pursuant to </w:t>
      </w:r>
      <w:r>
        <w:rPr>
          <w:rFonts w:ascii="Times New Roman" w:cs="Times New Roman" w:eastAsia="Times New Roman" w:hAnsi="Times New Roman"/>
          <w:sz w:val="22"/>
          <w:szCs w:val="22"/>
          <w:u w:val="single" w:color="auto"/>
          <w:color w:val="auto"/>
        </w:rPr>
        <w:t>Section 9.1(b)(i)</w:t>
      </w:r>
      <w:r>
        <w:rPr>
          <w:rFonts w:ascii="Times New Roman" w:cs="Times New Roman" w:eastAsia="Times New Roman" w:hAnsi="Times New Roman"/>
          <w:sz w:val="22"/>
          <w:szCs w:val="22"/>
          <w:color w:val="auto"/>
        </w:rPr>
        <w:t xml:space="preserve">upon compliance with its obligations under </w:t>
      </w:r>
      <w:r>
        <w:rPr>
          <w:rFonts w:ascii="Times New Roman" w:cs="Times New Roman" w:eastAsia="Times New Roman" w:hAnsi="Times New Roman"/>
          <w:sz w:val="22"/>
          <w:szCs w:val="22"/>
          <w:u w:val="single" w:color="auto"/>
          <w:color w:val="auto"/>
        </w:rPr>
        <w:t>Section 9.1(c)</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8"/>
        <w:spacing w:after="0" w:line="244" w:lineRule="auto"/>
        <w:tabs>
          <w:tab w:leader="none" w:pos="59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Vivid Seats shall provide written notice of an expected Change of Control to each Member within the earlier of (x) five (5) Business Days following the execution of the agreement with respect to such Change of Control and (y) ten (10) Business Days before the proposed date upon which the contemplated Change of Control is to be effected, indicating in such notice such information as may reasonably describe the Change of Control transaction, subject to applicable law, including the date of execution of such agreement or such proposed effective date, as applicable, the amount and types of consideration to be paid for Redeemable Units and shares of Class B Common Stock or shares of Class A Common Stock, as applicable, in the Change of Control (which consideration shall be equivalent whether paid for Redeemable Units and shares of Class B Common Stock or shares of Class A Common Stock), any election with respect to types of consideration that a holder of Redeemable Units and shares of Class B Common Stock or shares of Class A Common Stock, as applicable, shall be entitled to make in connection with the Change of Control, the percentage of total Redeemable Units and shares of Class B Common Stock or shares of Class A Common Stock, as applicable, to be transferred to the acquirer by all shareholders in the Change of Control, and the number of Redeemable Units and shares of Class B Common Stock held by each Member that Vivid Seats intends to require to be redeemed for shares of Class A Common Stock in connection with the Change of Control. Vivid Seats shall update such notice from time to time to reflect any material changes to such notice. Vivid Seats may satisfy any such notice and update requirements described in the preceding two sentences by providing such information on a Form 8-K, Schedule TO, Schedule 14D-9, Preliminary Merger Proxy on Schedule 14A, Definitive Merger Proxy on Schedule 14A or similar form filed with the SEC.</w:t>
      </w:r>
    </w:p>
    <w:p>
      <w:pPr>
        <w:spacing w:after="0" w:line="203" w:lineRule="exact"/>
        <w:rPr>
          <w:sz w:val="20"/>
          <w:szCs w:val="20"/>
          <w:color w:val="auto"/>
        </w:rPr>
      </w:pPr>
    </w:p>
    <w:p>
      <w:pPr>
        <w:jc w:val="both"/>
        <w:ind w:firstLine="8"/>
        <w:spacing w:after="0" w:line="239" w:lineRule="auto"/>
        <w:tabs>
          <w:tab w:leader="none" w:pos="67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Redemption Procedure on Change of Control Redemption</w:t>
      </w:r>
      <w:r>
        <w:rPr>
          <w:rFonts w:ascii="Times New Roman" w:cs="Times New Roman" w:eastAsia="Times New Roman" w:hAnsi="Times New Roman"/>
          <w:sz w:val="22"/>
          <w:szCs w:val="22"/>
          <w:color w:val="auto"/>
        </w:rPr>
        <w:t>. On or prior to the Change of Control Redemption Date, each Member shall deliver to Vivid Seats and the Company, during normal business hours at the principal executive offices of Vivid Seats and the Company, respectively: (A) a Redemption Notice, duly executed by such Member, (B) any certificates in such Member possession representing the Redeemable Units being surrendered by such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4" w:name="page145"/>
    <w:bookmarkEnd w:id="144"/>
    <w:p>
      <w:pPr>
        <w:ind w:left="-8" w:right="180" w:firstLine="8"/>
        <w:spacing w:after="0" w:line="238" w:lineRule="auto"/>
        <w:tabs>
          <w:tab w:leader="none" w:pos="87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stock certificates in such Member’s possession representing the corresponding number of shares of Class B Common Stock to be retired in connection with such Redemption, in accordance with Section 4.04(b) of Vivid Seats’ certificate of incorporation and (D) if Vivid Seats, the Company or any redeeming Subsidiary requires the delivery of the certification contemplated by </w:t>
      </w:r>
      <w:r>
        <w:rPr>
          <w:rFonts w:ascii="Times New Roman" w:cs="Times New Roman" w:eastAsia="Times New Roman" w:hAnsi="Times New Roman"/>
          <w:sz w:val="22"/>
          <w:szCs w:val="22"/>
          <w:u w:val="single" w:color="auto"/>
          <w:color w:val="auto"/>
        </w:rPr>
        <w:t>Section 9.4(b)</w:t>
      </w:r>
      <w:r>
        <w:rPr>
          <w:rFonts w:ascii="Times New Roman" w:cs="Times New Roman" w:eastAsia="Times New Roman" w:hAnsi="Times New Roman"/>
          <w:sz w:val="22"/>
          <w:szCs w:val="22"/>
          <w:color w:val="auto"/>
        </w:rPr>
        <w:t>, such certification or written notice from such Member that it is unable to provide such certification.</w:t>
      </w:r>
    </w:p>
    <w:p>
      <w:pPr>
        <w:spacing w:after="0" w:line="204" w:lineRule="exact"/>
        <w:rPr>
          <w:sz w:val="20"/>
          <w:szCs w:val="20"/>
          <w:color w:val="auto"/>
        </w:rPr>
      </w:pPr>
    </w:p>
    <w:p>
      <w:pPr>
        <w:jc w:val="both"/>
        <w:ind w:left="-8" w:firstLine="8"/>
        <w:spacing w:after="0" w:line="244" w:lineRule="auto"/>
        <w:tabs>
          <w:tab w:leader="none" w:pos="622"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Redemption Consideration</w:t>
      </w:r>
      <w:r>
        <w:rPr>
          <w:rFonts w:ascii="Times New Roman" w:cs="Times New Roman" w:eastAsia="Times New Roman" w:hAnsi="Times New Roman"/>
          <w:sz w:val="21"/>
          <w:szCs w:val="21"/>
          <w:color w:val="auto"/>
        </w:rPr>
        <w:t xml:space="preserve">. As promptly as practicable on or after the Redemption Date or Change of Control Redemption Date, as applicable, provided the Member has satisfied its obligations under </w:t>
      </w:r>
      <w:r>
        <w:rPr>
          <w:rFonts w:ascii="Times New Roman" w:cs="Times New Roman" w:eastAsia="Times New Roman" w:hAnsi="Times New Roman"/>
          <w:sz w:val="21"/>
          <w:szCs w:val="21"/>
          <w:u w:val="single" w:color="auto"/>
          <w:color w:val="auto"/>
        </w:rPr>
        <w:t>Section 9.1(a)(iii)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9.1(c)</w:t>
      </w:r>
      <w:r>
        <w:rPr>
          <w:rFonts w:ascii="Times New Roman" w:cs="Times New Roman" w:eastAsia="Times New Roman" w:hAnsi="Times New Roman"/>
          <w:sz w:val="21"/>
          <w:szCs w:val="21"/>
          <w:color w:val="auto"/>
        </w:rPr>
        <w:t xml:space="preserve">, as applicable, the Company or Vivid Seats shall deliver or cause to be delivered to such Member (or its designee), either certificates or evidence of book-entry shares representing the number of shares of Class A Common Stock deliverable upon the applicable Redemption, registered in the name of such Member (or its designee) or, if the Company has so elected, the Cash Payment. Notwithstanding anything set forth in this </w:t>
      </w:r>
      <w:r>
        <w:rPr>
          <w:rFonts w:ascii="Times New Roman" w:cs="Times New Roman" w:eastAsia="Times New Roman" w:hAnsi="Times New Roman"/>
          <w:sz w:val="21"/>
          <w:szCs w:val="21"/>
          <w:u w:val="single" w:color="auto"/>
          <w:color w:val="auto"/>
        </w:rPr>
        <w:t>Section 9.1(d)</w:t>
      </w:r>
      <w:r>
        <w:rPr>
          <w:rFonts w:ascii="Times New Roman" w:cs="Times New Roman" w:eastAsia="Times New Roman" w:hAnsi="Times New Roman"/>
          <w:sz w:val="21"/>
          <w:szCs w:val="21"/>
          <w:color w:val="auto"/>
        </w:rPr>
        <w:t xml:space="preserve"> to the contrary, to the extent the Class A Common Stock issued in the Redemption will be settled through the facilities of The Depository Trust Company, the Company or Vivid Seats will, upon the written instruction of such Member, deliver the shares of Class A Common Stock deliverable to such Member through the facilities of The Depository Trust Company to the account of the participant of The Depository Trust Company designated by such Member in the Exchange Election Notice. Upon the Member exercising its Redemption right in accordance with </w:t>
      </w:r>
      <w:r>
        <w:rPr>
          <w:rFonts w:ascii="Times New Roman" w:cs="Times New Roman" w:eastAsia="Times New Roman" w:hAnsi="Times New Roman"/>
          <w:sz w:val="21"/>
          <w:szCs w:val="21"/>
          <w:u w:val="single" w:color="auto"/>
          <w:color w:val="auto"/>
        </w:rPr>
        <w:t>Section 9.1(a)(i)</w:t>
      </w:r>
      <w:r>
        <w:rPr>
          <w:rFonts w:ascii="Times New Roman" w:cs="Times New Roman" w:eastAsia="Times New Roman" w:hAnsi="Times New Roman"/>
          <w:sz w:val="21"/>
          <w:szCs w:val="21"/>
          <w:color w:val="auto"/>
        </w:rPr>
        <w:t xml:space="preserve">or the occurrence of a Change of Control Redemption, the Company or Vivid Seats shall take such actions as (A)may be required to ensure that the Member receives the shares of Class A Common Stock or the Cash Payment that such member is entitled to receive in connection with such Redemption pursuant to this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,and (B) may be reasonably within its control that would cause such Redemption to be treated for purposes of the Tax Receivable Agreement as an “</w:t>
      </w:r>
      <w:r>
        <w:rPr>
          <w:rFonts w:ascii="Times New Roman" w:cs="Times New Roman" w:eastAsia="Times New Roman" w:hAnsi="Times New Roman"/>
          <w:sz w:val="21"/>
          <w:szCs w:val="21"/>
          <w:u w:val="single" w:color="auto"/>
          <w:color w:val="auto"/>
        </w:rPr>
        <w:t>Exchange</w:t>
      </w:r>
      <w:r>
        <w:rPr>
          <w:rFonts w:ascii="Times New Roman" w:cs="Times New Roman" w:eastAsia="Times New Roman" w:hAnsi="Times New Roman"/>
          <w:sz w:val="21"/>
          <w:szCs w:val="21"/>
          <w:color w:val="auto"/>
        </w:rPr>
        <w:t>” under the Tax Receivable Agreement.</w:t>
      </w:r>
    </w:p>
    <w:p>
      <w:pPr>
        <w:spacing w:after="0" w:line="180" w:lineRule="exact"/>
        <w:rPr>
          <w:rFonts w:ascii="Times New Roman" w:cs="Times New Roman" w:eastAsia="Times New Roman" w:hAnsi="Times New Roman"/>
          <w:sz w:val="21"/>
          <w:szCs w:val="21"/>
          <w:color w:val="auto"/>
        </w:rPr>
      </w:pPr>
    </w:p>
    <w:p>
      <w:pPr>
        <w:jc w:val="both"/>
        <w:ind w:left="-8" w:firstLine="8"/>
        <w:spacing w:after="0" w:line="234" w:lineRule="auto"/>
        <w:tabs>
          <w:tab w:leader="none" w:pos="74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 by Vivid Seats</w:t>
      </w:r>
      <w:r>
        <w:rPr>
          <w:rFonts w:ascii="Times New Roman" w:cs="Times New Roman" w:eastAsia="Times New Roman" w:hAnsi="Times New Roman"/>
          <w:sz w:val="22"/>
          <w:szCs w:val="22"/>
          <w:color w:val="auto"/>
        </w:rPr>
        <w:t xml:space="preserve">. In connection with any Redemption by the Company, Vivid Seats shall contribute to the Company the shares of Class A Common Stock or Cash Payment that the Member is entitled to receive in such Redemption. Unless such Member has timely delivered a Retraction Notice as provided in </w:t>
      </w:r>
      <w:r>
        <w:rPr>
          <w:rFonts w:ascii="Times New Roman" w:cs="Times New Roman" w:eastAsia="Times New Roman" w:hAnsi="Times New Roman"/>
          <w:sz w:val="22"/>
          <w:szCs w:val="22"/>
          <w:u w:val="single" w:color="auto"/>
          <w:color w:val="auto"/>
        </w:rPr>
        <w:t>Section 9.1(a)(vi)</w:t>
      </w:r>
      <w:r>
        <w:rPr>
          <w:rFonts w:ascii="Times New Roman" w:cs="Times New Roman" w:eastAsia="Times New Roman" w:hAnsi="Times New Roman"/>
          <w:sz w:val="22"/>
          <w:szCs w:val="22"/>
          <w:color w:val="auto"/>
        </w:rPr>
        <w:t xml:space="preserve">,on the Redemption Date (to be effective immediately prior to the close of business on the Redemption Date) (i) Vivid Seats shall make a capital contribution to the Company (in the form of the shares of Class A Common Stock or the Cash Payment that such Member is entitled to receive in such Redemption) required under this </w:t>
      </w:r>
      <w:r>
        <w:rPr>
          <w:rFonts w:ascii="Times New Roman" w:cs="Times New Roman" w:eastAsia="Times New Roman" w:hAnsi="Times New Roman"/>
          <w:sz w:val="22"/>
          <w:szCs w:val="22"/>
          <w:u w:val="single" w:color="auto"/>
          <w:color w:val="auto"/>
        </w:rPr>
        <w:t>Section 9.1(e)</w:t>
      </w:r>
      <w:r>
        <w:rPr>
          <w:rFonts w:ascii="Times New Roman" w:cs="Times New Roman" w:eastAsia="Times New Roman" w:hAnsi="Times New Roman"/>
          <w:sz w:val="22"/>
          <w:szCs w:val="22"/>
          <w:color w:val="auto"/>
        </w:rPr>
        <w:t>, (ii) the Company shall transfer such shares of Class A Common Stock or Cash Payment to such Member in redemption of such Member’s Units in the Company, and (iii) in the case of a Redemption for Class A Common Stock and/or the Cash Payment (as applicable), the Company shall issue to Vivid Seats a number of Common Units equal to the Redeemed Unit Amount surrendered by such Member.</w:t>
      </w:r>
    </w:p>
    <w:p>
      <w:pPr>
        <w:spacing w:after="0" w:line="210" w:lineRule="exact"/>
        <w:rPr>
          <w:rFonts w:ascii="Times New Roman" w:cs="Times New Roman" w:eastAsia="Times New Roman" w:hAnsi="Times New Roman"/>
          <w:sz w:val="22"/>
          <w:szCs w:val="22"/>
          <w:color w:val="auto"/>
        </w:rPr>
      </w:pPr>
    </w:p>
    <w:p>
      <w:pPr>
        <w:ind w:left="-8" w:right="40" w:firstLine="8"/>
        <w:spacing w:after="0" w:line="244" w:lineRule="auto"/>
        <w:tabs>
          <w:tab w:leader="none" w:pos="64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Direct Exchange Right of Vivid Seats</w:t>
      </w:r>
      <w:r>
        <w:rPr>
          <w:rFonts w:ascii="Times New Roman" w:cs="Times New Roman" w:eastAsia="Times New Roman" w:hAnsi="Times New Roman"/>
          <w:sz w:val="21"/>
          <w:szCs w:val="21"/>
          <w:color w:val="auto"/>
        </w:rPr>
        <w:t>. Notwithstanding anything herein to the contrary, Vivid Seats may, in its sole discretion, elect to effect, on the Redemption Date, the exchange of Redeemable Units for Class A Common Stock and/or the Cash Payment (as applicable) through a direct exchange of such Redeemable Units for Class A Common Stock and/or the Cash Payment (as applicable) between the Member, on the one hand, and Vivid Seats (and/or,if designated by Vivid Seats, one or more of its Subsidiaries), on the other hand (a “</w:t>
      </w:r>
      <w:r>
        <w:rPr>
          <w:rFonts w:ascii="Times New Roman" w:cs="Times New Roman" w:eastAsia="Times New Roman" w:hAnsi="Times New Roman"/>
          <w:sz w:val="21"/>
          <w:szCs w:val="21"/>
          <w:u w:val="single" w:color="auto"/>
          <w:color w:val="auto"/>
        </w:rPr>
        <w:t>Direct Exchange</w:t>
      </w:r>
      <w:r>
        <w:rPr>
          <w:rFonts w:ascii="Times New Roman" w:cs="Times New Roman" w:eastAsia="Times New Roman" w:hAnsi="Times New Roman"/>
          <w:sz w:val="21"/>
          <w:szCs w:val="21"/>
          <w:color w:val="auto"/>
        </w:rPr>
        <w:t xml:space="preserve">”) (rather than contributing the Class A Common Stock and/or the Cash Payment (as applicable) to the Company for purposes of the Company redeeming the Redeemable Units in accordance with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The applicable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shall apply to such Direct Exchange,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with Vivid Seats (and/or one or more of its Subsidiaries) directly acquiring the Redeemable Units, in lieu of the Company, and otherwise discharging the obligations of the Company with respect to delivery of Class A Common Stock and/or the Cash Payment (as applicable) to which the Member is entitled. Vivid Seats may, at any time prior to a Redemption Date (including after delivery of an Election Notice), deliver written notice (an“</w:t>
      </w:r>
      <w:r>
        <w:rPr>
          <w:rFonts w:ascii="Times New Roman" w:cs="Times New Roman" w:eastAsia="Times New Roman" w:hAnsi="Times New Roman"/>
          <w:sz w:val="21"/>
          <w:szCs w:val="21"/>
          <w:u w:val="single" w:color="auto"/>
          <w:color w:val="auto"/>
        </w:rPr>
        <w:t>Exchange Election Notice</w:t>
      </w:r>
      <w:r>
        <w:rPr>
          <w:rFonts w:ascii="Times New Roman" w:cs="Times New Roman" w:eastAsia="Times New Roman" w:hAnsi="Times New Roman"/>
          <w:sz w:val="21"/>
          <w:szCs w:val="21"/>
          <w:color w:val="auto"/>
        </w:rPr>
        <w:t xml:space="preserve">”) to the Company and the redeeming Member setting forth its election to exercise its right to consummate a Direct Exchange;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election is subject to the limitations set forth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does not unreasonably prejudice the ability of the parties to consummate a Redemption or Direct Exchange on the Redemption Date. An Exchange Election Notice may be revoked by Vivid Seats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145" w:name="page146"/>
    <w:bookmarkEnd w:id="145"/>
    <w:p>
      <w:pPr>
        <w:ind w:right="120"/>
        <w:spacing w:after="0" w:line="246"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such revocation does not unreasonably prejudice the ability of the parties to consummate a Redemption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 Exchange on the Redemption Date. The right to consummate a Direct Exchange in all events shall be exercisable only for all (and not less than all) of the Redeemable Units that would have otherwise been subject to a Redemption.</w:t>
      </w:r>
    </w:p>
    <w:p>
      <w:pPr>
        <w:spacing w:after="0" w:line="199" w:lineRule="exact"/>
        <w:rPr>
          <w:sz w:val="20"/>
          <w:szCs w:val="20"/>
          <w:color w:val="auto"/>
        </w:rPr>
      </w:pPr>
    </w:p>
    <w:p>
      <w:pPr>
        <w:ind w:left="640" w:hanging="632"/>
        <w:spacing w:after="0"/>
        <w:tabs>
          <w:tab w:leader="none" w:pos="6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
        <w:spacing w:after="0" w:line="244" w:lineRule="auto"/>
        <w:tabs>
          <w:tab w:leader="none" w:pos="59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Class A Common Stock issued upon a Redemption or Direct Exchange, other than any such shares issued in a Redemption or Direct Exchange subject to an effective registration statement under the Securities Act, shall bear a legend in substantially the following form:</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TRANSFER OF THESE SECURITIES HAS NOT BEEN REGISTERED UNDER THE SECURITIES ACT OF 1933, AS AMENDED, OR UNDER THE SECURITIES LAWS OF ANY OTHER JURISDICTION, AND MAY NOT BE SOLD OR TRANSFERRED OTHER THAN IN ACCORDANCE WITH THE REGISTRATION REQUIREMENTS OF THE SECURITIES ACT OF 1933, AS AMENDED (OR OTHER APPLICABLE LAW), OR AN EXEMPTION THEREFROM.</w:t>
      </w:r>
    </w:p>
    <w:p>
      <w:pPr>
        <w:spacing w:after="0" w:line="207" w:lineRule="exact"/>
        <w:rPr>
          <w:sz w:val="20"/>
          <w:szCs w:val="20"/>
          <w:color w:val="auto"/>
        </w:rPr>
      </w:pPr>
    </w:p>
    <w:p>
      <w:pPr>
        <w:jc w:val="both"/>
        <w:ind w:firstLine="8"/>
        <w:spacing w:after="0" w:line="235" w:lineRule="auto"/>
        <w:tabs>
          <w:tab w:leader="none" w:pos="7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any shares of Class A Common Stock have been sold pursuant to a registration statement that has been declared effective by the SEC, (B) all of the applicable conditions of Rule 144 are met, or (C) the legend (or a portion thereof) otherwise ceases to be applicable, Vivid Seats, upon the written request of the holder thereof, shall promptly provide such holder or its respective transferees with new certificates (or evidence of book- entry share) for securities of like tenor not bearing the provisions of the legend with respect to which the restriction has terminated. In connection therewith, such holder shall provide Vivid Seats with such information in its possession as Vivid Seats may reasonably request(which may include an opinion of counsel reasonably acceptable to Vivid Seats) in connection with the removal of any such legend.</w:t>
      </w:r>
    </w:p>
    <w:p>
      <w:pPr>
        <w:spacing w:after="0" w:line="210" w:lineRule="exact"/>
        <w:rPr>
          <w:sz w:val="20"/>
          <w:szCs w:val="20"/>
          <w:color w:val="auto"/>
        </w:rPr>
      </w:pPr>
    </w:p>
    <w:p>
      <w:pPr>
        <w:ind w:right="60" w:firstLine="8"/>
        <w:spacing w:after="0" w:line="244" w:lineRule="auto"/>
        <w:tabs>
          <w:tab w:leader="none" w:pos="57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of Class B Common Stock</w:t>
      </w:r>
      <w:r>
        <w:rPr>
          <w:rFonts w:ascii="Times New Roman" w:cs="Times New Roman" w:eastAsia="Times New Roman" w:hAnsi="Times New Roman"/>
          <w:sz w:val="22"/>
          <w:szCs w:val="22"/>
          <w:color w:val="auto"/>
        </w:rPr>
        <w:t>. Any shares of Class B Common Stock surrendered in a Redemption or Direct Exchange shall automatically be deemed cancelled without any action on the part of any Person, including Vivid Seats. Any such cancelled shares of Class B</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 shall no longer be outstanding, and all rights with respect to such shares shall automatically cease and terminate.</w:t>
      </w:r>
    </w:p>
    <w:p>
      <w:pPr>
        <w:spacing w:after="0" w:line="245" w:lineRule="exact"/>
        <w:rPr>
          <w:sz w:val="20"/>
          <w:szCs w:val="20"/>
          <w:color w:val="auto"/>
        </w:rPr>
      </w:pPr>
    </w:p>
    <w:p>
      <w:pPr>
        <w:ind w:right="100" w:firstLine="8"/>
        <w:spacing w:after="0" w:line="233" w:lineRule="auto"/>
        <w:tabs>
          <w:tab w:leader="none" w:pos="58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Except as otherwise agreed, Vivid Seats, the Company, any exchanging Subsidiary and the redeeming Member shall bear their own expenses in connection with the consummation of any Redemption or Direct Exchange, whether or not any such Redemption or Direct Exchange is ultimately consummated, except that Vivid Seats shall bear any transfer taxes, stamp taxes or duties, or other similar taxes in connection with, or arising by reason of, any Redemption or Direct Exchange;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shares of Class A Common Stock are to be delivered in a name other than that of the Member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Depository Trust Company or its nominee for the account of a participant of The Depository Trust Company that will hold the shares for the account of such Member) or the Cash Payment is to be paid to a Person other than the Member, then such Member or the Person in whose name such shares are to be delivered or to whom the Cash Payment is to be paid shall pay to Vivid Seats the amount of any transfer taxes, stamp taxes or duties, or other similar taxes in connection with, or arising by reason of, such Redemption or Direct Exchange or shall establish to the reasonable satisfaction of Vivid Seats that such tax has been paid or is not payable.</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Section 9.2 </w:t>
      </w:r>
      <w:r>
        <w:rPr>
          <w:rFonts w:ascii="Times New Roman" w:cs="Times New Roman" w:eastAsia="Times New Roman" w:hAnsi="Times New Roman"/>
          <w:sz w:val="21"/>
          <w:szCs w:val="21"/>
          <w:b w:val="1"/>
          <w:bCs w:val="1"/>
          <w:u w:val="single" w:color="auto"/>
          <w:color w:val="auto"/>
        </w:rPr>
        <w:t>Adjustments</w:t>
      </w:r>
      <w:r>
        <w:rPr>
          <w:rFonts w:ascii="Times New Roman" w:cs="Times New Roman" w:eastAsia="Times New Roman" w:hAnsi="Times New Roman"/>
          <w:sz w:val="21"/>
          <w:szCs w:val="21"/>
          <w:color w:val="auto"/>
        </w:rPr>
        <w:t>. The Exchange Rate shall be adjusted accordingly if there is: (a) any subdivision (by any stock or unit split, stock or unit dividend or distribution, reclassification, reorganization, recapitalization or otherwise) or combination (by reverse stock or unit split, reclassification, reorganization, recapitalization or otherwise) of the shares of Class B Common Stock or Common Units that is not accompanied by a substantively identical subdivision or combination of Class A Common Stock; or</w:t>
      </w:r>
    </w:p>
    <w:p>
      <w:pPr>
        <w:spacing w:after="0" w:line="2" w:lineRule="exact"/>
        <w:rPr>
          <w:sz w:val="20"/>
          <w:szCs w:val="20"/>
          <w:color w:val="auto"/>
        </w:rPr>
      </w:pPr>
    </w:p>
    <w:p>
      <w:pPr>
        <w:ind w:firstLine="8"/>
        <w:spacing w:after="0" w:line="237" w:lineRule="auto"/>
        <w:tabs>
          <w:tab w:leader="none" w:pos="3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subdivision (by any stock or unit split, stock or unit dividend or distribution, reclassification, reorganization, recapitalization or otherwise)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6" w:name="page147"/>
    <w:bookmarkEnd w:id="146"/>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combination (by reverse stock or unit split, reclassification, reorganization, recapitalization or otherwise) of the shares of Class A Common Stock that is not accompanied by a substantively identical subdivision or combination of the shares of Class B Common Stock or Common Units. To the extent not reflected in an adjustment to the Exchange Rate, if there is any reclassification, reorganization, recapitalization or other similar transaction in which the Class A Common Stock is converted or changed or exchanged into or for another security, securities or other property, then upon any subsequent Redemption, the Member shall be entitled to receive the amount of such security, securities or other property that such Member would have received if such Redemption had occurred immediately prior to the effective date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For the avoidance of doubt, if there is any reclassification, reorganization, recapitalization or other similar transaction in which the Class A Common Stock is converted or changed or exchanged into or for another security, securities or other property,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shall continue to be applicable,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with respect to such security or other property.</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9.3</w:t>
      </w:r>
      <w:r>
        <w:rPr>
          <w:sz w:val="20"/>
          <w:szCs w:val="20"/>
          <w:color w:val="auto"/>
        </w:rPr>
        <w:tab/>
      </w:r>
      <w:r>
        <w:rPr>
          <w:rFonts w:ascii="Times New Roman" w:cs="Times New Roman" w:eastAsia="Times New Roman" w:hAnsi="Times New Roman"/>
          <w:sz w:val="21"/>
          <w:szCs w:val="21"/>
          <w:b w:val="1"/>
          <w:bCs w:val="1"/>
          <w:u w:val="single" w:color="auto"/>
          <w:color w:val="auto"/>
        </w:rPr>
        <w:t>Class A Common Stock to be Issued</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8"/>
        <w:spacing w:after="0" w:line="236" w:lineRule="auto"/>
        <w:tabs>
          <w:tab w:leader="none" w:pos="65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Vivid Seats shall at all times reserve and keep available out of its authorized but unissued Class A Common Stock, solely for the purpose of issuance upon a Redemption or Direct Exchange, such number of shares of Class A Common Stock as shall be sufficient to effect the conversion of all outstanding Common Units;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nothing contained herein shall be construed to preclude Vivid Seats from satisfying its obligations in respect of any such Redemption or Direct Exchange by delivery of unencumbered purchased shares of Class A Common Stock (which may or may not be held in the treasury of Vivid Seats or any subsidiary thereof).</w:t>
      </w:r>
    </w:p>
    <w:p>
      <w:pPr>
        <w:spacing w:after="0" w:line="208" w:lineRule="exact"/>
        <w:rPr>
          <w:rFonts w:ascii="Times New Roman" w:cs="Times New Roman" w:eastAsia="Times New Roman" w:hAnsi="Times New Roman"/>
          <w:sz w:val="22"/>
          <w:szCs w:val="22"/>
          <w:color w:val="auto"/>
        </w:rPr>
      </w:pPr>
    </w:p>
    <w:p>
      <w:pPr>
        <w:jc w:val="both"/>
        <w:ind w:firstLine="8"/>
        <w:spacing w:after="0" w:line="246" w:lineRule="auto"/>
        <w:tabs>
          <w:tab w:leader="none" w:pos="57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Vivid Seats has taken and will take all such steps as may be required to cause to qualify for exemption under Rule 16b-3(d) or (e), as applicable, under the Exchange Act, and be exempt for purposes of Section 16(b) under the Exchange Act, any acquisitions or dispositions of equity securities of Vivid Seats (including derivative securities with respect thereto) and any securities that may be deemed to be equity securities or derivative securities of Vivid Seats for such purposes that result from the transactions contemplated by this Agreement, by each director or officer of Vivid Seats (including directors-by-deputization) who may reasonably be expected to be subject to the reporting requirements of Section 16(a) of the Exchange Act with respect to Vivid Seats upon the registration of any class of equity security of Vivid Seats pursuant to Section 12 of the Exchange Act (with the authorizing resolutions specifying the name of each such officer or director whose acquisition or disposition of securities is to be exempted and the number of securities that may be acquired and disposed of by each such Person pursuant to this Agreement).</w:t>
      </w:r>
    </w:p>
    <w:p>
      <w:pPr>
        <w:spacing w:after="0" w:line="202" w:lineRule="exact"/>
        <w:rPr>
          <w:rFonts w:ascii="Times New Roman" w:cs="Times New Roman" w:eastAsia="Times New Roman" w:hAnsi="Times New Roman"/>
          <w:sz w:val="21"/>
          <w:szCs w:val="21"/>
          <w:color w:val="auto"/>
        </w:rPr>
      </w:pPr>
    </w:p>
    <w:p>
      <w:pPr>
        <w:jc w:val="both"/>
        <w:ind w:firstLine="8"/>
        <w:spacing w:after="0" w:line="244" w:lineRule="auto"/>
        <w:tabs>
          <w:tab w:leader="none" w:pos="67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Takeover Law or other similar law or regulation becomes or is deemed to become applicable to this Agreement or any of the transactions contemplated hereby, Vivid Seats shall use its reasonable best efforts to render such law or regulation inapplicable to all of the foregoing.</w:t>
      </w:r>
    </w:p>
    <w:p>
      <w:pPr>
        <w:spacing w:after="0" w:line="186" w:lineRule="exact"/>
        <w:rPr>
          <w:rFonts w:ascii="Times New Roman" w:cs="Times New Roman" w:eastAsia="Times New Roman" w:hAnsi="Times New Roman"/>
          <w:sz w:val="22"/>
          <w:szCs w:val="22"/>
          <w:color w:val="auto"/>
        </w:rPr>
      </w:pPr>
    </w:p>
    <w:p>
      <w:pPr>
        <w:jc w:val="both"/>
        <w:ind w:firstLine="8"/>
        <w:spacing w:after="0" w:line="239" w:lineRule="auto"/>
        <w:tabs>
          <w:tab w:leader="none" w:pos="60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Vivid Seats covenants that all shares of Class A Common Stock issued upon a Redemption or Direct Exchange will, upon issuance, be validly issued, fully paid and non-assessable and not subject to any preemptive, participation or similar right of stockholders to subscribe for or acquire equity interests of Vivid Seats or to any right of first refusal or other right in favor of any Person.</w:t>
      </w:r>
    </w:p>
    <w:p>
      <w:pPr>
        <w:spacing w:after="0" w:line="20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Section 9.4</w:t>
      </w:r>
      <w:r>
        <w:rPr>
          <w:sz w:val="20"/>
          <w:szCs w:val="20"/>
          <w:color w:val="auto"/>
        </w:rPr>
        <w:tab/>
      </w:r>
      <w:r>
        <w:rPr>
          <w:rFonts w:ascii="Times New Roman" w:cs="Times New Roman" w:eastAsia="Times New Roman" w:hAnsi="Times New Roman"/>
          <w:sz w:val="21"/>
          <w:szCs w:val="21"/>
          <w:b w:val="1"/>
          <w:bCs w:val="1"/>
          <w:u w:val="single" w:color="auto"/>
          <w:color w:val="auto"/>
        </w:rPr>
        <w:t>Withholding; Certification of Non-Foreign Status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260" w:firstLine="8"/>
        <w:spacing w:after="0" w:line="244" w:lineRule="auto"/>
        <w:tabs>
          <w:tab w:leader="none" w:pos="61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Vivid Seats or the Company shall be required to withhold any amounts by reason of any U.S. federal, state, local or foreign tax rules or regulations in respect of any Redemption or Direct Exchange, Vivid Seats or the Company, as the case may be, shall be entitled to take such action as it deems appropriate in order to ensure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7" w:name="page148"/>
    <w:bookmarkEnd w:id="147"/>
    <w:p>
      <w:pPr>
        <w:ind w:right="240"/>
        <w:spacing w:after="0" w:line="238" w:lineRule="auto"/>
        <w:rPr>
          <w:sz w:val="20"/>
          <w:szCs w:val="20"/>
          <w:color w:val="auto"/>
        </w:rPr>
      </w:pPr>
      <w:r>
        <w:rPr>
          <w:rFonts w:ascii="Times New Roman" w:cs="Times New Roman" w:eastAsia="Times New Roman" w:hAnsi="Times New Roman"/>
          <w:sz w:val="22"/>
          <w:szCs w:val="22"/>
          <w:color w:val="auto"/>
        </w:rPr>
        <w:t>compliance with such withholding requirements, including, at its option, withholding shares of Class A Common Stock with a fair market value equal to the minimum amount of any taxes that Vivid Seats or the Company, as the case may be, may be required to withhold with respect to such Redemption or Direct Exchange. To the extent that amounts are (or property is) so withheld and paid over to the appropriate taxing authority, such withheld amounts (or property) shall be treated for all purposes of this Agreement as having been paid (or delivered) to the Member.</w:t>
      </w:r>
    </w:p>
    <w:p>
      <w:pPr>
        <w:spacing w:after="0" w:line="204" w:lineRule="exact"/>
        <w:rPr>
          <w:sz w:val="20"/>
          <w:szCs w:val="20"/>
          <w:color w:val="auto"/>
        </w:rPr>
      </w:pPr>
    </w:p>
    <w:p>
      <w:pPr>
        <w:jc w:val="both"/>
        <w:ind w:firstLine="8"/>
        <w:spacing w:after="0" w:line="236" w:lineRule="auto"/>
        <w:tabs>
          <w:tab w:leader="none" w:pos="58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each of Vivid Seats and the Company may, in its discretion, require that a Member deliver to Vivid Seats or the Company, as the case may be, a duly completed and executed IRS Form W-9) (or other withholding form or certification) prior to a Redemption or Direct Exchange. In the event Vivid Seats or the Company has required delivery of such form or certification but such Member does not provide such form or certification, Vivid Seats or the Company, as the case may be, shall nevertheless deliver or cause to be delivered to such Member the Class A Common Stock or the Cash Payment in accordance with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but subject to withholding as provided in </w:t>
      </w:r>
      <w:r>
        <w:rPr>
          <w:rFonts w:ascii="Times New Roman" w:cs="Times New Roman" w:eastAsia="Times New Roman" w:hAnsi="Times New Roman"/>
          <w:sz w:val="22"/>
          <w:szCs w:val="22"/>
          <w:u w:val="single" w:color="auto"/>
          <w:color w:val="auto"/>
        </w:rPr>
        <w:t>Section 9.4(a)</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Section 9.5 </w:t>
      </w:r>
      <w:r>
        <w:rPr>
          <w:rFonts w:ascii="Times New Roman" w:cs="Times New Roman" w:eastAsia="Times New Roman" w:hAnsi="Times New Roman"/>
          <w:sz w:val="22"/>
          <w:szCs w:val="22"/>
          <w:b w:val="1"/>
          <w:bCs w:val="1"/>
          <w:u w:val="single" w:color="auto"/>
          <w:color w:val="auto"/>
        </w:rPr>
        <w:t>Tax Treatment</w:t>
      </w:r>
      <w:r>
        <w:rPr>
          <w:rFonts w:ascii="Times New Roman" w:cs="Times New Roman" w:eastAsia="Times New Roman" w:hAnsi="Times New Roman"/>
          <w:sz w:val="22"/>
          <w:szCs w:val="22"/>
          <w:color w:val="auto"/>
        </w:rPr>
        <w:t>. Unless otherwise required by applicable law, the parties hereto acknowledge and agree that any Redemption or Direct Exchange with the Company or Vivid Seats shall be treated as a direct exchange between Vivid Seats and such Member for U.S. federal and applicable state and local income tax purposes. The parties hereto intend to treat any Redemption or Direct Exchange consummated hereunder as a taxable sale of the Redeemable Units and Class B Common Stock (if any) by the Member to Vivid Seats for U.S. federal and applicable state and local income tax purposes except as otherwise mutually agreed to in writing by such Member and Vivid Seats and no party hereto shall take a position inconsistent with such intended tax treatment on any tax return, amendment thereof or any other communication with a taxing authority, in each case unless otherwise required by a “determination” within the meaning of Section 1313 of the Code.</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b w:val="1"/>
          <w:bCs w:val="1"/>
          <w:u w:val="single" w:color="auto"/>
          <w:color w:val="auto"/>
        </w:rPr>
        <w:t>PTP Tax Consequences</w:t>
      </w:r>
      <w:r>
        <w:rPr>
          <w:rFonts w:ascii="Times New Roman" w:cs="Times New Roman" w:eastAsia="Times New Roman" w:hAnsi="Times New Roman"/>
          <w:sz w:val="22"/>
          <w:szCs w:val="22"/>
          <w:color w:val="auto"/>
        </w:rPr>
        <w:t>. Notwithstanding anything to the contrary herein, if the Board, after consultation with its outside legal counsel and tax advisor, determines in good faith that interests in the Company do not meet the requirements of Treasury Regulation Section 1.7704-1(h) (or other provisions of those Regulations as determined by the Board in its sole discretion) or that any Transfer, Redemption or Direct Exchange could (as determined in the reasonable discretion of the Board exercised in good faith) cause the Company to be treated as a“publicly traded partnership” under Section 7704 of the Code, the Company may impose such restrictions on such Transfers, Redemptions, and/or Direct Exchanges) as the Company may reasonably determine to be necessary or advisable so that the Company is not treated as a “publicly traded partnership”under Section 7704 of the Code.</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Section 9.7 </w:t>
      </w:r>
      <w:r>
        <w:rPr>
          <w:rFonts w:ascii="Times New Roman" w:cs="Times New Roman" w:eastAsia="Times New Roman" w:hAnsi="Times New Roman"/>
          <w:sz w:val="21"/>
          <w:szCs w:val="21"/>
          <w:b w:val="1"/>
          <w:bCs w:val="1"/>
          <w:u w:val="single" w:color="auto"/>
          <w:color w:val="auto"/>
        </w:rPr>
        <w:t>Distributions</w:t>
      </w:r>
      <w:r>
        <w:rPr>
          <w:rFonts w:ascii="Times New Roman" w:cs="Times New Roman" w:eastAsia="Times New Roman" w:hAnsi="Times New Roman"/>
          <w:sz w:val="21"/>
          <w:szCs w:val="21"/>
          <w:color w:val="auto"/>
        </w:rPr>
        <w:t xml:space="preserve">. No Redemption or Direct Exchange will impair the right of a Member to receive any distribution for periods ending on or prior to the Redemption Date for such Redemption or Direct Exchange (but for which payment had not yet been made with respect to the Redeemable Units in question at the time the Redemption or Direct Exchange is consummated);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purposes of this </w:t>
      </w:r>
      <w:r>
        <w:rPr>
          <w:rFonts w:ascii="Times New Roman" w:cs="Times New Roman" w:eastAsia="Times New Roman" w:hAnsi="Times New Roman"/>
          <w:sz w:val="21"/>
          <w:szCs w:val="21"/>
          <w:u w:val="single" w:color="auto"/>
          <w:color w:val="auto"/>
        </w:rPr>
        <w:t>Section 9.7</w:t>
      </w:r>
      <w:r>
        <w:rPr>
          <w:rFonts w:ascii="Times New Roman" w:cs="Times New Roman" w:eastAsia="Times New Roman" w:hAnsi="Times New Roman"/>
          <w:sz w:val="21"/>
          <w:szCs w:val="21"/>
          <w:color w:val="auto"/>
        </w:rPr>
        <w:t xml:space="preserve">, a Member’s right to receive its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portion of any distribution by the Company in respect of such periods shall not be deemed impaired to the extent that the Company has not paid Vivid Seats its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portion of such distribution prior to the consummation of the applicable Redemption or Direct Exchange.</w:t>
      </w:r>
    </w:p>
    <w:p>
      <w:pPr>
        <w:spacing w:after="0" w:line="1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Section 9.8 </w:t>
      </w:r>
      <w:r>
        <w:rPr>
          <w:rFonts w:ascii="Times New Roman" w:cs="Times New Roman" w:eastAsia="Times New Roman" w:hAnsi="Times New Roman"/>
          <w:sz w:val="21"/>
          <w:szCs w:val="21"/>
          <w:b w:val="1"/>
          <w:bCs w:val="1"/>
          <w:u w:val="single" w:color="auto"/>
          <w:color w:val="auto"/>
        </w:rPr>
        <w:t>Blocker Merger Transaction Cooperation</w:t>
      </w:r>
      <w:r>
        <w:rPr>
          <w:rFonts w:ascii="Times New Roman" w:cs="Times New Roman" w:eastAsia="Times New Roman" w:hAnsi="Times New Roman"/>
          <w:sz w:val="21"/>
          <w:szCs w:val="21"/>
          <w:color w:val="auto"/>
        </w:rPr>
        <w:t>. From and after the First Redemption Time, if requested by any holder of Redeemable Units, the Board and the Company shall work together in good faith with any such requesting Unitholder to structure a transaction that provides for such Unitholder(or an Affiliate thereof) to, in lieu of exercising exchange rights applicable to all or a portion of the Redeemable Units held (directly or indirectly) by such Unitholder, cause an entity (a “</w:t>
      </w:r>
      <w:r>
        <w:rPr>
          <w:rFonts w:ascii="Times New Roman" w:cs="Times New Roman" w:eastAsia="Times New Roman" w:hAnsi="Times New Roman"/>
          <w:sz w:val="21"/>
          <w:szCs w:val="21"/>
          <w:u w:val="single" w:color="auto"/>
          <w:color w:val="auto"/>
        </w:rPr>
        <w:t>Blocker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 that (i) is classified as a corporation for U.S. federal income tax purposes, (ii) has no material assets other than Redeemable Units, (iii) has no liabilities other than any liabilities directly relating to the Redeemable Units held by such corporation, (iv) does not have, and has never engaged in, any activities other than holding Redeemable Units,and (v) was formed sufficiently in advance of the Blocker Merger Transaction (as defined below), to be merged with and into Vivid Seats or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8" w:name="page149"/>
    <w:bookmarkEnd w:id="148"/>
    <w:p>
      <w:pPr>
        <w:jc w:val="both"/>
        <w:spacing w:after="0" w:line="232" w:lineRule="auto"/>
        <w:rPr>
          <w:sz w:val="20"/>
          <w:szCs w:val="20"/>
          <w:color w:val="auto"/>
        </w:rPr>
      </w:pPr>
      <w:r>
        <w:rPr>
          <w:rFonts w:ascii="Times New Roman" w:cs="Times New Roman" w:eastAsia="Times New Roman" w:hAnsi="Times New Roman"/>
          <w:sz w:val="22"/>
          <w:szCs w:val="22"/>
          <w:color w:val="auto"/>
        </w:rPr>
        <w:t>or into one or more Subsidiaries of Vivid Seats that is treated as a corporation or an entity that is disregarded as separate from Vivid Seats for U.S. federal income tax purposes (any such merger, or any substantially similar transaction pursuant to which the equityholder of the Blocker Corporation receives Common Stock in exchange for all of the interests in the Blocker Corporation, a “</w:t>
      </w:r>
      <w:r>
        <w:rPr>
          <w:rFonts w:ascii="Times New Roman" w:cs="Times New Roman" w:eastAsia="Times New Roman" w:hAnsi="Times New Roman"/>
          <w:sz w:val="22"/>
          <w:szCs w:val="22"/>
          <w:u w:val="single" w:color="auto"/>
          <w:color w:val="auto"/>
        </w:rPr>
        <w:t>Blocker Merger Transaction</w:t>
      </w:r>
      <w:r>
        <w:rPr>
          <w:rFonts w:ascii="Times New Roman" w:cs="Times New Roman" w:eastAsia="Times New Roman" w:hAnsi="Times New Roman"/>
          <w:sz w:val="22"/>
          <w:szCs w:val="22"/>
          <w:color w:val="auto"/>
        </w:rPr>
        <w:t>”). Such Unitholder shall notify the Board and the Company in writing of any request by the Unitholder to implement a Blocker Merger Transaction, and the Board, the Company and the applicable Unitholder shall work together to structure any such Blocker Merger Transaction in a manner that qualifies as a “reorganization” within the meaning of Section 368(a) of the Code and shall work together in good faith to draft definitive documentation with respect to any such Blocker Merger Transaction. Such definitive documentation shall (A) include customary representations and customary indemnification, including customary indemnification with respect to any taxes of or with respect to the Blocker Corporation, (B) provide for the rights, if any, the Unitholder may have under the Tax Receivable Agreement following any such Blocker Merger Transaction, and (C) require that the equityholders of such Blocker Corporation shall bear all costs and expenses (excluding Taxes except to the extent provided in clause (A)) in connection with such Blocker Merger Transaction. Notwithstanding the foregoing, in no event shall any Blocker Merger Transaction be required if such Blocker Merger Transaction would reasonably be expected to result in adverse tax consequences to the Company or any Subsidiary thereof, Vivid Seats or any Subsidiary thereof, or any other Unitholder.</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ARTICLE X</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RESIGNATION OF UNITHOLDERS</w:t>
      </w:r>
    </w:p>
    <w:p>
      <w:pPr>
        <w:spacing w:after="0" w:line="17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b w:val="1"/>
          <w:bCs w:val="1"/>
          <w:u w:val="single" w:color="auto"/>
          <w:color w:val="auto"/>
        </w:rPr>
        <w:t>Resignation of Unitholders</w:t>
      </w:r>
      <w:r>
        <w:rPr>
          <w:rFonts w:ascii="Times New Roman" w:cs="Times New Roman" w:eastAsia="Times New Roman" w:hAnsi="Times New Roman"/>
          <w:sz w:val="22"/>
          <w:szCs w:val="22"/>
          <w:color w:val="auto"/>
        </w:rPr>
        <w:t xml:space="preserve">. No Unitholder shall have the power or right to resign from the Company prior to the dissolution and winding up of the Company pursuant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without the prior written consent of the Board (which consent may be withheld by the Board in its sole discretion), except as otherwise expressly permitted by this Agreement. Upon a Transfer of all of a Unitholder’s Units in a Transfer permitted by this Agreement, and (if applicable) the Equity Agreements, such Unitholder shall cease to be a Unitholder. Notwithstanding that payment on account of a resignation may be made after the effective time of such resignation, any completely resigning Unitholder will not be considered a Unitholder for any purpose after the effective time of such complete resignation, and, in the case of a partial resignation, such Unitholder’s Capital Account (and corresponding voting and other rights) shall be reduced for all other purposes hereunder upon the effective time of such partial resignation.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 DISSOLUTION AND LIQUIDATION</w:t>
      </w:r>
    </w:p>
    <w:p>
      <w:pPr>
        <w:spacing w:after="0" w:line="17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b w:val="1"/>
          <w:bCs w:val="1"/>
          <w:u w:val="single" w:color="auto"/>
          <w:color w:val="auto"/>
        </w:rPr>
        <w:t>Dissolution</w:t>
      </w:r>
      <w:r>
        <w:rPr>
          <w:rFonts w:ascii="Times New Roman" w:cs="Times New Roman" w:eastAsia="Times New Roman" w:hAnsi="Times New Roman"/>
          <w:sz w:val="22"/>
          <w:szCs w:val="22"/>
          <w:color w:val="auto"/>
        </w:rPr>
        <w:t>. The Company shall not be dissolved by the admission of Additional Members or Substituted Members. The Company shall dissolve, and its affairs shall be wound up upon the first of the following to occur:</w:t>
      </w:r>
    </w:p>
    <w:p>
      <w:pPr>
        <w:spacing w:after="0" w:line="181" w:lineRule="exact"/>
        <w:rPr>
          <w:sz w:val="20"/>
          <w:szCs w:val="20"/>
          <w:color w:val="auto"/>
        </w:rPr>
      </w:pPr>
    </w:p>
    <w:p>
      <w:pPr>
        <w:ind w:left="580" w:hanging="572"/>
        <w:spacing w:after="0"/>
        <w:tabs>
          <w:tab w:leader="none" w:pos="5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the Board;</w:t>
      </w:r>
    </w:p>
    <w:p>
      <w:pPr>
        <w:spacing w:after="0" w:line="233" w:lineRule="exact"/>
        <w:rPr>
          <w:rFonts w:ascii="Times New Roman" w:cs="Times New Roman" w:eastAsia="Times New Roman" w:hAnsi="Times New Roman"/>
          <w:sz w:val="22"/>
          <w:szCs w:val="22"/>
          <w:color w:val="auto"/>
        </w:rPr>
      </w:pPr>
    </w:p>
    <w:p>
      <w:pPr>
        <w:jc w:val="both"/>
        <w:ind w:firstLine="8"/>
        <w:spacing w:after="0" w:line="244" w:lineRule="auto"/>
        <w:tabs>
          <w:tab w:leader="none" w:pos="67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the legal existence of the last remaining member of the Company or the occurrence of any other event which terminates the continued membership of the last remaining member of the Company in the Company unless the Company is continued without dissolution in a manner permitted by this Agreement or the Delaware Act; or</w:t>
      </w:r>
    </w:p>
    <w:p>
      <w:pPr>
        <w:spacing w:after="0" w:line="200"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of a decree of judicial dissolution of the Company under Section 18-802 of the Delaware Act.</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Except as otherwise set forth in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the Company is intended to have perpetual existence. An Event of Withdrawal, in and of itself, shall not cause a dissolution of the Company and the Company shall continue in existence subject to the terms and conditions of this Agreement. Bankruptcy (as defined in Sections 18-101(1) and 18-304 of the Delaware Act) shall not cause a Member to cease to be a member of the Company.</w:t>
      </w:r>
    </w:p>
    <w:p>
      <w:pPr>
        <w:spacing w:after="0" w:line="19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b w:val="1"/>
          <w:bCs w:val="1"/>
          <w:u w:val="single" w:color="auto"/>
          <w:color w:val="auto"/>
        </w:rPr>
        <w:t>Liquidation and Termination</w:t>
      </w:r>
      <w:r>
        <w:rPr>
          <w:rFonts w:ascii="Times New Roman" w:cs="Times New Roman" w:eastAsia="Times New Roman" w:hAnsi="Times New Roman"/>
          <w:sz w:val="22"/>
          <w:szCs w:val="22"/>
          <w:color w:val="auto"/>
        </w:rPr>
        <w:t>. On the dissolution of the Company, the Board shall act as liquidator or may appoint one or more representatives, Members or other Persons as liquidator(s). The liquidators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9" w:name="page150"/>
    <w:bookmarkEnd w:id="149"/>
    <w:p>
      <w:pPr>
        <w:jc w:val="both"/>
        <w:spacing w:after="0"/>
        <w:rPr>
          <w:sz w:val="20"/>
          <w:szCs w:val="20"/>
          <w:color w:val="auto"/>
        </w:rPr>
      </w:pPr>
      <w:r>
        <w:rPr>
          <w:rFonts w:ascii="Times New Roman" w:cs="Times New Roman" w:eastAsia="Times New Roman" w:hAnsi="Times New Roman"/>
          <w:sz w:val="22"/>
          <w:szCs w:val="22"/>
          <w:color w:val="auto"/>
        </w:rPr>
        <w:t>shall proceed diligently to wind up the affairs of the Company and make final distributions as provided herein and in the Delaware Act. The costs of liquidation shall be borne as the Company’s expense. Until final distribution, the liquidators shall continue to operate the Company properties with all of the power and authority of the Board. The steps to be accomplished by the liquidators are as follows:</w:t>
      </w:r>
    </w:p>
    <w:p>
      <w:pPr>
        <w:spacing w:after="0" w:line="204" w:lineRule="exact"/>
        <w:rPr>
          <w:sz w:val="20"/>
          <w:szCs w:val="20"/>
          <w:color w:val="auto"/>
        </w:rPr>
      </w:pPr>
    </w:p>
    <w:p>
      <w:pPr>
        <w:jc w:val="both"/>
        <w:ind w:firstLine="8"/>
        <w:spacing w:after="0" w:line="239" w:lineRule="auto"/>
        <w:tabs>
          <w:tab w:leader="none" w:pos="62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Section 18-804 of the Delaware Act, the liquidators shall pay, satisfy or discharge from the Company’s funds all of the debts, liabilities and obligations of the Company (including all expenses incurred in liquidation) or otherwise make adequate provision for payment and discharge thereof (including the establishment of a cash fund for contingent liabilities in such amount and for such term as the liquidators may reasonably determine).</w:t>
      </w:r>
    </w:p>
    <w:p>
      <w:pPr>
        <w:spacing w:after="0" w:line="207"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satisfaction of all liabilities of the Company in accordance with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 xml:space="preserve"> above, the liquidators shall (i)</w:t>
      </w:r>
    </w:p>
    <w:tbl>
      <w:tblPr>
        <w:tblLayout w:type="fixed"/>
        <w:tblInd w:w="0" w:type="dxa"/>
        <w:tblCellMar>
          <w:top w:w="0" w:type="dxa"/>
          <w:left w:w="0" w:type="dxa"/>
          <w:bottom w:w="0" w:type="dxa"/>
          <w:right w:w="0" w:type="dxa"/>
        </w:tblCellMar>
      </w:tblPr>
      <w:tr>
        <w:trPr>
          <w:trHeight w:val="220"/>
        </w:trPr>
        <w:tc>
          <w:tcPr>
            <w:tcW w:w="7060" w:type="dxa"/>
            <w:vAlign w:val="bottom"/>
            <w:gridSpan w:val="5"/>
          </w:tcPr>
          <w:p>
            <w:pPr>
              <w:spacing w:after="0" w:line="220" w:lineRule="exact"/>
              <w:rPr>
                <w:sz w:val="20"/>
                <w:szCs w:val="20"/>
                <w:color w:val="auto"/>
              </w:rPr>
            </w:pPr>
            <w:r>
              <w:rPr>
                <w:rFonts w:ascii="Times New Roman" w:cs="Times New Roman" w:eastAsia="Times New Roman" w:hAnsi="Times New Roman"/>
                <w:sz w:val="22"/>
                <w:szCs w:val="22"/>
                <w:color w:val="auto"/>
              </w:rPr>
              <w:t>determine the Fair Market Value (the “Liquidation FMV”) of  the  Company’s</w:t>
            </w:r>
          </w:p>
        </w:tc>
        <w:tc>
          <w:tcPr>
            <w:tcW w:w="418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22"/>
                <w:szCs w:val="22"/>
                <w:color w:val="auto"/>
              </w:rPr>
              <w:t>remaining  assets (the “Liquidation Assets”) in</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8"/>
              </w:rPr>
              <w:t>accordance with Article XI hereof, (ii)</w:t>
            </w:r>
          </w:p>
        </w:tc>
        <w:tc>
          <w:tcPr>
            <w:tcW w:w="1520" w:type="dxa"/>
            <w:vAlign w:val="bottom"/>
            <w:shd w:val="clear" w:color="auto" w:fill="000000"/>
          </w:tcPr>
          <w:p>
            <w:pPr>
              <w:spacing w:after="0" w:line="20" w:lineRule="exact"/>
              <w:rPr>
                <w:sz w:val="1"/>
                <w:szCs w:val="1"/>
                <w:color w:val="auto"/>
              </w:rPr>
            </w:pPr>
          </w:p>
        </w:tc>
        <w:tc>
          <w:tcPr>
            <w:tcW w:w="21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6"/>
              </w:rPr>
              <w:t>amounts to be distributed</w:t>
            </w:r>
          </w:p>
        </w:tc>
        <w:tc>
          <w:tcPr>
            <w:tcW w:w="214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to each Unitholder in</w:t>
            </w: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gridSpan w:val="3"/>
            <w:vMerge w:val="continue"/>
          </w:tcPr>
          <w:p>
            <w:pPr>
              <w:spacing w:after="0"/>
              <w:rPr>
                <w:sz w:val="19"/>
                <w:szCs w:val="19"/>
                <w:color w:val="auto"/>
              </w:rPr>
            </w:pPr>
          </w:p>
        </w:tc>
        <w:tc>
          <w:tcPr>
            <w:tcW w:w="1520" w:type="dxa"/>
            <w:vAlign w:val="bottom"/>
          </w:tcPr>
          <w:p>
            <w:pPr>
              <w:ind w:left="80"/>
              <w:spacing w:after="0" w:line="223" w:lineRule="exact"/>
              <w:rPr>
                <w:sz w:val="20"/>
                <w:szCs w:val="20"/>
                <w:color w:val="auto"/>
              </w:rPr>
            </w:pPr>
            <w:r>
              <w:rPr>
                <w:rFonts w:ascii="Times New Roman" w:cs="Times New Roman" w:eastAsia="Times New Roman" w:hAnsi="Times New Roman"/>
                <w:sz w:val="22"/>
                <w:szCs w:val="22"/>
                <w:color w:val="auto"/>
              </w:rPr>
              <w:t>determine the</w:t>
            </w:r>
          </w:p>
        </w:tc>
        <w:tc>
          <w:tcPr>
            <w:tcW w:w="2180" w:type="dxa"/>
            <w:vAlign w:val="bottom"/>
            <w:vMerge w:val="continue"/>
          </w:tcPr>
          <w:p>
            <w:pPr>
              <w:spacing w:after="0"/>
              <w:rPr>
                <w:sz w:val="19"/>
                <w:szCs w:val="19"/>
                <w:color w:val="auto"/>
              </w:rPr>
            </w:pPr>
          </w:p>
        </w:tc>
        <w:tc>
          <w:tcPr>
            <w:tcW w:w="2140" w:type="dxa"/>
            <w:vAlign w:val="bottom"/>
            <w:vMerge w:val="continue"/>
          </w:tcPr>
          <w:p>
            <w:pPr>
              <w:spacing w:after="0"/>
              <w:rPr>
                <w:sz w:val="19"/>
                <w:szCs w:val="19"/>
                <w:color w:val="auto"/>
              </w:rPr>
            </w:pPr>
          </w:p>
        </w:tc>
        <w:tc>
          <w:tcPr>
            <w:tcW w:w="20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color w:val="auto"/>
                <w:w w:val="93"/>
              </w:rPr>
              <w:t>accordance with Section</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4.1</w:t>
      </w:r>
      <w:r>
        <w:rPr>
          <w:rFonts w:ascii="Times New Roman" w:cs="Times New Roman" w:eastAsia="Times New Roman" w:hAnsi="Times New Roman"/>
          <w:sz w:val="22"/>
          <w:szCs w:val="22"/>
          <w:color w:val="auto"/>
        </w:rPr>
        <w:t>, and (iii) deliver to each Unitholder a statement (the “</w:t>
      </w:r>
      <w:r>
        <w:rPr>
          <w:rFonts w:ascii="Times New Roman" w:cs="Times New Roman" w:eastAsia="Times New Roman" w:hAnsi="Times New Roman"/>
          <w:sz w:val="22"/>
          <w:szCs w:val="22"/>
          <w:u w:val="single" w:color="auto"/>
          <w:color w:val="auto"/>
        </w:rPr>
        <w:t>Liquidation Statement</w:t>
      </w:r>
      <w:r>
        <w:rPr>
          <w:rFonts w:ascii="Times New Roman" w:cs="Times New Roman" w:eastAsia="Times New Roman" w:hAnsi="Times New Roman"/>
          <w:sz w:val="22"/>
          <w:szCs w:val="22"/>
          <w:color w:val="auto"/>
        </w:rPr>
        <w:t>”) setting forth the Liquidation FMV and the amounts and recipients of such Distributions, which Liquidation Statement shall be final and binding on all Unitholders.</w:t>
      </w:r>
    </w:p>
    <w:p>
      <w:pPr>
        <w:spacing w:after="0" w:line="185" w:lineRule="exact"/>
        <w:rPr>
          <w:sz w:val="20"/>
          <w:szCs w:val="20"/>
          <w:color w:val="auto"/>
        </w:rPr>
      </w:pPr>
    </w:p>
    <w:p>
      <w:pPr>
        <w:jc w:val="both"/>
        <w:ind w:firstLine="8"/>
        <w:spacing w:after="0" w:line="243" w:lineRule="auto"/>
        <w:tabs>
          <w:tab w:leader="none" w:pos="803"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soon as the Liquidation FMV and the proper amounts of Distributions have been determined in accordance with </w:t>
      </w:r>
      <w:r>
        <w:rPr>
          <w:rFonts w:ascii="Times New Roman" w:cs="Times New Roman" w:eastAsia="Times New Roman" w:hAnsi="Times New Roman"/>
          <w:sz w:val="21"/>
          <w:szCs w:val="21"/>
          <w:u w:val="single" w:color="auto"/>
          <w:color w:val="auto"/>
        </w:rPr>
        <w:t>Section 11.2(b)</w:t>
      </w:r>
      <w:r>
        <w:rPr>
          <w:rFonts w:ascii="Times New Roman" w:cs="Times New Roman" w:eastAsia="Times New Roman" w:hAnsi="Times New Roman"/>
          <w:sz w:val="21"/>
          <w:szCs w:val="21"/>
          <w:color w:val="auto"/>
        </w:rPr>
        <w:t xml:space="preserve"> above, the liquidators shall promptly distribute the Company’s Liquidation Assets to the holders of Units in accordance with </w:t>
      </w:r>
      <w:r>
        <w:rPr>
          <w:rFonts w:ascii="Times New Roman" w:cs="Times New Roman" w:eastAsia="Times New Roman" w:hAnsi="Times New Roman"/>
          <w:sz w:val="21"/>
          <w:szCs w:val="21"/>
          <w:u w:val="single" w:color="auto"/>
          <w:color w:val="auto"/>
        </w:rPr>
        <w:t>Section 4.1(b)</w:t>
      </w:r>
      <w:r>
        <w:rPr>
          <w:rFonts w:ascii="Times New Roman" w:cs="Times New Roman" w:eastAsia="Times New Roman" w:hAnsi="Times New Roman"/>
          <w:sz w:val="21"/>
          <w:szCs w:val="21"/>
          <w:color w:val="auto"/>
        </w:rPr>
        <w:t xml:space="preserve"> above. In making such distributions, the liquidators shall allocate each type of Liquidation Assets (i.e.,cash or cash equivalents, preferred or common equity securities, etc.) among the Unitholders ratably based upon the aggregate amounts to be distributed with respect to the Units held by each such holder;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liquidators may allocate each type of Liquidation Assets so as to give effect to and take into account the relative priorities of the different Units;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further </w:t>
      </w:r>
      <w:r>
        <w:rPr>
          <w:rFonts w:ascii="Times New Roman" w:cs="Times New Roman" w:eastAsia="Times New Roman" w:hAnsi="Times New Roman"/>
          <w:sz w:val="21"/>
          <w:szCs w:val="21"/>
          <w:color w:val="auto"/>
        </w:rPr>
        <w:t>that, in the event that any securities are part of the Liquidation Assets, each Unitholder that is not an “accredited investor”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as such term is defined under the Securities Act may, in the sole discretion of the Board, receive, and hereby agrees to accept, in lieu of such securities, cash consideration with an equivalent value to such securities as determined by the Board. Any non-cash Liquidation Assets will first be written up or down to their Fair Market Value, thus creating Profit or Loss (if any), which shall be</w:t>
      </w:r>
    </w:p>
    <w:p>
      <w:pPr>
        <w:spacing w:after="0" w:line="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allocated in accordance with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If any Unitholder’s Capital Account is not equal to the amount to be distributed to such Unitholder pursuant to </w:t>
      </w:r>
      <w:r>
        <w:rPr>
          <w:rFonts w:ascii="Times New Roman" w:cs="Times New Roman" w:eastAsia="Times New Roman" w:hAnsi="Times New Roman"/>
          <w:sz w:val="22"/>
          <w:szCs w:val="22"/>
          <w:u w:val="single" w:color="auto"/>
          <w:color w:val="auto"/>
        </w:rPr>
        <w:t>Section 11.2(b)</w:t>
      </w:r>
      <w:r>
        <w:rPr>
          <w:rFonts w:ascii="Times New Roman" w:cs="Times New Roman" w:eastAsia="Times New Roman" w:hAnsi="Times New Roman"/>
          <w:sz w:val="22"/>
          <w:szCs w:val="22"/>
          <w:color w:val="auto"/>
        </w:rPr>
        <w:t xml:space="preserve">, Profits and Losses for the Fiscal Year in which the Company is wound up shall be allocated among the Unitholders in such a manner as to cause, to the extent possible, each Unitholder’s Capital Account to be equal to the amount to be distributed to such Unitholder pursuant to </w:t>
      </w:r>
      <w:r>
        <w:rPr>
          <w:rFonts w:ascii="Times New Roman" w:cs="Times New Roman" w:eastAsia="Times New Roman" w:hAnsi="Times New Roman"/>
          <w:sz w:val="22"/>
          <w:szCs w:val="22"/>
          <w:u w:val="single" w:color="auto"/>
          <w:color w:val="auto"/>
        </w:rPr>
        <w:t>Section 11.2(b)</w:t>
      </w:r>
      <w:r>
        <w:rPr>
          <w:rFonts w:ascii="Times New Roman" w:cs="Times New Roman" w:eastAsia="Times New Roman" w:hAnsi="Times New Roman"/>
          <w:sz w:val="22"/>
          <w:szCs w:val="22"/>
          <w:color w:val="auto"/>
        </w:rPr>
        <w:t xml:space="preserve">. The distribution of cash and/or property to a Unitholder in accordance with the provisions of this </w:t>
      </w:r>
      <w:r>
        <w:rPr>
          <w:rFonts w:ascii="Times New Roman" w:cs="Times New Roman" w:eastAsia="Times New Roman" w:hAnsi="Times New Roman"/>
          <w:sz w:val="22"/>
          <w:szCs w:val="22"/>
          <w:u w:val="single" w:color="auto"/>
          <w:color w:val="auto"/>
        </w:rPr>
        <w:t>Section 11.2(b)</w:t>
      </w:r>
      <w:r>
        <w:rPr>
          <w:rFonts w:ascii="Times New Roman" w:cs="Times New Roman" w:eastAsia="Times New Roman" w:hAnsi="Times New Roman"/>
          <w:sz w:val="22"/>
          <w:szCs w:val="22"/>
          <w:color w:val="auto"/>
        </w:rPr>
        <w:t xml:space="preserve"> constitutes a complete return to the Unitholder of its Capital Contributions and a complete distribution to the Unitholder of its interest in the Company and all the Company property and, to the fullest extent permitted by law, constitutes a compromise to which all Unitholders have consented within the meaning of the Delaware Act. To the extent that a Unitholder returns funds to the Company, to the fullest extent permitted by law, it has no claim against any other Unitholder for those funds.</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Section 11.3 </w:t>
      </w:r>
      <w:r>
        <w:rPr>
          <w:rFonts w:ascii="Times New Roman" w:cs="Times New Roman" w:eastAsia="Times New Roman" w:hAnsi="Times New Roman"/>
          <w:sz w:val="22"/>
          <w:szCs w:val="22"/>
          <w:b w:val="1"/>
          <w:bCs w:val="1"/>
          <w:u w:val="single" w:color="auto"/>
          <w:color w:val="auto"/>
        </w:rPr>
        <w:t>Securityholders Agreement</w:t>
      </w:r>
      <w:r>
        <w:rPr>
          <w:rFonts w:ascii="Times New Roman" w:cs="Times New Roman" w:eastAsia="Times New Roman" w:hAnsi="Times New Roman"/>
          <w:sz w:val="22"/>
          <w:szCs w:val="22"/>
          <w:color w:val="auto"/>
        </w:rPr>
        <w:t xml:space="preserve">. To the extent that Units or other Equity Securities of any Subsidiary are distributed to any Unitholders and unless otherwise agreed to by the Board, such Unitholders hereby agree to enter into a securityholders agreement with such Subsidiary and each other Unitholder which contains rights and restrictions in form and substance similar to the provisions and restrictions set forth herein (including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Section 11.4 </w:t>
      </w:r>
      <w:r>
        <w:rPr>
          <w:rFonts w:ascii="Times New Roman" w:cs="Times New Roman" w:eastAsia="Times New Roman" w:hAnsi="Times New Roman"/>
          <w:sz w:val="22"/>
          <w:szCs w:val="22"/>
          <w:b w:val="1"/>
          <w:bCs w:val="1"/>
          <w:u w:val="single" w:color="auto"/>
          <w:color w:val="auto"/>
        </w:rPr>
        <w:t>Cancellation of Certificate</w:t>
      </w:r>
      <w:r>
        <w:rPr>
          <w:rFonts w:ascii="Times New Roman" w:cs="Times New Roman" w:eastAsia="Times New Roman" w:hAnsi="Times New Roman"/>
          <w:sz w:val="22"/>
          <w:szCs w:val="22"/>
          <w:color w:val="auto"/>
        </w:rPr>
        <w:t>. On completion of the distribution of the Company’s assets as provided herein, the Board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and upon the filing of the certificate of cancellation of the Certificate, the Company shall be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0" w:name="page151"/>
    <w:bookmarkEnd w:id="150"/>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(and the Company shall not be terminated prior to such time). The Company shall be deemed to continue in existence for all purposes of this Agreement until it is terminated pursuant to this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Section 11.5 </w:t>
      </w:r>
      <w:r>
        <w:rPr>
          <w:rFonts w:ascii="Times New Roman" w:cs="Times New Roman" w:eastAsia="Times New Roman" w:hAnsi="Times New Roman"/>
          <w:sz w:val="22"/>
          <w:szCs w:val="22"/>
          <w:b w:val="1"/>
          <w:bCs w:val="1"/>
          <w:u w:val="single" w:color="auto"/>
          <w:color w:val="auto"/>
        </w:rPr>
        <w:t>Reasonable Time for Winding Up</w:t>
      </w:r>
      <w:r>
        <w:rPr>
          <w:rFonts w:ascii="Times New Roman" w:cs="Times New Roman" w:eastAsia="Times New Roman" w:hAnsi="Times New Roman"/>
          <w:sz w:val="22"/>
          <w:szCs w:val="22"/>
          <w:color w:val="auto"/>
        </w:rPr>
        <w:t xml:space="preserve">. A reasonable time shall be allowed for the orderly winding up of the business and affairs of the Company and the liquidation of its assets pursuant to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in order to minimize any losses otherwise attendant upon such winding up.</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Section 11.6 </w:t>
      </w:r>
      <w:r>
        <w:rPr>
          <w:rFonts w:ascii="Times New Roman" w:cs="Times New Roman" w:eastAsia="Times New Roman" w:hAnsi="Times New Roman"/>
          <w:sz w:val="22"/>
          <w:szCs w:val="22"/>
          <w:b w:val="1"/>
          <w:bCs w:val="1"/>
          <w:u w:val="single" w:color="auto"/>
          <w:color w:val="auto"/>
        </w:rPr>
        <w:t>Return of Capital</w:t>
      </w:r>
      <w:r>
        <w:rPr>
          <w:rFonts w:ascii="Times New Roman" w:cs="Times New Roman" w:eastAsia="Times New Roman" w:hAnsi="Times New Roman"/>
          <w:sz w:val="22"/>
          <w:szCs w:val="22"/>
          <w:color w:val="auto"/>
        </w:rPr>
        <w:t>. The liquidators shall not be personally liable for the return of Capital Contributions or any portion thereof to the Unitholders (it being understood that any such return shall be made solely from the Company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 xml:space="preserve">Section 11.7   </w:t>
            </w:r>
            <w:r>
              <w:rPr>
                <w:rFonts w:ascii="Times New Roman" w:cs="Times New Roman" w:eastAsia="Times New Roman" w:hAnsi="Times New Roman"/>
                <w:sz w:val="22"/>
                <w:szCs w:val="22"/>
                <w:b w:val="1"/>
                <w:bCs w:val="1"/>
                <w:color w:val="auto"/>
              </w:rPr>
              <w:t>Hart-Scott-Rodino</w:t>
            </w:r>
            <w:r>
              <w:rPr>
                <w:rFonts w:ascii="Times New Roman" w:cs="Times New Roman" w:eastAsia="Times New Roman" w:hAnsi="Times New Roman"/>
                <w:sz w:val="22"/>
                <w:szCs w:val="22"/>
                <w:color w:val="auto"/>
              </w:rPr>
              <w:t>.  In  the  event  the  Hart-Scott-Rodino</w:t>
            </w: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Antitrust Improvements Act of 1976 (the “HSR</w:t>
            </w: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23"/>
        </w:trPr>
        <w:tc>
          <w:tcPr>
            <w:tcW w:w="688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color w:val="auto"/>
              </w:rPr>
              <w:t>Act”) is applicable to any Unitholder, the dissolution of the Company shall</w:t>
            </w:r>
          </w:p>
        </w:tc>
        <w:tc>
          <w:tcPr>
            <w:tcW w:w="43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not  be  consummated until  such  time as  the</w:t>
            </w:r>
          </w:p>
        </w:tc>
      </w:tr>
      <w:tr>
        <w:trPr>
          <w:trHeight w:val="20"/>
        </w:trPr>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jc w:val="both"/>
        <w:spacing w:after="0" w:line="258" w:lineRule="auto"/>
        <w:rPr>
          <w:sz w:val="20"/>
          <w:szCs w:val="20"/>
          <w:color w:val="auto"/>
        </w:rPr>
      </w:pPr>
      <w:r>
        <w:rPr>
          <w:rFonts w:ascii="Times New Roman" w:cs="Times New Roman" w:eastAsia="Times New Roman" w:hAnsi="Times New Roman"/>
          <w:sz w:val="22"/>
          <w:szCs w:val="22"/>
          <w:color w:val="auto"/>
        </w:rPr>
        <w:t>applicable waiting period (and extensions thereof) under the HSR Act have expired or otherwise been terminated with respect to each such Unitholder.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 GENERAL PROVISIONS</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Section 12.1 </w:t>
      </w:r>
      <w:r>
        <w:rPr>
          <w:rFonts w:ascii="Times New Roman" w:cs="Times New Roman" w:eastAsia="Times New Roman" w:hAnsi="Times New Roman"/>
          <w:sz w:val="21"/>
          <w:szCs w:val="21"/>
          <w:b w:val="1"/>
          <w:bCs w:val="1"/>
          <w:u w:val="single" w:color="auto"/>
          <w:color w:val="auto"/>
        </w:rPr>
        <w:t>Power of Attorney</w:t>
      </w:r>
      <w:r>
        <w:rPr>
          <w:rFonts w:ascii="Times New Roman" w:cs="Times New Roman" w:eastAsia="Times New Roman" w:hAnsi="Times New Roman"/>
          <w:sz w:val="21"/>
          <w:szCs w:val="21"/>
          <w:color w:val="auto"/>
        </w:rPr>
        <w:t xml:space="preserve">. Each Unitholder hereby constitutes and appoints Vivid Seats and the liquidators, if any and as applicable, and their respective designees, with full power of substitution, as his, her or its true and lawful agent and attorney-in-fact, with full power and authority in his, her or its name, place and stead, to execute, swear to, acknowledge, deliver, file and record in the appropriate public offices (to the same extent such Person could take such action): (a) this Agreement, all certificates and other instruments and all amendments hereof or thereof in accordance with the terms hereof which Vivid Seats deems appropriate or necessary to form, qualify, or continue the qualification of, the Company as a limited liability company in the State of Delaware and in all other jurisdictions in which the Company may conduct business or own property or as otherwise permitted herein; (b) all instruments, agreements, amendments or other documents which Vivid Seats deems appropriate or necessary to reflect any amendment, change, modification or restatement of this Agreement in accordance with its terms; (c) all conveyances and other instruments or documents which Vivid Seats and/or the liquidators deems appropriate or necessary to reflect the dissolution and liquidation of the Company pursuant to the terms of this Agreement, including a certificate of cancellation; and (d) all instruments relating to the admission, withdrawal or substitution of any Unitholder pursuant to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The foregoing power of attorney is irrevocable and coupled with an interest, and shall survive the death, disability, incapacity, dissolution, bankruptcy, insolvency or termination of any Unitholder and the Transfer of all or any portion of his, her or its Units and shall extend to such Unitholder’s heirs, successors, permitted assigns and personal representatives.</w:t>
      </w:r>
    </w:p>
    <w:p>
      <w:pPr>
        <w:spacing w:after="0" w:line="20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Section 12.2 </w:t>
      </w: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color w:val="auto"/>
        </w:rPr>
        <w:t xml:space="preserve">. This Agreement may be amended (including, for purposes of this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any amendment effected directly or indirectly by way of a merger or consolidation of the Company) or waived, in whole or in part, by the 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to the extent any amendment or waiver, including any amendment or waiver of the Exhibits attached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hereto, would disproportionately and adversely affect the rights of any Member of a class compared with the rights of any other Member of such class, such amendment or waiver may only be made by the Board upon the prior written consent of such disproportionately and adversely affected Member.</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Section 12.3 </w:t>
      </w:r>
      <w:r>
        <w:rPr>
          <w:rFonts w:ascii="Times New Roman" w:cs="Times New Roman" w:eastAsia="Times New Roman" w:hAnsi="Times New Roman"/>
          <w:sz w:val="22"/>
          <w:szCs w:val="22"/>
          <w:b w:val="1"/>
          <w:bCs w:val="1"/>
          <w:u w:val="single" w:color="auto"/>
          <w:color w:val="auto"/>
        </w:rPr>
        <w:t>Title to the Company Assets</w:t>
      </w:r>
      <w:r>
        <w:rPr>
          <w:rFonts w:ascii="Times New Roman" w:cs="Times New Roman" w:eastAsia="Times New Roman" w:hAnsi="Times New Roman"/>
          <w:sz w:val="22"/>
          <w:szCs w:val="22"/>
          <w:color w:val="auto"/>
        </w:rPr>
        <w:t>. The Company’s assets shall be deemed to be owned by the Company as an entity, and no Unitholder, individually or collectively, shall have any ownership interest in such assets or any portion thereof. Legal title to any or all of such assets may be held in the name of the Company or one or more nominees, as the Board may determine. The Board hereby declares and warrants that any Company assets for which legal title is held in the name of any nominee shall be held in trust by such nominee for the use and benefit of the Company in accordance with the provisions of this Agreement. All the Company assets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1" w:name="page152"/>
    <w:bookmarkEnd w:id="15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recorded as the property of the Company on its books and records, irrespective of the name in which legal title to such assets is held.</w:t>
      </w:r>
    </w:p>
    <w:p>
      <w:pPr>
        <w:spacing w:after="0" w:line="1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Section 12.4 </w:t>
      </w: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color w:val="auto"/>
        </w:rPr>
        <w:t>. Each Unitholder and the Company shall have all rights and remedies set forth in this Agreement and all rights and 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spacing w:after="0" w:line="20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 xml:space="preserve">Section 12.5 </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All covenants and agreements contained in this Agreement shall bind and inure to the benefit of the parties hereto and their respective heirs, executors, administrators, successors, legal representatives and permitted assigns, whether so expressed or not.</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Section 12.6 </w:t>
      </w: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 or if such term or provision could be drawn more narrowly so as not to be illegal, invalid, prohibited or unenforceable in such jurisdiction, it shall be so narrowly drawn, as to such jurisdiction, without invalidating the remaining terms and provisions of this Agreement or affecting the legality, validity or enforceability of such term or provision in any other jurisdiction.</w:t>
      </w:r>
    </w:p>
    <w:p>
      <w:pPr>
        <w:spacing w:after="0" w:line="1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Section 12.7 </w:t>
      </w:r>
      <w:r>
        <w:rPr>
          <w:rFonts w:ascii="Times New Roman" w:cs="Times New Roman" w:eastAsia="Times New Roman" w:hAnsi="Times New Roman"/>
          <w:sz w:val="22"/>
          <w:szCs w:val="22"/>
          <w:b w:val="1"/>
          <w:bCs w:val="1"/>
          <w:u w:val="single" w:color="auto"/>
          <w:color w:val="auto"/>
        </w:rPr>
        <w:t>Counterparts; Binding Agreement</w:t>
      </w:r>
      <w:r>
        <w:rPr>
          <w:rFonts w:ascii="Times New Roman" w:cs="Times New Roman" w:eastAsia="Times New Roman" w:hAnsi="Times New Roman"/>
          <w:sz w:val="22"/>
          <w:szCs w:val="22"/>
          <w:color w:val="auto"/>
        </w:rPr>
        <w:t>. This Agreement may be executed simultaneously in two or more separate counterparts, any one of which need not contain the signatures of more than one party, but each of which will be an original and all of which together shall constitute one and the same agreement binding on all the parties hereto. This Agreement and all of the provisions hereof shall be binding upon and effective as to each Person who (a) executes this Agreement in the appropriate space provided in the signature pages hereto notwithstanding the fact that other Persons who have not executed this Agreement may be listed on the signature pages hereto and (b) may from time to time become a party to this Agreement by executing a counterpart of or joinder to this Agreement.</w:t>
      </w:r>
    </w:p>
    <w:p>
      <w:pPr>
        <w:spacing w:after="0" w:line="176"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 xml:space="preserve">Section 12.8 </w:t>
      </w:r>
      <w:r>
        <w:rPr>
          <w:rFonts w:ascii="Times New Roman" w:cs="Times New Roman" w:eastAsia="Times New Roman" w:hAnsi="Times New Roman"/>
          <w:sz w:val="22"/>
          <w:szCs w:val="22"/>
          <w:b w:val="1"/>
          <w:bCs w:val="1"/>
          <w:u w:val="single" w:color="auto"/>
          <w:color w:val="auto"/>
        </w:rPr>
        <w:t>Descriptive Headings; Interpretation</w:t>
      </w:r>
      <w:r>
        <w:rPr>
          <w:rFonts w:ascii="Times New Roman" w:cs="Times New Roman" w:eastAsia="Times New Roman" w:hAnsi="Times New Roman"/>
          <w:sz w:val="22"/>
          <w:szCs w:val="22"/>
          <w:color w:val="auto"/>
        </w:rPr>
        <w:t>.The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Whenever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to the fullest extent permitted by law,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21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 xml:space="preserve">Section 12.9 </w:t>
      </w: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This Agreement shall be governed by, and construed in accordance with, the laws of the State of Delaware, without giving effect to any choice of law or conflict of law rules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2" w:name="page153"/>
    <w:bookmarkEnd w:id="152"/>
    <w:p>
      <w:pPr>
        <w:jc w:val="both"/>
        <w:spacing w:after="0" w:line="259" w:lineRule="auto"/>
        <w:rPr>
          <w:sz w:val="20"/>
          <w:szCs w:val="20"/>
          <w:color w:val="auto"/>
        </w:rPr>
      </w:pPr>
      <w:r>
        <w:rPr>
          <w:rFonts w:ascii="Times New Roman" w:cs="Times New Roman" w:eastAsia="Times New Roman" w:hAnsi="Times New Roman"/>
          <w:sz w:val="22"/>
          <w:szCs w:val="22"/>
          <w:color w:val="auto"/>
        </w:rPr>
        <w:t>(whether of the State of Delaware or any other jurisdiction) that would cause the application of the laws of any jurisdiction other than the State of Delaware.</w:t>
      </w:r>
    </w:p>
    <w:p>
      <w:pPr>
        <w:spacing w:after="0" w:line="1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Section 12.10 </w:t>
      </w:r>
      <w:r>
        <w:rPr>
          <w:rFonts w:ascii="Times New Roman" w:cs="Times New Roman" w:eastAsia="Times New Roman" w:hAnsi="Times New Roman"/>
          <w:sz w:val="22"/>
          <w:szCs w:val="22"/>
          <w:b w:val="1"/>
          <w:bCs w:val="1"/>
          <w:u w:val="single" w:color="auto"/>
          <w:color w:val="auto"/>
        </w:rPr>
        <w:t>Addresses and Notices</w:t>
      </w:r>
      <w:r>
        <w:rPr>
          <w:rFonts w:ascii="Times New Roman" w:cs="Times New Roman" w:eastAsia="Times New Roman" w:hAnsi="Times New Roman"/>
          <w:sz w:val="22"/>
          <w:szCs w:val="22"/>
          <w:color w:val="auto"/>
        </w:rPr>
        <w:t>. All notices, demands or other communications to be given or delivered under or by reason of the provisions of this Agreement shall be in writing and shall be deemed to have been given or made when (a) delivered personally to the recipient, (b) telecopied to the recipient, or delivered by means of electronic mail (with hard copy sent to the recipient by reputable overnight courier service (charges prepaid) that same day) if telecopied/emailed before 5:00 p.m. New York, New York time on a Business Day, and otherwise on the next Business Day, or (c) one (1) Business Day after being sent to the recipient by reputable overnight courier service (charges prepaid). Such notices, demands and other communications shall be sent to the address for such recipient set forth in the Company’s books and records, or to such other address or to the attention of such other person as the recipient party has specified by prior written notice to the sending party.</w:t>
      </w:r>
    </w:p>
    <w:p>
      <w:pPr>
        <w:spacing w:after="0" w:line="1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Section 12.11 </w:t>
      </w:r>
      <w:r>
        <w:rPr>
          <w:rFonts w:ascii="Times New Roman" w:cs="Times New Roman" w:eastAsia="Times New Roman" w:hAnsi="Times New Roman"/>
          <w:sz w:val="22"/>
          <w:szCs w:val="22"/>
          <w:b w:val="1"/>
          <w:bCs w:val="1"/>
          <w:u w:val="single" w:color="auto"/>
          <w:color w:val="auto"/>
        </w:rPr>
        <w:t>Creditors</w:t>
      </w:r>
      <w:r>
        <w:rPr>
          <w:rFonts w:ascii="Times New Roman" w:cs="Times New Roman" w:eastAsia="Times New Roman" w:hAnsi="Times New Roman"/>
          <w:sz w:val="22"/>
          <w:szCs w:val="22"/>
          <w:color w:val="auto"/>
        </w:rPr>
        <w:t xml:space="preserve">.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the Company’s Profits, Losses, Distributions, capital or property other than as a secured creditor. Notwithstanding the foregoing, each of the Indemnitees are intended third party beneficiaries of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and shall be entitled to enforce such provision (as it may be in effect from time to time).</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Section 12.12 </w:t>
      </w: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Section 12.13 </w:t>
      </w:r>
      <w:r>
        <w:rPr>
          <w:rFonts w:ascii="Times New Roman" w:cs="Times New Roman" w:eastAsia="Times New Roman" w:hAnsi="Times New Roman"/>
          <w:sz w:val="22"/>
          <w:szCs w:val="22"/>
          <w:b w:val="1"/>
          <w:bCs w:val="1"/>
          <w:u w:val="single" w:color="auto"/>
          <w:color w:val="auto"/>
        </w:rPr>
        <w:t>Further Action</w:t>
      </w:r>
      <w:r>
        <w:rPr>
          <w:rFonts w:ascii="Times New Roman" w:cs="Times New Roman" w:eastAsia="Times New Roman" w:hAnsi="Times New Roman"/>
          <w:sz w:val="22"/>
          <w:szCs w:val="22"/>
          <w:color w:val="auto"/>
        </w:rPr>
        <w:t>. The parties agree to execute and deliver all documents, provide all information and take or refrain from taking such actions as may be necessary or appropriate to achieve the purposes of this Agreement.</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Section 12.14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and the other Transaction Documents embody the complete agreement and understanding among the parties with respect to the subject matter herein and supersede and preempt any prior understandings, agreements or representations by or among the parties, written or oral, which may have related to the subject matter hereof in any way.</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Section 12.15 </w:t>
      </w:r>
      <w:r>
        <w:rPr>
          <w:rFonts w:ascii="Times New Roman" w:cs="Times New Roman" w:eastAsia="Times New Roman" w:hAnsi="Times New Roman"/>
          <w:sz w:val="21"/>
          <w:szCs w:val="21"/>
          <w:b w:val="1"/>
          <w:bCs w:val="1"/>
          <w:u w:val="single" w:color="auto"/>
          <w:color w:val="auto"/>
        </w:rPr>
        <w:t>Delivery by Electronic Means</w:t>
      </w:r>
      <w:r>
        <w:rPr>
          <w:rFonts w:ascii="Times New Roman" w:cs="Times New Roman" w:eastAsia="Times New Roman" w:hAnsi="Times New Roman"/>
          <w:sz w:val="21"/>
          <w:szCs w:val="21"/>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electronic transmission in portable document format (pdf) or comparable electronic transmission,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pdf electronic transmission or comparable electronic transmission to deliver a signature or the fact that any signature or agreement or instrument was transmitted or communicated through the use of a facsimile machine as a defense to the formation or enforceability of a contract and each such party forever waives any such defense.</w:t>
      </w:r>
    </w:p>
    <w:p>
      <w:pPr>
        <w:spacing w:after="0" w:line="1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Section 12.16 </w:t>
      </w:r>
      <w:r>
        <w:rPr>
          <w:rFonts w:ascii="Times New Roman" w:cs="Times New Roman" w:eastAsia="Times New Roman" w:hAnsi="Times New Roman"/>
          <w:sz w:val="22"/>
          <w:szCs w:val="22"/>
          <w:b w:val="1"/>
          <w:bCs w:val="1"/>
          <w:u w:val="single" w:color="auto"/>
          <w:color w:val="auto"/>
        </w:rPr>
        <w:t>Certain Acknowledgments</w:t>
      </w:r>
      <w:r>
        <w:rPr>
          <w:rFonts w:ascii="Times New Roman" w:cs="Times New Roman" w:eastAsia="Times New Roman" w:hAnsi="Times New Roman"/>
          <w:sz w:val="22"/>
          <w:szCs w:val="22"/>
          <w:color w:val="auto"/>
        </w:rPr>
        <w:t>. This Agreement shall be considered for all purposes as having been prepared through the joint efforts of the parties. No presumption shall apply in favor of any party in the interpretation of this Agreement or in the resolution of any ambiguity of any provision hereof based on the preparation, substitution, submission or other event of negotiation, drafting or execution hereof. Each Member and Unitholder acknowledges that it/he/she is entitled to and has been afforded the opportunity to consult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3" w:name="page154"/>
    <w:bookmarkEnd w:id="153"/>
    <w:p>
      <w:pPr>
        <w:jc w:val="both"/>
        <w:spacing w:after="0" w:line="235" w:lineRule="auto"/>
        <w:rPr>
          <w:sz w:val="20"/>
          <w:szCs w:val="20"/>
          <w:color w:val="auto"/>
        </w:rPr>
      </w:pPr>
      <w:r>
        <w:rPr>
          <w:rFonts w:ascii="Times New Roman" w:cs="Times New Roman" w:eastAsia="Times New Roman" w:hAnsi="Times New Roman"/>
          <w:sz w:val="22"/>
          <w:szCs w:val="22"/>
          <w:color w:val="auto"/>
        </w:rPr>
        <w:t>counsel of its choice regarding the terms, conditions and legal effects of this Agreement, as well as the advisability and propriety thereof. Each Member and Unitholder further acknowledges that having so consulted with legal counsel of its choosing, such Member or Unitholder hereby waives any right to raise or rely upon the lack of representation or effective representation in any future proceedings or in connection with any future claim resulting from this Agreement or the formation of the Company. THE COMPANY, THE MEMBERS AND THE UNITHOLDERS ACKNOWLEDGE THAT LATHAM &amp; WATKINS LLP HAS ONLY REPRESENTED THE COMPANY WITH RESPECT TO THE NEGOTIATION AND PREPARATION OF THIS AGREEMENT, AND HAS NOT REPRESENTED THE MEMBERS OR THE UNITHOLDERS WITH RESPECT TO SUCH MATTERS.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12.17 </w:t>
      </w:r>
      <w:r>
        <w:rPr>
          <w:rFonts w:ascii="Times New Roman" w:cs="Times New Roman" w:eastAsia="Times New Roman" w:hAnsi="Times New Roman"/>
          <w:sz w:val="22"/>
          <w:szCs w:val="22"/>
          <w:b w:val="1"/>
          <w:bCs w:val="1"/>
          <w:u w:val="single" w:color="auto"/>
          <w:color w:val="auto"/>
        </w:rPr>
        <w:t>Consent to Jurisdiction; WAIVER OF TRIAL BY JURY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
        <w:spacing w:after="0" w:line="233" w:lineRule="auto"/>
        <w:tabs>
          <w:tab w:leader="none" w:pos="73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Each Unitholder irrevocably submits to the exclusive jurisdiction of the United States District Court for the State of Delaware and the state courts of the State of Delaware for the purposes of any suit, action or other proceeding arising out of this Agreement or any transaction contemplated hereby. Each Unitholder further agrees that service of any process, summons, notice or document by United States certified or registered mail (in each such case, prepaid return receipt requested) to such Unitholder’s respective address set forth in the Company’s books and records or such other address or to the attention of such other person as the recipient party has specified by prior written notice to the sending party shall be effective service of process in any action, suit or proceeding in Delaware with respect to any matters to which it has submitted to jurisdiction as set forth above in the immediately preceding sentence. Each Unitholder irrevocably and unconditionally waives any objection to the laying of venue of any action, suit or proceeding arising out of this Agreement or the transactions contemplated hereby in the United States District Court for the State of Delaware or the state courts of the State of Delaware and hereby irrevocably and unconditionally waives and agrees not to plead or claim in any such court that any such action, suit or proceeding brought in such court has been brought in an inconvenient forum.</w:t>
      </w:r>
    </w:p>
    <w:p>
      <w:pPr>
        <w:spacing w:after="0" w:line="2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WAIVER OF TRIAL BY JURY</w:t>
      </w:r>
      <w:r>
        <w:rPr>
          <w:rFonts w:ascii="Times New Roman" w:cs="Times New Roman" w:eastAsia="Times New Roman" w:hAnsi="Times New Roman"/>
          <w:sz w:val="22"/>
          <w:szCs w:val="22"/>
          <w:color w:val="auto"/>
        </w:rPr>
        <w:t>. BECAUSE DISPUTES ARISING IN CONNECTION WITH COMPLEX TRANSACTIONS ARE MOST QUICKLY AND ECONOMICALLY RESOLVED BY AN EXPERIENCED AND EXPERT PERSON AND THE PARTIES WISH APPLICABLE STATE AND FEDERAL LAWS TO APPLY (RATHER THAN ARBITRATION RULES), THE PARTIES DESIRE THAT THEIR DISPUTES BE RESOLVED BY A JUDGE APPLYING SUCH APPLICABLE LAWS. THEREFORE, TO ACHIEVE THE BEST COMBINATION OF THE BENEFITS OF THE JUDICIAL SYSTEM AND OF ARBITRATION, EACH PARTY TO THIS AGREEMENT (INCLUDING THE COMPANY) HEREBY WAIVES ALL RIGHTS TO TRIAL BY JURY IN ANY ACTION, SUIT, OR PROCEEDING BROUGHT TO RESOLVE ANY DISPUTE BETWEEN OR AMONG ANY OF THE PARTIES HERETO, WHETHER ARISING IN CONTRACT, TORT, OR OTHERWISE, ARISING OUT OF, CONNECTED WITH, RELATED OR INCIDENTAL TO THIS AGREEMENT, THE TRANSACTIONS CONTEMPLATED HEREBY AND/OR THE RELATIONSHIPS ESTABLISHED AMONG THE PARTIES HEREUNDER.</w:t>
      </w:r>
    </w:p>
    <w:p>
      <w:pPr>
        <w:spacing w:after="0" w:line="210" w:lineRule="exact"/>
        <w:rPr>
          <w:sz w:val="20"/>
          <w:szCs w:val="20"/>
          <w:color w:val="auto"/>
        </w:rPr>
      </w:pPr>
    </w:p>
    <w:p>
      <w:pPr>
        <w:ind w:right="660"/>
        <w:spacing w:after="0" w:line="262" w:lineRule="auto"/>
        <w:rPr>
          <w:sz w:val="20"/>
          <w:szCs w:val="20"/>
          <w:color w:val="auto"/>
        </w:rPr>
      </w:pPr>
      <w:r>
        <w:rPr>
          <w:rFonts w:ascii="Times New Roman" w:cs="Times New Roman" w:eastAsia="Times New Roman" w:hAnsi="Times New Roman"/>
          <w:sz w:val="22"/>
          <w:szCs w:val="22"/>
          <w:color w:val="auto"/>
        </w:rPr>
        <w:t xml:space="preserve">Section 12.18 </w:t>
      </w: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 By execution of this Agreement, each Member severally represents and warrants as follows:</w:t>
      </w:r>
    </w:p>
    <w:p>
      <w:pPr>
        <w:spacing w:after="0" w:line="181" w:lineRule="exact"/>
        <w:rPr>
          <w:sz w:val="20"/>
          <w:szCs w:val="20"/>
          <w:color w:val="auto"/>
        </w:rPr>
      </w:pPr>
    </w:p>
    <w:p>
      <w:pPr>
        <w:ind w:firstLine="8"/>
        <w:spacing w:after="0" w:line="258" w:lineRule="auto"/>
        <w:tabs>
          <w:tab w:leader="none" w:pos="71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 has full legal right, power, and authority to deliver this Agreement and the other Transaction Documents and to perform such Member’s obligations hereunder and thereunder;</w:t>
      </w:r>
    </w:p>
    <w:p>
      <w:pPr>
        <w:spacing w:after="0" w:line="185" w:lineRule="exact"/>
        <w:rPr>
          <w:rFonts w:ascii="Times New Roman" w:cs="Times New Roman" w:eastAsia="Times New Roman" w:hAnsi="Times New Roman"/>
          <w:sz w:val="22"/>
          <w:szCs w:val="22"/>
          <w:color w:val="auto"/>
        </w:rPr>
      </w:pPr>
    </w:p>
    <w:p>
      <w:pPr>
        <w:jc w:val="both"/>
        <w:ind w:firstLine="8"/>
        <w:spacing w:after="0" w:line="244" w:lineRule="auto"/>
        <w:tabs>
          <w:tab w:leader="none" w:pos="69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other Transaction Documents constitute the legal, valid,and binding obligation of such Member enforceable in accordance with its respective terms, except as the enforcement thereof may be limited by bankruptcy and other laws of general application relating to creditors’ rights or general principles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4" w:name="page155"/>
    <w:bookmarkEnd w:id="154"/>
    <w:p>
      <w:pPr>
        <w:jc w:val="both"/>
        <w:ind w:firstLine="8"/>
        <w:spacing w:after="0" w:line="244" w:lineRule="auto"/>
        <w:tabs>
          <w:tab w:leader="none" w:pos="83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the other Transaction Documents violate, conflict with, result in a breach of the terms, conditions or provisions of, or constitute a default or an event of default under any other agreement of which such Member is a party; and</w:t>
      </w:r>
    </w:p>
    <w:p>
      <w:pPr>
        <w:spacing w:after="0" w:line="201" w:lineRule="exact"/>
        <w:rPr>
          <w:rFonts w:ascii="Times New Roman" w:cs="Times New Roman" w:eastAsia="Times New Roman" w:hAnsi="Times New Roman"/>
          <w:sz w:val="22"/>
          <w:szCs w:val="22"/>
          <w:color w:val="auto"/>
        </w:rPr>
      </w:pPr>
    </w:p>
    <w:p>
      <w:pPr>
        <w:ind w:firstLine="8"/>
        <w:spacing w:after="0" w:line="258" w:lineRule="auto"/>
        <w:tabs>
          <w:tab w:leader="none" w:pos="68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Member’s investment in Units in the Company is made for such Member’s own account for investment purposes only and not with a view to the resale or distribution of such Units.</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Section 12.19 </w:t>
      </w:r>
      <w:r>
        <w:rPr>
          <w:rFonts w:ascii="Times New Roman" w:cs="Times New Roman" w:eastAsia="Times New Roman" w:hAnsi="Times New Roman"/>
          <w:sz w:val="22"/>
          <w:szCs w:val="22"/>
          <w:b w:val="1"/>
          <w:bCs w:val="1"/>
          <w:u w:val="single" w:color="auto"/>
          <w:color w:val="auto"/>
        </w:rPr>
        <w:t>Tax Receivable Agreement</w:t>
      </w:r>
      <w:r>
        <w:rPr>
          <w:rFonts w:ascii="Times New Roman" w:cs="Times New Roman" w:eastAsia="Times New Roman" w:hAnsi="Times New Roman"/>
          <w:sz w:val="22"/>
          <w:szCs w:val="22"/>
          <w:color w:val="auto"/>
        </w:rPr>
        <w:t>. The Tax Receivable Agreement shall be treated as part of this Agreement as described in Section 761(c) of the Code, and Treasury Regulations Sections 1.704-1(b)(2)(ii)(h) and 1.761-1(c) with respect to payments to a Member with respect to an Exchange (as defined in the Tax Receivable Agreement) by such Member.</w:t>
      </w:r>
    </w:p>
    <w:p>
      <w:pPr>
        <w:spacing w:after="0" w:line="200" w:lineRule="exact"/>
        <w:rPr>
          <w:sz w:val="20"/>
          <w:szCs w:val="20"/>
          <w:color w:val="auto"/>
        </w:rPr>
      </w:pPr>
    </w:p>
    <w:p>
      <w:pPr>
        <w:spacing w:after="0" w:line="24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have executed or caused to be executed on their behalf this Second Amended and Restated Limited Liability Company Agreement as of the date first written above.</w:t>
      </w:r>
    </w:p>
    <w:p>
      <w:pPr>
        <w:spacing w:after="0" w:line="18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Hoya Intermediate, LLC</w:t>
      </w:r>
    </w:p>
    <w:p>
      <w:pPr>
        <w:spacing w:after="0" w:line="26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By: /s/ Stanley Chia</w:t>
      </w:r>
    </w:p>
    <w:p>
      <w:pPr>
        <w:spacing w:after="0" w:line="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-158750</wp:posOffset>
            </wp:positionV>
            <wp:extent cx="325755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6120"/>
        <w:spacing w:after="0"/>
        <w:rPr>
          <w:sz w:val="20"/>
          <w:szCs w:val="20"/>
          <w:color w:val="auto"/>
        </w:rPr>
      </w:pPr>
      <w:r>
        <w:rPr>
          <w:rFonts w:ascii="Times New Roman" w:cs="Times New Roman" w:eastAsia="Times New Roman" w:hAnsi="Times New Roman"/>
          <w:sz w:val="22"/>
          <w:szCs w:val="22"/>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5" w:name="page156"/>
    <w:bookmarkEnd w:id="155"/>
    <w:p>
      <w:pPr>
        <w:jc w:val="right"/>
        <w:spacing w:after="0"/>
        <w:rPr>
          <w:sz w:val="20"/>
          <w:szCs w:val="20"/>
          <w:color w:val="auto"/>
        </w:rPr>
      </w:pPr>
      <w:r>
        <w:rPr>
          <w:rFonts w:ascii="Calibri" w:cs="Calibri" w:eastAsia="Calibri" w:hAnsi="Calibri"/>
          <w:sz w:val="18"/>
          <w:szCs w:val="18"/>
          <w:b w:val="1"/>
          <w:bCs w:val="1"/>
          <w:color w:val="auto"/>
        </w:rPr>
        <w:t>Exhibit 21.1</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4840" w:type="dxa"/>
            <w:vAlign w:val="bottom"/>
            <w:tcBorders>
              <w:top w:val="single" w:sz="8" w:color="auto"/>
              <w:left w:val="single" w:sz="8" w:color="auto"/>
              <w:right w:val="single" w:sz="8" w:color="auto"/>
            </w:tcBorders>
          </w:tcPr>
          <w:p>
            <w:pPr>
              <w:ind w:left="120"/>
              <w:spacing w:after="0"/>
              <w:rPr>
                <w:sz w:val="20"/>
                <w:szCs w:val="20"/>
                <w:color w:val="auto"/>
              </w:rPr>
            </w:pPr>
            <w:r>
              <w:rPr>
                <w:rFonts w:ascii="Calibri" w:cs="Calibri" w:eastAsia="Calibri" w:hAnsi="Calibri"/>
                <w:sz w:val="18"/>
                <w:szCs w:val="18"/>
                <w:b w:val="1"/>
                <w:bCs w:val="1"/>
                <w:color w:val="auto"/>
              </w:rPr>
              <w:t>Subsidiary</w:t>
            </w:r>
          </w:p>
        </w:tc>
        <w:tc>
          <w:tcPr>
            <w:tcW w:w="4820" w:type="dxa"/>
            <w:vAlign w:val="bottom"/>
            <w:tcBorders>
              <w:top w:val="single" w:sz="8" w:color="auto"/>
              <w:right w:val="single" w:sz="8" w:color="auto"/>
            </w:tcBorders>
          </w:tcPr>
          <w:p>
            <w:pPr>
              <w:ind w:left="100"/>
              <w:spacing w:after="0"/>
              <w:rPr>
                <w:sz w:val="20"/>
                <w:szCs w:val="20"/>
                <w:color w:val="auto"/>
              </w:rPr>
            </w:pPr>
            <w:r>
              <w:rPr>
                <w:rFonts w:ascii="Calibri" w:cs="Calibri" w:eastAsia="Calibri" w:hAnsi="Calibri"/>
                <w:sz w:val="18"/>
                <w:szCs w:val="18"/>
                <w:b w:val="1"/>
                <w:bCs w:val="1"/>
                <w:color w:val="auto"/>
              </w:rPr>
              <w:t>Jurisdicton of Incorporaton or Organizaton</w:t>
            </w:r>
          </w:p>
        </w:tc>
        <w:tc>
          <w:tcPr>
            <w:tcW w:w="1580" w:type="dxa"/>
            <w:vAlign w:val="bottom"/>
          </w:tcPr>
          <w:p>
            <w:pPr>
              <w:spacing w:after="0"/>
              <w:rPr>
                <w:sz w:val="20"/>
                <w:szCs w:val="20"/>
                <w:color w:val="auto"/>
              </w:rPr>
            </w:pPr>
          </w:p>
        </w:tc>
      </w:tr>
      <w:tr>
        <w:trPr>
          <w:trHeight w:val="42"/>
        </w:trPr>
        <w:tc>
          <w:tcPr>
            <w:tcW w:w="4840" w:type="dxa"/>
            <w:vAlign w:val="bottom"/>
            <w:tcBorders>
              <w:left w:val="single" w:sz="8" w:color="auto"/>
              <w:bottom w:val="single" w:sz="8" w:color="auto"/>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c>
          <w:tcPr>
            <w:tcW w:w="1580" w:type="dxa"/>
            <w:vAlign w:val="bottom"/>
          </w:tcPr>
          <w:p>
            <w:pPr>
              <w:spacing w:after="0"/>
              <w:rPr>
                <w:sz w:val="3"/>
                <w:szCs w:val="3"/>
                <w:color w:val="auto"/>
              </w:rPr>
            </w:pPr>
          </w:p>
        </w:tc>
      </w:tr>
      <w:tr>
        <w:trPr>
          <w:trHeight w:val="195"/>
        </w:trPr>
        <w:tc>
          <w:tcPr>
            <w:tcW w:w="4840" w:type="dxa"/>
            <w:vAlign w:val="bottom"/>
            <w:tcBorders>
              <w:left w:val="single" w:sz="8" w:color="auto"/>
              <w:right w:val="single" w:sz="8" w:color="auto"/>
            </w:tcBorders>
          </w:tcPr>
          <w:p>
            <w:pPr>
              <w:ind w:left="120"/>
              <w:spacing w:after="0" w:line="195" w:lineRule="exact"/>
              <w:rPr>
                <w:sz w:val="20"/>
                <w:szCs w:val="20"/>
                <w:color w:val="auto"/>
              </w:rPr>
            </w:pPr>
            <w:r>
              <w:rPr>
                <w:rFonts w:ascii="Calibri" w:cs="Calibri" w:eastAsia="Calibri" w:hAnsi="Calibri"/>
                <w:sz w:val="18"/>
                <w:szCs w:val="18"/>
                <w:color w:val="auto"/>
              </w:rPr>
              <w:t>CM6B Vivid Equity, Inc.</w:t>
            </w:r>
          </w:p>
        </w:tc>
        <w:tc>
          <w:tcPr>
            <w:tcW w:w="4820" w:type="dxa"/>
            <w:vAlign w:val="bottom"/>
            <w:tcBorders>
              <w:right w:val="single" w:sz="8" w:color="auto"/>
            </w:tcBorders>
          </w:tcPr>
          <w:p>
            <w:pPr>
              <w:ind w:left="100"/>
              <w:spacing w:after="0" w:line="195" w:lineRule="exact"/>
              <w:rPr>
                <w:sz w:val="20"/>
                <w:szCs w:val="20"/>
                <w:color w:val="auto"/>
              </w:rPr>
            </w:pPr>
            <w:r>
              <w:rPr>
                <w:rFonts w:ascii="Calibri" w:cs="Calibri" w:eastAsia="Calibri" w:hAnsi="Calibri"/>
                <w:sz w:val="18"/>
                <w:szCs w:val="18"/>
                <w:color w:val="auto"/>
              </w:rPr>
              <w:t>Delaware</w:t>
            </w:r>
          </w:p>
        </w:tc>
        <w:tc>
          <w:tcPr>
            <w:tcW w:w="1580" w:type="dxa"/>
            <w:vAlign w:val="bottom"/>
          </w:tcPr>
          <w:p>
            <w:pPr>
              <w:spacing w:after="0"/>
              <w:rPr>
                <w:sz w:val="16"/>
                <w:szCs w:val="16"/>
                <w:color w:val="auto"/>
              </w:rPr>
            </w:pPr>
          </w:p>
        </w:tc>
      </w:tr>
      <w:tr>
        <w:trPr>
          <w:trHeight w:val="25"/>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Hoya Intermediate, LLC</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Delaware</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Hoya Midco, LLC</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Delaware</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Vivid Seats LLC</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Delaware</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ActCo LLC</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Delaware</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Actve Ticket Company LP</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Delaware</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Vivid Hospitality LLC</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Illinois</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World Ticket Source, LLC</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Delaware</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Skybox Ticket Resale Platorm LLC</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Illinois</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Vivid Seats Canada Ltd.</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Canada</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FanXchange Internatonal, Inc.</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Delaware</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Ticket Website LLC</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Delaware</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Ticket Fulfllment Services LP</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Delaware</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Vivid Cheers, Inc.</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Delaware</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Vivid Picks, LLC</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Delaware</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4840" w:type="dxa"/>
            <w:vAlign w:val="bottom"/>
            <w:tcBorders>
              <w:left w:val="single" w:sz="8" w:color="auto"/>
              <w:right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Vivid Seats Canada Ltd.</w:t>
            </w:r>
          </w:p>
        </w:tc>
        <w:tc>
          <w:tcPr>
            <w:tcW w:w="482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Britsh Columbia</w:t>
            </w:r>
          </w:p>
        </w:tc>
        <w:tc>
          <w:tcPr>
            <w:tcW w:w="1580" w:type="dxa"/>
            <w:vAlign w:val="bottom"/>
          </w:tcPr>
          <w:p>
            <w:pPr>
              <w:spacing w:after="0"/>
              <w:rPr>
                <w:sz w:val="18"/>
                <w:szCs w:val="18"/>
                <w:color w:val="auto"/>
              </w:rPr>
            </w:pPr>
          </w:p>
        </w:tc>
      </w:tr>
      <w:tr>
        <w:trPr>
          <w:trHeight w:val="28"/>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48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6" w:name="page157"/>
    <w:bookmarkEnd w:id="156"/>
    <w:p>
      <w:pPr>
        <w:jc w:val="right"/>
        <w:spacing w:after="0"/>
        <w:rPr>
          <w:sz w:val="20"/>
          <w:szCs w:val="20"/>
          <w:color w:val="auto"/>
        </w:rPr>
      </w:pPr>
      <w:r>
        <w:rPr>
          <w:rFonts w:ascii="Calibri" w:cs="Calibri" w:eastAsia="Calibri" w:hAnsi="Calibri"/>
          <w:sz w:val="18"/>
          <w:szCs w:val="18"/>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CONSENT OF INDEPENDENT REGISTERED PUBLIC ACCOUNTING FIRM</w:t>
      </w:r>
    </w:p>
    <w:p>
      <w:pPr>
        <w:spacing w:after="0" w:line="158" w:lineRule="exact"/>
        <w:rPr>
          <w:sz w:val="20"/>
          <w:szCs w:val="20"/>
          <w:color w:val="auto"/>
        </w:rPr>
      </w:pPr>
    </w:p>
    <w:p>
      <w:pPr>
        <w:ind w:right="20"/>
        <w:spacing w:after="0" w:line="246" w:lineRule="auto"/>
        <w:rPr>
          <w:sz w:val="20"/>
          <w:szCs w:val="20"/>
          <w:color w:val="auto"/>
        </w:rPr>
      </w:pPr>
      <w:r>
        <w:rPr>
          <w:rFonts w:ascii="Calibri" w:cs="Calibri" w:eastAsia="Calibri" w:hAnsi="Calibri"/>
          <w:sz w:val="16"/>
          <w:szCs w:val="16"/>
          <w:color w:val="auto"/>
        </w:rPr>
        <w:t>We consent to the incorporaton by reference in Registraton Statement No. 333-260332 on Form S-8 and Registraton Statement No. 333-260839 on Form S-3 of our report dated March 7, 2023 relatng to the fnancial statements of Vivid Seats Inc. appearing in this Annual Report on Form 10-K for the year ended December 31, 2022.</w:t>
      </w:r>
    </w:p>
    <w:p>
      <w:pPr>
        <w:spacing w:after="0" w:line="205" w:lineRule="exact"/>
        <w:rPr>
          <w:sz w:val="20"/>
          <w:szCs w:val="20"/>
          <w:color w:val="auto"/>
        </w:rPr>
      </w:pPr>
    </w:p>
    <w:p>
      <w:pPr>
        <w:spacing w:after="0"/>
        <w:rPr>
          <w:sz w:val="20"/>
          <w:szCs w:val="20"/>
          <w:color w:val="auto"/>
        </w:rPr>
      </w:pPr>
      <w:r>
        <w:rPr>
          <w:rFonts w:ascii="Calibri" w:cs="Calibri" w:eastAsia="Calibri" w:hAnsi="Calibri"/>
          <w:sz w:val="16"/>
          <w:szCs w:val="16"/>
          <w:color w:val="auto"/>
        </w:rPr>
        <w:t>/s/ Deloite &amp; Touche LLP</w:t>
      </w:r>
    </w:p>
    <w:p>
      <w:pPr>
        <w:spacing w:after="0" w:line="142" w:lineRule="exact"/>
        <w:rPr>
          <w:sz w:val="20"/>
          <w:szCs w:val="20"/>
          <w:color w:val="auto"/>
        </w:rPr>
      </w:pPr>
    </w:p>
    <w:p>
      <w:pPr>
        <w:spacing w:after="0"/>
        <w:rPr>
          <w:sz w:val="20"/>
          <w:szCs w:val="20"/>
          <w:color w:val="auto"/>
        </w:rPr>
      </w:pPr>
      <w:r>
        <w:rPr>
          <w:rFonts w:ascii="Calibri" w:cs="Calibri" w:eastAsia="Calibri" w:hAnsi="Calibri"/>
          <w:sz w:val="16"/>
          <w:szCs w:val="16"/>
          <w:color w:val="auto"/>
        </w:rPr>
        <w:t>Chicago, Illinois</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color w:val="auto"/>
        </w:rPr>
        <w:t>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7" w:name="page158"/>
    <w:bookmarkEnd w:id="157"/>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Stanley Chia, certfy that:</w:t>
      </w:r>
    </w:p>
    <w:p>
      <w:pPr>
        <w:spacing w:after="0" w:line="226"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Annual Report on Form 10-K for the year ended December 31, 2022 of Vivid Seats Inc;</w:t>
      </w:r>
    </w:p>
    <w:p>
      <w:pPr>
        <w:spacing w:after="0" w:line="230" w:lineRule="exact"/>
        <w:rPr>
          <w:rFonts w:ascii="Times New Roman" w:cs="Times New Roman" w:eastAsia="Times New Roman" w:hAnsi="Times New Roman"/>
          <w:sz w:val="18"/>
          <w:szCs w:val="18"/>
          <w:color w:val="auto"/>
        </w:rPr>
      </w:pPr>
    </w:p>
    <w:p>
      <w:pPr>
        <w:jc w:val="both"/>
        <w:ind w:left="520" w:right="260" w:hanging="512"/>
        <w:spacing w:after="0" w:line="235" w:lineRule="auto"/>
        <w:tabs>
          <w:tab w:leader="none" w:pos="520" w:val="left"/>
        </w:tabs>
        <w:numPr>
          <w:ilvl w:val="0"/>
          <w:numId w:val="1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2" w:lineRule="exact"/>
        <w:rPr>
          <w:rFonts w:ascii="Times New Roman" w:cs="Times New Roman" w:eastAsia="Times New Roman" w:hAnsi="Times New Roman"/>
          <w:sz w:val="18"/>
          <w:szCs w:val="18"/>
          <w:color w:val="auto"/>
        </w:rPr>
      </w:pPr>
    </w:p>
    <w:p>
      <w:pPr>
        <w:ind w:left="520" w:right="340" w:hanging="512"/>
        <w:spacing w:after="0" w:line="235" w:lineRule="auto"/>
        <w:tabs>
          <w:tab w:leader="none" w:pos="520" w:val="left"/>
        </w:tabs>
        <w:numPr>
          <w:ilvl w:val="0"/>
          <w:numId w:val="1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1" w:lineRule="exact"/>
        <w:rPr>
          <w:rFonts w:ascii="Times New Roman" w:cs="Times New Roman" w:eastAsia="Times New Roman" w:hAnsi="Times New Roman"/>
          <w:sz w:val="18"/>
          <w:szCs w:val="18"/>
          <w:color w:val="auto"/>
        </w:rPr>
      </w:pPr>
    </w:p>
    <w:p>
      <w:pPr>
        <w:ind w:left="520" w:right="460" w:hanging="512"/>
        <w:spacing w:after="0" w:line="235" w:lineRule="auto"/>
        <w:tabs>
          <w:tab w:leader="none" w:pos="520" w:val="left"/>
        </w:tabs>
        <w:numPr>
          <w:ilvl w:val="0"/>
          <w:numId w:val="1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for the registrant and have:</w:t>
      </w:r>
    </w:p>
    <w:p>
      <w:pPr>
        <w:spacing w:after="0" w:line="231" w:lineRule="exact"/>
        <w:rPr>
          <w:rFonts w:ascii="Times New Roman" w:cs="Times New Roman" w:eastAsia="Times New Roman" w:hAnsi="Times New Roman"/>
          <w:sz w:val="18"/>
          <w:szCs w:val="18"/>
          <w:color w:val="auto"/>
        </w:rPr>
      </w:pPr>
    </w:p>
    <w:p>
      <w:pPr>
        <w:ind w:left="1020" w:right="80" w:hanging="503"/>
        <w:spacing w:after="0" w:line="235" w:lineRule="auto"/>
        <w:tabs>
          <w:tab w:leader="none" w:pos="1020" w:val="left"/>
        </w:tabs>
        <w:numPr>
          <w:ilvl w:val="1"/>
          <w:numId w:val="1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[omited];</w:t>
      </w:r>
    </w:p>
    <w:p>
      <w:pPr>
        <w:spacing w:after="0" w:line="230" w:lineRule="exact"/>
        <w:rPr>
          <w:rFonts w:ascii="Times New Roman" w:cs="Times New Roman" w:eastAsia="Times New Roman" w:hAnsi="Times New Roman"/>
          <w:sz w:val="18"/>
          <w:szCs w:val="18"/>
          <w:color w:val="auto"/>
        </w:rPr>
      </w:pPr>
    </w:p>
    <w:p>
      <w:pPr>
        <w:jc w:val="both"/>
        <w:ind w:left="1020" w:right="520" w:hanging="503"/>
        <w:spacing w:after="0" w:line="258" w:lineRule="auto"/>
        <w:tabs>
          <w:tab w:leader="none" w:pos="1020" w:val="left"/>
        </w:tabs>
        <w:numPr>
          <w:ilvl w:val="1"/>
          <w:numId w:val="114"/>
        </w:numPr>
        <w:rPr>
          <w:rFonts w:ascii="Times New Roman" w:cs="Times New Roman" w:eastAsia="Times New Roman" w:hAnsi="Times New Roman"/>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5" w:lineRule="exact"/>
        <w:rPr>
          <w:rFonts w:ascii="Times New Roman" w:cs="Times New Roman" w:eastAsia="Times New Roman" w:hAnsi="Times New Roman"/>
          <w:sz w:val="17"/>
          <w:szCs w:val="17"/>
          <w:color w:val="auto"/>
        </w:rPr>
      </w:pPr>
    </w:p>
    <w:p>
      <w:pPr>
        <w:ind w:left="1020" w:right="100" w:hanging="503"/>
        <w:spacing w:after="0" w:line="235" w:lineRule="auto"/>
        <w:tabs>
          <w:tab w:leader="none" w:pos="1020" w:val="left"/>
        </w:tabs>
        <w:numPr>
          <w:ilvl w:val="1"/>
          <w:numId w:val="1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32" w:lineRule="exact"/>
        <w:rPr>
          <w:rFonts w:ascii="Times New Roman" w:cs="Times New Roman" w:eastAsia="Times New Roman" w:hAnsi="Times New Roman"/>
          <w:sz w:val="18"/>
          <w:szCs w:val="18"/>
          <w:color w:val="auto"/>
        </w:rPr>
      </w:pPr>
    </w:p>
    <w:p>
      <w:pPr>
        <w:ind w:left="520" w:right="100" w:hanging="512"/>
        <w:spacing w:after="0" w:line="235" w:lineRule="auto"/>
        <w:tabs>
          <w:tab w:leader="none" w:pos="520" w:val="left"/>
        </w:tabs>
        <w:numPr>
          <w:ilvl w:val="0"/>
          <w:numId w:val="1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31"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1"/>
          <w:numId w:val="1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31" w:lineRule="exact"/>
        <w:rPr>
          <w:rFonts w:ascii="Times New Roman" w:cs="Times New Roman" w:eastAsia="Times New Roman" w:hAnsi="Times New Roman"/>
          <w:sz w:val="18"/>
          <w:szCs w:val="18"/>
          <w:color w:val="auto"/>
        </w:rPr>
      </w:pPr>
    </w:p>
    <w:p>
      <w:pPr>
        <w:ind w:left="1020" w:right="500" w:hanging="503"/>
        <w:spacing w:after="0" w:line="235" w:lineRule="auto"/>
        <w:tabs>
          <w:tab w:leader="none" w:pos="1020" w:val="left"/>
        </w:tabs>
        <w:numPr>
          <w:ilvl w:val="1"/>
          <w:numId w:val="1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67"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March 7, 2023</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8" w:name="page159"/>
    <w:bookmarkEnd w:id="158"/>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Lawrence Fey, certfy that:</w:t>
      </w:r>
    </w:p>
    <w:p>
      <w:pPr>
        <w:spacing w:after="0" w:line="226" w:lineRule="exact"/>
        <w:rPr>
          <w:sz w:val="20"/>
          <w:szCs w:val="20"/>
          <w:color w:val="auto"/>
        </w:rPr>
      </w:pPr>
    </w:p>
    <w:p>
      <w:pPr>
        <w:ind w:left="520" w:hanging="512"/>
        <w:spacing w:after="0"/>
        <w:tabs>
          <w:tab w:leader="none" w:pos="520" w:val="left"/>
        </w:tabs>
        <w:numPr>
          <w:ilvl w:val="0"/>
          <w:numId w:val="1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Annual Report on Form 10-K for the year ended December 31, 2022 of Vivid Seats Inc;</w:t>
      </w:r>
    </w:p>
    <w:p>
      <w:pPr>
        <w:spacing w:after="0" w:line="230" w:lineRule="exact"/>
        <w:rPr>
          <w:rFonts w:ascii="Times New Roman" w:cs="Times New Roman" w:eastAsia="Times New Roman" w:hAnsi="Times New Roman"/>
          <w:sz w:val="18"/>
          <w:szCs w:val="18"/>
          <w:color w:val="auto"/>
        </w:rPr>
      </w:pPr>
    </w:p>
    <w:p>
      <w:pPr>
        <w:jc w:val="both"/>
        <w:ind w:left="520" w:right="260" w:hanging="512"/>
        <w:spacing w:after="0" w:line="235" w:lineRule="auto"/>
        <w:tabs>
          <w:tab w:leader="none" w:pos="520" w:val="left"/>
        </w:tabs>
        <w:numPr>
          <w:ilvl w:val="0"/>
          <w:numId w:val="1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2" w:lineRule="exact"/>
        <w:rPr>
          <w:rFonts w:ascii="Times New Roman" w:cs="Times New Roman" w:eastAsia="Times New Roman" w:hAnsi="Times New Roman"/>
          <w:sz w:val="18"/>
          <w:szCs w:val="18"/>
          <w:color w:val="auto"/>
        </w:rPr>
      </w:pPr>
    </w:p>
    <w:p>
      <w:pPr>
        <w:ind w:left="520" w:right="340" w:hanging="512"/>
        <w:spacing w:after="0" w:line="235" w:lineRule="auto"/>
        <w:tabs>
          <w:tab w:leader="none" w:pos="520" w:val="left"/>
        </w:tabs>
        <w:numPr>
          <w:ilvl w:val="0"/>
          <w:numId w:val="1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1" w:lineRule="exact"/>
        <w:rPr>
          <w:rFonts w:ascii="Times New Roman" w:cs="Times New Roman" w:eastAsia="Times New Roman" w:hAnsi="Times New Roman"/>
          <w:sz w:val="18"/>
          <w:szCs w:val="18"/>
          <w:color w:val="auto"/>
        </w:rPr>
      </w:pPr>
    </w:p>
    <w:p>
      <w:pPr>
        <w:ind w:left="520" w:right="460" w:hanging="512"/>
        <w:spacing w:after="0" w:line="235" w:lineRule="auto"/>
        <w:tabs>
          <w:tab w:leader="none" w:pos="520" w:val="left"/>
        </w:tabs>
        <w:numPr>
          <w:ilvl w:val="0"/>
          <w:numId w:val="1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for the registrant and have:</w:t>
      </w:r>
    </w:p>
    <w:p>
      <w:pPr>
        <w:spacing w:after="0" w:line="231" w:lineRule="exact"/>
        <w:rPr>
          <w:rFonts w:ascii="Times New Roman" w:cs="Times New Roman" w:eastAsia="Times New Roman" w:hAnsi="Times New Roman"/>
          <w:sz w:val="18"/>
          <w:szCs w:val="18"/>
          <w:color w:val="auto"/>
        </w:rPr>
      </w:pPr>
    </w:p>
    <w:p>
      <w:pPr>
        <w:ind w:left="1020" w:right="80" w:hanging="503"/>
        <w:spacing w:after="0" w:line="235" w:lineRule="auto"/>
        <w:tabs>
          <w:tab w:leader="none" w:pos="1020" w:val="left"/>
        </w:tabs>
        <w:numPr>
          <w:ilvl w:val="1"/>
          <w:numId w:val="1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[omited];</w:t>
      </w:r>
    </w:p>
    <w:p>
      <w:pPr>
        <w:spacing w:after="0" w:line="230" w:lineRule="exact"/>
        <w:rPr>
          <w:rFonts w:ascii="Times New Roman" w:cs="Times New Roman" w:eastAsia="Times New Roman" w:hAnsi="Times New Roman"/>
          <w:sz w:val="18"/>
          <w:szCs w:val="18"/>
          <w:color w:val="auto"/>
        </w:rPr>
      </w:pPr>
    </w:p>
    <w:p>
      <w:pPr>
        <w:jc w:val="both"/>
        <w:ind w:left="1020" w:right="520" w:hanging="503"/>
        <w:spacing w:after="0" w:line="258" w:lineRule="auto"/>
        <w:tabs>
          <w:tab w:leader="none" w:pos="1020" w:val="left"/>
        </w:tabs>
        <w:numPr>
          <w:ilvl w:val="1"/>
          <w:numId w:val="115"/>
        </w:numPr>
        <w:rPr>
          <w:rFonts w:ascii="Times New Roman" w:cs="Times New Roman" w:eastAsia="Times New Roman" w:hAnsi="Times New Roman"/>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5" w:lineRule="exact"/>
        <w:rPr>
          <w:rFonts w:ascii="Times New Roman" w:cs="Times New Roman" w:eastAsia="Times New Roman" w:hAnsi="Times New Roman"/>
          <w:sz w:val="17"/>
          <w:szCs w:val="17"/>
          <w:color w:val="auto"/>
        </w:rPr>
      </w:pPr>
    </w:p>
    <w:p>
      <w:pPr>
        <w:ind w:left="1020" w:right="100" w:hanging="503"/>
        <w:spacing w:after="0" w:line="235" w:lineRule="auto"/>
        <w:tabs>
          <w:tab w:leader="none" w:pos="1020" w:val="left"/>
        </w:tabs>
        <w:numPr>
          <w:ilvl w:val="1"/>
          <w:numId w:val="1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32" w:lineRule="exact"/>
        <w:rPr>
          <w:rFonts w:ascii="Times New Roman" w:cs="Times New Roman" w:eastAsia="Times New Roman" w:hAnsi="Times New Roman"/>
          <w:sz w:val="18"/>
          <w:szCs w:val="18"/>
          <w:color w:val="auto"/>
        </w:rPr>
      </w:pPr>
    </w:p>
    <w:p>
      <w:pPr>
        <w:ind w:left="520" w:right="100" w:hanging="512"/>
        <w:spacing w:after="0" w:line="235" w:lineRule="auto"/>
        <w:tabs>
          <w:tab w:leader="none" w:pos="520" w:val="left"/>
        </w:tabs>
        <w:numPr>
          <w:ilvl w:val="0"/>
          <w:numId w:val="1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31"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1"/>
          <w:numId w:val="1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31" w:lineRule="exact"/>
        <w:rPr>
          <w:rFonts w:ascii="Times New Roman" w:cs="Times New Roman" w:eastAsia="Times New Roman" w:hAnsi="Times New Roman"/>
          <w:sz w:val="18"/>
          <w:szCs w:val="18"/>
          <w:color w:val="auto"/>
        </w:rPr>
      </w:pPr>
    </w:p>
    <w:p>
      <w:pPr>
        <w:ind w:left="1020" w:right="500" w:hanging="503"/>
        <w:spacing w:after="0" w:line="235" w:lineRule="auto"/>
        <w:tabs>
          <w:tab w:leader="none" w:pos="1020" w:val="left"/>
        </w:tabs>
        <w:numPr>
          <w:ilvl w:val="1"/>
          <w:numId w:val="1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March 7, 2023</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9" w:name="page160"/>
    <w:bookmarkEnd w:id="159"/>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20"/>
        <w:spacing w:after="0" w:line="235"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40"/>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18"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In connecton with the Annual Report of Vivid Seats Inc. (the “Company”) on Form 10-K for the period ended December 31, 2022 as fled with the Securites and Exchange Commission on the date hereof (the “Report”), I, Stanley Chia, Chief Executve Ofcer, certfy, pursuant to 18 U.S.C. § 1350, as adopted pursuant to § 906 of the Sarbanes-Oxley Act of 2002, that:</w:t>
      </w:r>
    </w:p>
    <w:p>
      <w:pPr>
        <w:spacing w:after="0" w:line="227" w:lineRule="exact"/>
        <w:rPr>
          <w:sz w:val="20"/>
          <w:szCs w:val="20"/>
          <w:color w:val="auto"/>
        </w:rPr>
      </w:pPr>
    </w:p>
    <w:p>
      <w:pPr>
        <w:ind w:left="1020" w:hanging="503"/>
        <w:spacing w:after="0"/>
        <w:tabs>
          <w:tab w:leader="none" w:pos="1020" w:val="left"/>
        </w:tabs>
        <w:numPr>
          <w:ilvl w:val="0"/>
          <w:numId w:val="1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30" w:lineRule="exact"/>
        <w:rPr>
          <w:rFonts w:ascii="Times New Roman" w:cs="Times New Roman" w:eastAsia="Times New Roman" w:hAnsi="Times New Roman"/>
          <w:sz w:val="18"/>
          <w:szCs w:val="18"/>
          <w:color w:val="auto"/>
        </w:rPr>
      </w:pPr>
    </w:p>
    <w:p>
      <w:pPr>
        <w:ind w:left="1020" w:right="720" w:hanging="503"/>
        <w:spacing w:after="0" w:line="235" w:lineRule="auto"/>
        <w:tabs>
          <w:tab w:leader="none" w:pos="1020" w:val="left"/>
        </w:tabs>
        <w:numPr>
          <w:ilvl w:val="0"/>
          <w:numId w:val="1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 of operatons of the Company.</w:t>
      </w:r>
    </w:p>
    <w:p>
      <w:pPr>
        <w:spacing w:after="0" w:line="267"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March 7, 2023</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0" w:name="page161"/>
    <w:bookmarkEnd w:id="160"/>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20"/>
        <w:spacing w:after="0" w:line="235"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40"/>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18"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In connecton with the Annual Report of Vivid Seats Inc. (the “Company”) on Form 10-K for the period ended December 31, 2022 as fled with the Securites and Exchange Commission on the date hereof (the “Report”), I, Lawrence Fey, Chief Financial Ofcer, certfy, pursuant to 18 U.S.C. § 1350, as adopted pursuant to § 906 of the Sarbanes-Oxley Act of 2002, that:</w:t>
      </w:r>
    </w:p>
    <w:p>
      <w:pPr>
        <w:spacing w:after="0" w:line="227" w:lineRule="exact"/>
        <w:rPr>
          <w:sz w:val="20"/>
          <w:szCs w:val="20"/>
          <w:color w:val="auto"/>
        </w:rPr>
      </w:pPr>
    </w:p>
    <w:p>
      <w:pPr>
        <w:ind w:left="1020" w:hanging="503"/>
        <w:spacing w:after="0"/>
        <w:tabs>
          <w:tab w:leader="none" w:pos="1020" w:val="left"/>
        </w:tabs>
        <w:numPr>
          <w:ilvl w:val="0"/>
          <w:numId w:val="1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30" w:lineRule="exact"/>
        <w:rPr>
          <w:rFonts w:ascii="Times New Roman" w:cs="Times New Roman" w:eastAsia="Times New Roman" w:hAnsi="Times New Roman"/>
          <w:sz w:val="18"/>
          <w:szCs w:val="18"/>
          <w:color w:val="auto"/>
        </w:rPr>
      </w:pPr>
    </w:p>
    <w:p>
      <w:pPr>
        <w:ind w:left="1020" w:right="720" w:hanging="503"/>
        <w:spacing w:after="0" w:line="235" w:lineRule="auto"/>
        <w:tabs>
          <w:tab w:leader="none" w:pos="1020" w:val="left"/>
        </w:tabs>
        <w:numPr>
          <w:ilvl w:val="0"/>
          <w:numId w:val="1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 of operatons of the Company.</w:t>
      </w:r>
    </w:p>
    <w:p>
      <w:pPr>
        <w:spacing w:after="0" w:line="213"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March 7, 2023</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1" w:name="page162"/>
    <w:bookmarkEnd w:id="1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o"/>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1)"/>
      <w:numFmt w:val="lowerRoman"/>
      <w:start w:val="4"/>
    </w:lvl>
  </w:abstractNum>
  <w:abstractNum w:abstractNumId="36">
    <w:nsid w:val="11447B73"/>
    <w:multiLevelType w:val="hybridMultilevel"/>
    <w:lvl w:ilvl="0">
      <w:lvlJc w:val="left"/>
      <w:lvlText w:val="(%1)"/>
      <w:numFmt w:val="decimal"/>
      <w:start w:val="1"/>
    </w:lvl>
  </w:abstractNum>
  <w:abstractNum w:abstractNumId="37">
    <w:nsid w:val="42963E5A"/>
    <w:multiLevelType w:val="hybridMultilevel"/>
    <w:lvl w:ilvl="0">
      <w:lvlJc w:val="left"/>
      <w:lvlText w:val="(%1)"/>
      <w:numFmt w:val="decimal"/>
      <w:start w:val="1"/>
    </w:lvl>
  </w:abstractNum>
  <w:abstractNum w:abstractNumId="38">
    <w:nsid w:val="A0382C5"/>
    <w:multiLevelType w:val="hybridMultilevel"/>
    <w:lvl w:ilvl="0">
      <w:lvlJc w:val="left"/>
      <w:lvlText w:val="(%1)"/>
      <w:numFmt w:val="decimal"/>
      <w:start w:val="2"/>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1)"/>
      <w:numFmt w:val="decimal"/>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1)"/>
      <w:numFmt w:val="decimal"/>
      <w:start w:val="1"/>
    </w:lvl>
  </w:abstractNum>
  <w:abstractNum w:abstractNumId="43">
    <w:nsid w:val="4962813B"/>
    <w:multiLevelType w:val="hybridMultilevel"/>
    <w:lvl w:ilvl="0">
      <w:lvlJc w:val="left"/>
      <w:lvlText w:val="%1."/>
      <w:numFmt w:val="decimal"/>
      <w:start w:val="14"/>
    </w:lvl>
  </w:abstractNum>
  <w:abstractNum w:abstractNumId="44">
    <w:nsid w:val="60B6DF70"/>
    <w:multiLevelType w:val="hybridMultilevel"/>
    <w:lvl w:ilvl="0">
      <w:lvlJc w:val="left"/>
      <w:lvlText w:val="(%1)"/>
      <w:numFmt w:val="decimal"/>
      <w:start w:val="1"/>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1)"/>
      <w:numFmt w:val="lowerLetter"/>
      <w:start w:val="1"/>
    </w:lvl>
  </w:abstractNum>
  <w:abstractNum w:abstractNumId="47">
    <w:nsid w:val="7FFFCA11"/>
    <w:multiLevelType w:val="hybridMultilevel"/>
    <w:lvl w:ilvl="0">
      <w:lvlJc w:val="left"/>
      <w:lvlText w:val="(%1)"/>
      <w:numFmt w:val="lowerLetter"/>
      <w:start w:val="4"/>
    </w:lvl>
  </w:abstractNum>
  <w:abstractNum w:abstractNumId="48">
    <w:nsid w:val="1A27709E"/>
    <w:multiLevelType w:val="hybridMultilevel"/>
    <w:lvl w:ilvl="0">
      <w:lvlJc w:val="left"/>
      <w:lvlText w:val="(%1)"/>
      <w:numFmt w:val="lowerRoman"/>
      <w:start w:val="2"/>
    </w:lvl>
  </w:abstractNum>
  <w:abstractNum w:abstractNumId="49">
    <w:nsid w:val="71EA1109"/>
    <w:multiLevelType w:val="hybridMultilevel"/>
    <w:lvl w:ilvl="0">
      <w:lvlJc w:val="left"/>
      <w:lvlText w:val="(%1)"/>
      <w:numFmt w:val="lowerLetter"/>
      <w:start w:val="1"/>
    </w:lvl>
  </w:abstractNum>
  <w:abstractNum w:abstractNumId="50">
    <w:nsid w:val="100F59DC"/>
    <w:multiLevelType w:val="hybridMultilevel"/>
    <w:lvl w:ilvl="0">
      <w:lvlJc w:val="left"/>
      <w:lvlText w:val="(%1)"/>
      <w:numFmt w:val="lowerLetter"/>
      <w:start w:val="2"/>
    </w:lvl>
  </w:abstractNum>
  <w:abstractNum w:abstractNumId="51">
    <w:nsid w:val="7FB7E0AA"/>
    <w:multiLevelType w:val="hybridMultilevel"/>
    <w:lvl w:ilvl="0">
      <w:lvlJc w:val="left"/>
      <w:lvlText w:val="(%1)"/>
      <w:numFmt w:val="lowerLetter"/>
      <w:start w:val="4"/>
    </w:lvl>
  </w:abstractNum>
  <w:abstractNum w:abstractNumId="52">
    <w:nsid w:val="6EB5BD4"/>
    <w:multiLevelType w:val="hybridMultilevel"/>
    <w:lvl w:ilvl="0">
      <w:lvlJc w:val="left"/>
      <w:lvlText w:val="(%1)"/>
      <w:numFmt w:val="lowerLetter"/>
      <w:start w:val="1"/>
    </w:lvl>
  </w:abstractNum>
  <w:abstractNum w:abstractNumId="53">
    <w:nsid w:val="6F6DD9AC"/>
    <w:multiLevelType w:val="hybridMultilevel"/>
    <w:lvl w:ilvl="0">
      <w:lvlJc w:val="left"/>
      <w:lvlText w:val="(%1)"/>
      <w:numFmt w:val="lowerLetter"/>
      <w:start w:val="2"/>
    </w:lvl>
  </w:abstractNum>
  <w:abstractNum w:abstractNumId="54">
    <w:nsid w:val="94211F2"/>
    <w:multiLevelType w:val="hybridMultilevel"/>
    <w:lvl w:ilvl="0">
      <w:lvlJc w:val="left"/>
      <w:lvlText w:val="(%1)"/>
      <w:numFmt w:val="lowerLetter"/>
      <w:start w:val="1"/>
    </w:lvl>
  </w:abstractNum>
  <w:abstractNum w:abstractNumId="55">
    <w:nsid w:val="885E1B"/>
    <w:multiLevelType w:val="hybridMultilevel"/>
    <w:lvl w:ilvl="0">
      <w:lvlJc w:val="left"/>
      <w:lvlText w:val="(%1)"/>
      <w:numFmt w:val="lowerRoman"/>
      <w:start w:val="1"/>
    </w:lvl>
  </w:abstractNum>
  <w:abstractNum w:abstractNumId="56">
    <w:nsid w:val="76272110"/>
    <w:multiLevelType w:val="hybridMultilevel"/>
    <w:lvl w:ilvl="0">
      <w:lvlJc w:val="left"/>
      <w:lvlText w:val="(%1)"/>
      <w:numFmt w:val="lowerLetter"/>
      <w:start w:val="2"/>
    </w:lvl>
  </w:abstractNum>
  <w:abstractNum w:abstractNumId="57">
    <w:nsid w:val="4C04A8AF"/>
    <w:multiLevelType w:val="hybridMultilevel"/>
    <w:lvl w:ilvl="0">
      <w:lvlJc w:val="left"/>
      <w:lvlText w:val="(%1)"/>
      <w:numFmt w:val="lowerRoman"/>
      <w:start w:val="1"/>
    </w:lvl>
  </w:abstractNum>
  <w:abstractNum w:abstractNumId="58">
    <w:nsid w:val="1716703B"/>
    <w:multiLevelType w:val="hybridMultilevel"/>
    <w:lvl w:ilvl="0">
      <w:lvlJc w:val="left"/>
      <w:lvlText w:val="(%1)"/>
      <w:numFmt w:val="lowerRoman"/>
      <w:start w:val="3"/>
    </w:lvl>
  </w:abstractNum>
  <w:abstractNum w:abstractNumId="59">
    <w:nsid w:val="14E17E33"/>
    <w:multiLevelType w:val="hybridMultilevel"/>
    <w:lvl w:ilvl="0">
      <w:lvlJc w:val="left"/>
      <w:lvlText w:val="(%1)"/>
      <w:numFmt w:val="lowerLetter"/>
      <w:start w:val="2"/>
    </w:lvl>
  </w:abstractNum>
  <w:abstractNum w:abstractNumId="60">
    <w:nsid w:val="3222E7CD"/>
    <w:multiLevelType w:val="hybridMultilevel"/>
    <w:lvl w:ilvl="0">
      <w:lvlJc w:val="left"/>
      <w:lvlText w:val="(%1)"/>
      <w:numFmt w:val="lowerLetter"/>
      <w:start w:val="1"/>
    </w:lvl>
  </w:abstractNum>
  <w:abstractNum w:abstractNumId="61">
    <w:nsid w:val="74DE0EE3"/>
    <w:multiLevelType w:val="hybridMultilevel"/>
    <w:lvl w:ilvl="0">
      <w:lvlJc w:val="left"/>
      <w:lvlText w:val="(%1)"/>
      <w:numFmt w:val="lowerLetter"/>
      <w:start w:val="1"/>
    </w:lvl>
  </w:abstractNum>
  <w:abstractNum w:abstractNumId="62">
    <w:nsid w:val="68EBC550"/>
    <w:multiLevelType w:val="hybridMultilevel"/>
    <w:lvl w:ilvl="0">
      <w:lvlJc w:val="left"/>
      <w:lvlText w:val="(%1)"/>
      <w:numFmt w:val="lowerRoman"/>
      <w:start w:val="1"/>
    </w:lvl>
  </w:abstractNum>
  <w:abstractNum w:abstractNumId="63">
    <w:nsid w:val="2DF6D648"/>
    <w:multiLevelType w:val="hybridMultilevel"/>
    <w:lvl w:ilvl="0">
      <w:lvlJc w:val="left"/>
      <w:lvlText w:val="(%1)"/>
      <w:numFmt w:val="lowerRoman"/>
      <w:start w:val="3"/>
    </w:lvl>
  </w:abstractNum>
  <w:abstractNum w:abstractNumId="64">
    <w:nsid w:val="46B7D447"/>
    <w:multiLevelType w:val="hybridMultilevel"/>
    <w:lvl w:ilvl="0">
      <w:lvlJc w:val="left"/>
      <w:lvlText w:val="(%1)"/>
      <w:numFmt w:val="lowerLetter"/>
      <w:start w:val="2"/>
    </w:lvl>
  </w:abstractNum>
  <w:abstractNum w:abstractNumId="65">
    <w:nsid w:val="4A2AC315"/>
    <w:multiLevelType w:val="hybridMultilevel"/>
    <w:lvl w:ilvl="0">
      <w:lvlJc w:val="left"/>
      <w:lvlText w:val="(%1)"/>
      <w:numFmt w:val="lowerLetter"/>
      <w:start w:val="1"/>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lowerLetter"/>
      <w:start w:val="4"/>
    </w:lvl>
  </w:abstractNum>
  <w:abstractNum w:abstractNumId="68">
    <w:nsid w:val="CC1016F"/>
    <w:multiLevelType w:val="hybridMultilevel"/>
    <w:lvl w:ilvl="0">
      <w:lvlJc w:val="left"/>
      <w:lvlText w:val="(%1)"/>
      <w:numFmt w:val="lowerLetter"/>
      <w:start w:val="6"/>
    </w:lvl>
  </w:abstractNum>
  <w:abstractNum w:abstractNumId="69">
    <w:nsid w:val="43F18422"/>
    <w:multiLevelType w:val="hybridMultilevel"/>
    <w:lvl w:ilvl="0">
      <w:lvlJc w:val="left"/>
      <w:lvlText w:val="(%1)"/>
      <w:numFmt w:val="lowerLetter"/>
      <w:start w:val="7"/>
    </w:lvl>
  </w:abstractNum>
  <w:abstractNum w:abstractNumId="70">
    <w:nsid w:val="60EF0119"/>
    <w:multiLevelType w:val="hybridMultilevel"/>
    <w:lvl w:ilvl="0">
      <w:lvlJc w:val="left"/>
      <w:lvlText w:val="(%1)"/>
      <w:numFmt w:val="lowerLetter"/>
      <w:start w:val="2"/>
    </w:lvl>
  </w:abstractNum>
  <w:abstractNum w:abstractNumId="71">
    <w:nsid w:val="26F324BA"/>
    <w:multiLevelType w:val="hybridMultilevel"/>
    <w:lvl w:ilvl="0">
      <w:lvlJc w:val="left"/>
      <w:lvlText w:val="(%1)"/>
      <w:numFmt w:val="lowerLetter"/>
      <w:start w:val="1"/>
    </w:lvl>
  </w:abstractNum>
  <w:abstractNum w:abstractNumId="72">
    <w:nsid w:val="7F01579B"/>
    <w:multiLevelType w:val="hybridMultilevel"/>
    <w:lvl w:ilvl="0">
      <w:lvlJc w:val="left"/>
      <w:lvlText w:val="(%1)"/>
      <w:numFmt w:val="lowerRoman"/>
      <w:start w:val="1"/>
    </w:lvl>
  </w:abstractNum>
  <w:abstractNum w:abstractNumId="73">
    <w:nsid w:val="49DA307D"/>
    <w:multiLevelType w:val="hybridMultilevel"/>
    <w:lvl w:ilvl="0">
      <w:lvlJc w:val="left"/>
      <w:lvlText w:val="(%1)"/>
      <w:numFmt w:val="lowerLetter"/>
      <w:start w:val="3"/>
    </w:lvl>
  </w:abstractNum>
  <w:abstractNum w:abstractNumId="74">
    <w:nsid w:val="7055A5F5"/>
    <w:multiLevelType w:val="hybridMultilevel"/>
    <w:lvl w:ilvl="0">
      <w:lvlJc w:val="left"/>
      <w:lvlText w:val="(%1)"/>
      <w:numFmt w:val="lowerLetter"/>
      <w:start w:val="10"/>
    </w:lvl>
  </w:abstractNum>
  <w:abstractNum w:abstractNumId="75">
    <w:nsid w:val="5FB8370B"/>
    <w:multiLevelType w:val="hybridMultilevel"/>
    <w:lvl w:ilvl="0">
      <w:lvlJc w:val="left"/>
      <w:lvlText w:val="(%1)"/>
      <w:numFmt w:val="lowerLetter"/>
      <w:start w:val="1"/>
    </w:lvl>
  </w:abstractNum>
  <w:abstractNum w:abstractNumId="76">
    <w:nsid w:val="50801EE1"/>
    <w:multiLevelType w:val="hybridMultilevel"/>
    <w:lvl w:ilvl="0">
      <w:lvlJc w:val="left"/>
      <w:lvlText w:val="(%1)"/>
      <w:numFmt w:val="lowerLetter"/>
      <w:start w:val="6"/>
    </w:lvl>
  </w:abstractNum>
  <w:abstractNum w:abstractNumId="77">
    <w:nsid w:val="488AC1A"/>
    <w:multiLevelType w:val="hybridMultilevel"/>
    <w:lvl w:ilvl="0">
      <w:lvlJc w:val="left"/>
      <w:lvlText w:val="(%1)"/>
      <w:numFmt w:val="lowerLetter"/>
      <w:start w:val="1"/>
    </w:lvl>
  </w:abstractNum>
  <w:abstractNum w:abstractNumId="78">
    <w:nsid w:val="5FB8011C"/>
    <w:multiLevelType w:val="hybridMultilevel"/>
    <w:lvl w:ilvl="0">
      <w:lvlJc w:val="left"/>
      <w:lvlText w:val="(%1)"/>
      <w:numFmt w:val="lowerLetter"/>
      <w:start w:val="61"/>
    </w:lvl>
  </w:abstractNum>
  <w:abstractNum w:abstractNumId="79">
    <w:nsid w:val="6AA78F7F"/>
    <w:multiLevelType w:val="hybridMultilevel"/>
    <w:lvl w:ilvl="0">
      <w:lvlJc w:val="left"/>
      <w:lvlText w:val="(%1)"/>
      <w:numFmt w:val="lowerLetter"/>
      <w:start w:val="4"/>
    </w:lvl>
  </w:abstractNum>
  <w:abstractNum w:abstractNumId="80">
    <w:nsid w:val="7672BD23"/>
    <w:multiLevelType w:val="hybridMultilevel"/>
    <w:lvl w:ilvl="0">
      <w:lvlJc w:val="left"/>
      <w:lvlText w:val="(%1)"/>
      <w:numFmt w:val="lowerLetter"/>
      <w:start w:val="1"/>
    </w:lvl>
  </w:abstractNum>
  <w:abstractNum w:abstractNumId="81">
    <w:nsid w:val="6FC75AF8"/>
    <w:multiLevelType w:val="hybridMultilevel"/>
    <w:lvl w:ilvl="0">
      <w:lvlJc w:val="left"/>
      <w:lvlText w:val="(%1)"/>
      <w:numFmt w:val="lowerLetter"/>
      <w:start w:val="1"/>
    </w:lvl>
  </w:abstractNum>
  <w:abstractNum w:abstractNumId="82">
    <w:nsid w:val="6A5F7029"/>
    <w:multiLevelType w:val="hybridMultilevel"/>
    <w:lvl w:ilvl="0">
      <w:lvlJc w:val="left"/>
      <w:lvlText w:val="(%1)"/>
      <w:numFmt w:val="lowerLetter"/>
      <w:start w:val="3"/>
    </w:lvl>
  </w:abstractNum>
  <w:abstractNum w:abstractNumId="83">
    <w:nsid w:val="7D5E18F8"/>
    <w:multiLevelType w:val="hybridMultilevel"/>
    <w:lvl w:ilvl="0">
      <w:lvlJc w:val="left"/>
      <w:lvlText w:val="(%1)"/>
      <w:numFmt w:val="lowerLetter"/>
      <w:start w:val="1"/>
    </w:lvl>
  </w:abstractNum>
  <w:abstractNum w:abstractNumId="84">
    <w:nsid w:val="5F3534A4"/>
    <w:multiLevelType w:val="hybridMultilevel"/>
    <w:lvl w:ilvl="0">
      <w:lvlJc w:val="left"/>
      <w:lvlText w:val="(%1)"/>
      <w:numFmt w:val="lowerLetter"/>
      <w:start w:val="3"/>
    </w:lvl>
  </w:abstractNum>
  <w:abstractNum w:abstractNumId="85">
    <w:nsid w:val="73A1821B"/>
    <w:multiLevelType w:val="hybridMultilevel"/>
    <w:lvl w:ilvl="0">
      <w:lvlJc w:val="left"/>
      <w:lvlText w:val="(%1)"/>
      <w:numFmt w:val="lowerLetter"/>
      <w:start w:val="1"/>
    </w:lvl>
  </w:abstractNum>
  <w:abstractNum w:abstractNumId="86">
    <w:nsid w:val="7DE67713"/>
    <w:multiLevelType w:val="hybridMultilevel"/>
    <w:lvl w:ilvl="0">
      <w:lvlJc w:val="left"/>
      <w:lvlText w:val="(%1)"/>
      <w:numFmt w:val="lowerRoman"/>
      <w:start w:val="1"/>
    </w:lvl>
  </w:abstractNum>
  <w:abstractNum w:abstractNumId="87">
    <w:nsid w:val="555C55B5"/>
    <w:multiLevelType w:val="hybridMultilevel"/>
    <w:lvl w:ilvl="0">
      <w:lvlJc w:val="left"/>
      <w:lvlText w:val="(%1)"/>
      <w:numFmt w:val="lowerLetter"/>
      <w:start w:val="2"/>
    </w:lvl>
  </w:abstractNum>
  <w:abstractNum w:abstractNumId="88">
    <w:nsid w:val="3FA62ACA"/>
    <w:multiLevelType w:val="hybridMultilevel"/>
    <w:lvl w:ilvl="0">
      <w:lvlJc w:val="left"/>
      <w:lvlText w:val="(%1)"/>
      <w:numFmt w:val="lowerLetter"/>
      <w:start w:val="3"/>
    </w:lvl>
  </w:abstractNum>
  <w:abstractNum w:abstractNumId="89">
    <w:nsid w:val="14FCE74E"/>
    <w:multiLevelType w:val="hybridMultilevel"/>
    <w:lvl w:ilvl="0">
      <w:lvlJc w:val="left"/>
      <w:lvlText w:val="(%1)"/>
      <w:numFmt w:val="lowerLetter"/>
      <w:start w:val="1"/>
    </w:lvl>
  </w:abstractNum>
  <w:abstractNum w:abstractNumId="90">
    <w:nsid w:val="6A3DD3E8"/>
    <w:multiLevelType w:val="hybridMultilevel"/>
    <w:lvl w:ilvl="0">
      <w:lvlJc w:val="left"/>
      <w:lvlText w:val="(%1)"/>
      <w:numFmt w:val="lowerRoman"/>
      <w:start w:val="1"/>
    </w:lvl>
  </w:abstractNum>
  <w:abstractNum w:abstractNumId="91">
    <w:nsid w:val="71C91298"/>
    <w:multiLevelType w:val="hybridMultilevel"/>
    <w:lvl w:ilvl="0">
      <w:lvlJc w:val="left"/>
      <w:lvlText w:val="(%1)"/>
      <w:numFmt w:val="lowerRoman"/>
      <w:start w:val="2"/>
    </w:lvl>
  </w:abstractNum>
  <w:abstractNum w:abstractNumId="92">
    <w:nsid w:val="9DAF632"/>
    <w:multiLevelType w:val="hybridMultilevel"/>
    <w:lvl w:ilvl="0">
      <w:lvlJc w:val="left"/>
      <w:lvlText w:val="(%1)"/>
      <w:numFmt w:val="lowerLetter"/>
      <w:start w:val="2"/>
    </w:lvl>
  </w:abstractNum>
  <w:abstractNum w:abstractNumId="93">
    <w:nsid w:val="53299938"/>
    <w:multiLevelType w:val="hybridMultilevel"/>
    <w:lvl w:ilvl="0">
      <w:lvlJc w:val="left"/>
      <w:lvlText w:val="(%1)"/>
      <w:numFmt w:val="lowerRoman"/>
      <w:start w:val="1"/>
    </w:lvl>
  </w:abstractNum>
  <w:abstractNum w:abstractNumId="94">
    <w:nsid w:val="1FBFE8E0"/>
    <w:multiLevelType w:val="hybridMultilevel"/>
    <w:lvl w:ilvl="0">
      <w:lvlJc w:val="left"/>
      <w:lvlText w:val="(%1)"/>
      <w:numFmt w:val="lowerRoman"/>
      <w:start w:val="2"/>
    </w:lvl>
  </w:abstractNum>
  <w:abstractNum w:abstractNumId="95">
    <w:nsid w:val="5092CA79"/>
    <w:multiLevelType w:val="hybridMultilevel"/>
    <w:lvl w:ilvl="0">
      <w:lvlJc w:val="left"/>
      <w:lvlText w:val="(%1)"/>
      <w:numFmt w:val="lowerLetter"/>
      <w:start w:val="3"/>
    </w:lvl>
  </w:abstractNum>
  <w:abstractNum w:abstractNumId="96">
    <w:nsid w:val="1D545C4D"/>
    <w:multiLevelType w:val="hybridMultilevel"/>
    <w:lvl w:ilvl="0">
      <w:lvlJc w:val="left"/>
      <w:lvlText w:val="(%1)"/>
      <w:numFmt w:val="upperLetter"/>
      <w:start w:val="3"/>
    </w:lvl>
  </w:abstractNum>
  <w:abstractNum w:abstractNumId="97">
    <w:nsid w:val="59ADEA3D"/>
    <w:multiLevelType w:val="hybridMultilevel"/>
    <w:lvl w:ilvl="0">
      <w:lvlJc w:val="left"/>
      <w:lvlText w:val="(%1)"/>
      <w:numFmt w:val="lowerLetter"/>
      <w:start w:val="4"/>
    </w:lvl>
  </w:abstractNum>
  <w:abstractNum w:abstractNumId="98">
    <w:nsid w:val="288F1A34"/>
    <w:multiLevelType w:val="hybridMultilevel"/>
    <w:lvl w:ilvl="0">
      <w:lvlJc w:val="left"/>
      <w:lvlText w:val="(%1)"/>
      <w:numFmt w:val="lowerLetter"/>
      <w:start w:val="7"/>
    </w:lvl>
  </w:abstractNum>
  <w:abstractNum w:abstractNumId="99">
    <w:nsid w:val="2A155DBC"/>
    <w:multiLevelType w:val="hybridMultilevel"/>
    <w:lvl w:ilvl="0">
      <w:lvlJc w:val="left"/>
      <w:lvlText w:val="(%1)"/>
      <w:numFmt w:val="lowerRoman"/>
      <w:start w:val="1"/>
    </w:lvl>
  </w:abstractNum>
  <w:abstractNum w:abstractNumId="100">
    <w:nsid w:val="1D9F6E5F"/>
    <w:multiLevelType w:val="hybridMultilevel"/>
    <w:lvl w:ilvl="0">
      <w:lvlJc w:val="left"/>
      <w:lvlText w:val="(%1)"/>
      <w:numFmt w:val="lowerRoman"/>
      <w:start w:val="2"/>
    </w:lvl>
  </w:abstractNum>
  <w:abstractNum w:abstractNumId="101">
    <w:nsid w:val="97E1B4E"/>
    <w:multiLevelType w:val="hybridMultilevel"/>
    <w:lvl w:ilvl="0">
      <w:lvlJc w:val="left"/>
      <w:lvlText w:val="(%1)"/>
      <w:numFmt w:val="lowerLetter"/>
      <w:start w:val="8"/>
    </w:lvl>
  </w:abstractNum>
  <w:abstractNum w:abstractNumId="102">
    <w:nsid w:val="51088277"/>
    <w:multiLevelType w:val="hybridMultilevel"/>
    <w:lvl w:ilvl="0">
      <w:lvlJc w:val="left"/>
      <w:lvlText w:val="(%1)"/>
      <w:numFmt w:val="lowerRoman"/>
      <w:start w:val="1"/>
    </w:lvl>
  </w:abstractNum>
  <w:abstractNum w:abstractNumId="103">
    <w:nsid w:val="1CA0C5FA"/>
    <w:multiLevelType w:val="hybridMultilevel"/>
    <w:lvl w:ilvl="0">
      <w:lvlJc w:val="left"/>
      <w:lvlText w:val="(%1)"/>
      <w:numFmt w:val="lowerLetter"/>
      <w:start w:val="2"/>
    </w:lvl>
  </w:abstractNum>
  <w:abstractNum w:abstractNumId="104">
    <w:nsid w:val="53584BCB"/>
    <w:multiLevelType w:val="hybridMultilevel"/>
    <w:lvl w:ilvl="0">
      <w:lvlJc w:val="left"/>
      <w:lvlText w:val="(%1)"/>
      <w:numFmt w:val="lowerLetter"/>
      <w:start w:val="1"/>
    </w:lvl>
  </w:abstractNum>
  <w:abstractNum w:abstractNumId="105">
    <w:nsid w:val="415E286C"/>
    <w:multiLevelType w:val="hybridMultilevel"/>
    <w:lvl w:ilvl="0">
      <w:lvlJc w:val="left"/>
      <w:lvlText w:val="(%1)"/>
      <w:numFmt w:val="lowerLetter"/>
      <w:start w:val="1"/>
    </w:lvl>
  </w:abstractNum>
  <w:abstractNum w:abstractNumId="106">
    <w:nsid w:val="7C58FD05"/>
    <w:multiLevelType w:val="hybridMultilevel"/>
    <w:lvl w:ilvl="0">
      <w:lvlJc w:val="left"/>
      <w:lvlText w:val="(%1)"/>
      <w:numFmt w:val="lowerLetter"/>
      <w:start w:val="2"/>
    </w:lvl>
  </w:abstractNum>
  <w:abstractNum w:abstractNumId="107">
    <w:nsid w:val="23D86AAC"/>
    <w:multiLevelType w:val="hybridMultilevel"/>
    <w:lvl w:ilvl="0">
      <w:lvlJc w:val="left"/>
      <w:lvlText w:val="(%1)"/>
      <w:numFmt w:val="lowerLetter"/>
      <w:start w:val="1"/>
    </w:lvl>
  </w:abstractNum>
  <w:abstractNum w:abstractNumId="108">
    <w:nsid w:val="45E6D486"/>
    <w:multiLevelType w:val="hybridMultilevel"/>
    <w:lvl w:ilvl="0">
      <w:lvlJc w:val="left"/>
      <w:lvlText w:val="(%1)"/>
      <w:numFmt w:val="lowerLetter"/>
      <w:start w:val="1"/>
    </w:lvl>
  </w:abstractNum>
  <w:abstractNum w:abstractNumId="109">
    <w:nsid w:val="5C10FE21"/>
    <w:multiLevelType w:val="hybridMultilevel"/>
    <w:lvl w:ilvl="0">
      <w:lvlJc w:val="left"/>
      <w:lvlText w:val="(%1)"/>
      <w:numFmt w:val="lowerLetter"/>
      <w:start w:val="3"/>
    </w:lvl>
  </w:abstractNum>
  <w:abstractNum w:abstractNumId="110">
    <w:nsid w:val="E7FFA2B"/>
    <w:multiLevelType w:val="hybridMultilevel"/>
    <w:lvl w:ilvl="0">
      <w:lvlJc w:val="left"/>
      <w:lvlText w:val="(%1)"/>
      <w:numFmt w:val="lowerLetter"/>
      <w:start w:val="1"/>
    </w:lvl>
  </w:abstractNum>
  <w:abstractNum w:abstractNumId="111">
    <w:nsid w:val="3C5991AA"/>
    <w:multiLevelType w:val="hybridMultilevel"/>
    <w:lvl w:ilvl="0">
      <w:lvlJc w:val="left"/>
      <w:lvlText w:val="(%1)"/>
      <w:numFmt w:val="lowerLetter"/>
      <w:start w:val="1"/>
    </w:lvl>
  </w:abstractNum>
  <w:abstractNum w:abstractNumId="112">
    <w:nsid w:val="4BD8591A"/>
    <w:multiLevelType w:val="hybridMultilevel"/>
    <w:lvl w:ilvl="0">
      <w:lvlJc w:val="left"/>
      <w:lvlText w:val="(%1)"/>
      <w:numFmt w:val="lowerLetter"/>
      <w:start w:val="3"/>
    </w:lvl>
  </w:abstractNum>
  <w:abstractNum w:abstractNumId="113">
    <w:nsid w:val="78DF6A55"/>
    <w:multiLevelType w:val="hybridMultilevel"/>
    <w:lvl w:ilvl="0">
      <w:lvlJc w:val="left"/>
      <w:lvlText w:val="%1."/>
      <w:numFmt w:val="decimal"/>
      <w:start w:val="1"/>
    </w:lvl>
    <w:lvl w:ilvl="1">
      <w:lvlJc w:val="left"/>
      <w:lvlText w:val="(%2)"/>
      <w:numFmt w:val="lowerLetter"/>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38" Type="http://schemas.openxmlformats.org/officeDocument/2006/relationships/image" Target="media/image421.png"/><Relationship Id="rId439" Type="http://schemas.openxmlformats.org/officeDocument/2006/relationships/image" Target="media/image422.png"/><Relationship Id="rId455" Type="http://schemas.openxmlformats.org/officeDocument/2006/relationships/image" Target="media/image423.png"/><Relationship Id="rId456"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6" Type="http://schemas.openxmlformats.org/officeDocument/2006/relationships/image" Target="media/image431.png"/><Relationship Id="rId467" Type="http://schemas.openxmlformats.org/officeDocument/2006/relationships/image" Target="media/image432.png"/><Relationship Id="rId468" Type="http://schemas.openxmlformats.org/officeDocument/2006/relationships/image" Target="media/image433.png"/><Relationship Id="rId470" Type="http://schemas.openxmlformats.org/officeDocument/2006/relationships/image" Target="media/image434.png"/><Relationship Id="rId471" Type="http://schemas.openxmlformats.org/officeDocument/2006/relationships/image" Target="media/image435.png"/><Relationship Id="rId472" Type="http://schemas.openxmlformats.org/officeDocument/2006/relationships/image" Target="media/image436.png"/><Relationship Id="rId474" Type="http://schemas.openxmlformats.org/officeDocument/2006/relationships/image" Target="media/image437.png"/><Relationship Id="rId475" Type="http://schemas.openxmlformats.org/officeDocument/2006/relationships/image" Target="media/image438.png"/><Relationship Id="rId476" Type="http://schemas.openxmlformats.org/officeDocument/2006/relationships/image" Target="media/image439.png"/><Relationship Id="rId478" Type="http://schemas.openxmlformats.org/officeDocument/2006/relationships/image" Target="media/image440.png"/><Relationship Id="rId479" Type="http://schemas.openxmlformats.org/officeDocument/2006/relationships/image" Target="media/image441.png"/><Relationship Id="rId481" Type="http://schemas.openxmlformats.org/officeDocument/2006/relationships/image" Target="media/image442.png"/><Relationship Id="rId482" Type="http://schemas.openxmlformats.org/officeDocument/2006/relationships/image" Target="media/image443.png"/><Relationship Id="rId484" Type="http://schemas.openxmlformats.org/officeDocument/2006/relationships/image" Target="media/image444.png"/><Relationship Id="rId485" Type="http://schemas.openxmlformats.org/officeDocument/2006/relationships/image" Target="media/image445.png"/><Relationship Id="rId486" Type="http://schemas.openxmlformats.org/officeDocument/2006/relationships/image" Target="media/image446.png"/><Relationship Id="rId487" Type="http://schemas.openxmlformats.org/officeDocument/2006/relationships/image" Target="media/image447.png"/><Relationship Id="rId488" Type="http://schemas.openxmlformats.org/officeDocument/2006/relationships/image" Target="media/image448.png"/><Relationship Id="rId490" Type="http://schemas.openxmlformats.org/officeDocument/2006/relationships/image" Target="media/image449.png"/><Relationship Id="rId491" Type="http://schemas.openxmlformats.org/officeDocument/2006/relationships/image" Target="media/image450.png"/><Relationship Id="rId493" Type="http://schemas.openxmlformats.org/officeDocument/2006/relationships/image" Target="media/image451.png"/><Relationship Id="rId494" Type="http://schemas.openxmlformats.org/officeDocument/2006/relationships/image" Target="media/image452.png"/><Relationship Id="rId496" Type="http://schemas.openxmlformats.org/officeDocument/2006/relationships/image" Target="media/image453.png"/><Relationship Id="rId497" Type="http://schemas.openxmlformats.org/officeDocument/2006/relationships/image" Target="media/image454.png"/><Relationship Id="rId498" Type="http://schemas.openxmlformats.org/officeDocument/2006/relationships/image" Target="media/image455.png"/><Relationship Id="rId499" Type="http://schemas.openxmlformats.org/officeDocument/2006/relationships/image" Target="media/image456.png"/><Relationship Id="rId500" Type="http://schemas.openxmlformats.org/officeDocument/2006/relationships/image" Target="media/image457.png"/><Relationship Id="rId502" Type="http://schemas.openxmlformats.org/officeDocument/2006/relationships/image" Target="media/image458.png"/><Relationship Id="rId503" Type="http://schemas.openxmlformats.org/officeDocument/2006/relationships/image" Target="media/image459.png"/><Relationship Id="rId505" Type="http://schemas.openxmlformats.org/officeDocument/2006/relationships/image" Target="media/image460.png"/><Relationship Id="rId506" Type="http://schemas.openxmlformats.org/officeDocument/2006/relationships/image" Target="media/image461.png"/><Relationship Id="rId508" Type="http://schemas.openxmlformats.org/officeDocument/2006/relationships/image" Target="media/image462.png"/><Relationship Id="rId509" Type="http://schemas.openxmlformats.org/officeDocument/2006/relationships/image" Target="media/image463.png"/><Relationship Id="rId510" Type="http://schemas.openxmlformats.org/officeDocument/2006/relationships/image" Target="media/image464.png"/><Relationship Id="rId517" Type="http://schemas.openxmlformats.org/officeDocument/2006/relationships/image" Target="media/image465.png"/><Relationship Id="rId518" Type="http://schemas.openxmlformats.org/officeDocument/2006/relationships/image" Target="media/image466.png"/><Relationship Id="rId519" Type="http://schemas.openxmlformats.org/officeDocument/2006/relationships/image" Target="media/image467.png"/><Relationship Id="rId520" Type="http://schemas.openxmlformats.org/officeDocument/2006/relationships/image" Target="media/image468.png"/><Relationship Id="rId521" Type="http://schemas.openxmlformats.org/officeDocument/2006/relationships/image" Target="media/image469.png"/><Relationship Id="rId522" Type="http://schemas.openxmlformats.org/officeDocument/2006/relationships/image" Target="media/image470.png"/><Relationship Id="rId523" Type="http://schemas.openxmlformats.org/officeDocument/2006/relationships/image" Target="media/image471.png"/><Relationship Id="rId524" Type="http://schemas.openxmlformats.org/officeDocument/2006/relationships/image" Target="media/image472.png"/><Relationship Id="rId525" Type="http://schemas.openxmlformats.org/officeDocument/2006/relationships/image" Target="media/image473.png"/><Relationship Id="rId526" Type="http://schemas.openxmlformats.org/officeDocument/2006/relationships/image" Target="media/image474.png"/><Relationship Id="rId527" Type="http://schemas.openxmlformats.org/officeDocument/2006/relationships/image" Target="media/image475.png"/><Relationship Id="rId528" Type="http://schemas.openxmlformats.org/officeDocument/2006/relationships/image" Target="media/image476.png"/><Relationship Id="rId529" Type="http://schemas.openxmlformats.org/officeDocument/2006/relationships/image" Target="media/image477.png"/><Relationship Id="rId530" Type="http://schemas.openxmlformats.org/officeDocument/2006/relationships/image" Target="media/image478.png"/><Relationship Id="rId531" Type="http://schemas.openxmlformats.org/officeDocument/2006/relationships/image" Target="media/image479.png"/><Relationship Id="rId532" Type="http://schemas.openxmlformats.org/officeDocument/2006/relationships/image" Target="media/image480.png"/><Relationship Id="rId533" Type="http://schemas.openxmlformats.org/officeDocument/2006/relationships/image" Target="media/image481.png"/><Relationship Id="rId534" Type="http://schemas.openxmlformats.org/officeDocument/2006/relationships/image" Target="media/image482.png"/><Relationship Id="rId535" Type="http://schemas.openxmlformats.org/officeDocument/2006/relationships/image" Target="media/image483.png"/><Relationship Id="rId536" Type="http://schemas.openxmlformats.org/officeDocument/2006/relationships/image" Target="media/image484.png"/><Relationship Id="rId537" Type="http://schemas.openxmlformats.org/officeDocument/2006/relationships/image" Target="media/image485.png"/><Relationship Id="rId538" Type="http://schemas.openxmlformats.org/officeDocument/2006/relationships/image" Target="media/image486.png"/><Relationship Id="rId539" Type="http://schemas.openxmlformats.org/officeDocument/2006/relationships/image" Target="media/image487.png"/><Relationship Id="rId540" Type="http://schemas.openxmlformats.org/officeDocument/2006/relationships/image" Target="media/image488.png"/><Relationship Id="rId541" Type="http://schemas.openxmlformats.org/officeDocument/2006/relationships/image" Target="media/image489.png"/><Relationship Id="rId542" Type="http://schemas.openxmlformats.org/officeDocument/2006/relationships/image" Target="media/image490.png"/><Relationship Id="rId543" Type="http://schemas.openxmlformats.org/officeDocument/2006/relationships/image" Target="media/image491.png"/><Relationship Id="rId544" Type="http://schemas.openxmlformats.org/officeDocument/2006/relationships/image" Target="media/image492.png"/><Relationship Id="rId545" Type="http://schemas.openxmlformats.org/officeDocument/2006/relationships/image" Target="media/image493.png"/><Relationship Id="rId546" Type="http://schemas.openxmlformats.org/officeDocument/2006/relationships/image" Target="media/image494.png"/><Relationship Id="rId547" Type="http://schemas.openxmlformats.org/officeDocument/2006/relationships/image" Target="media/image495.png"/><Relationship Id="rId548" Type="http://schemas.openxmlformats.org/officeDocument/2006/relationships/image" Target="media/image496.png"/><Relationship Id="rId549" Type="http://schemas.openxmlformats.org/officeDocument/2006/relationships/image" Target="media/image497.png"/><Relationship Id="rId550" Type="http://schemas.openxmlformats.org/officeDocument/2006/relationships/image" Target="media/image498.png"/><Relationship Id="rId551" Type="http://schemas.openxmlformats.org/officeDocument/2006/relationships/image" Target="media/image499.png"/><Relationship Id="rId552" Type="http://schemas.openxmlformats.org/officeDocument/2006/relationships/image" Target="media/image500.png"/><Relationship Id="rId553" Type="http://schemas.openxmlformats.org/officeDocument/2006/relationships/image" Target="media/image501.png"/><Relationship Id="rId554" Type="http://schemas.openxmlformats.org/officeDocument/2006/relationships/image" Target="media/image502.png"/><Relationship Id="rId555" Type="http://schemas.openxmlformats.org/officeDocument/2006/relationships/image" Target="media/image503.png"/><Relationship Id="rId556" Type="http://schemas.openxmlformats.org/officeDocument/2006/relationships/image" Target="media/image504.png"/><Relationship Id="rId557" Type="http://schemas.openxmlformats.org/officeDocument/2006/relationships/image" Target="media/image505.png"/><Relationship Id="rId558" Type="http://schemas.openxmlformats.org/officeDocument/2006/relationships/image" Target="media/image506.png"/><Relationship Id="rId559" Type="http://schemas.openxmlformats.org/officeDocument/2006/relationships/image" Target="media/image507.png"/><Relationship Id="rId560" Type="http://schemas.openxmlformats.org/officeDocument/2006/relationships/image" Target="media/image508.png"/><Relationship Id="rId561" Type="http://schemas.openxmlformats.org/officeDocument/2006/relationships/image" Target="media/image509.png"/><Relationship Id="rId562" Type="http://schemas.openxmlformats.org/officeDocument/2006/relationships/image" Target="media/image510.png"/><Relationship Id="rId563" Type="http://schemas.openxmlformats.org/officeDocument/2006/relationships/image" Target="media/image511.png"/><Relationship Id="rId564" Type="http://schemas.openxmlformats.org/officeDocument/2006/relationships/image" Target="media/image512.png"/><Relationship Id="rId565" Type="http://schemas.openxmlformats.org/officeDocument/2006/relationships/image" Target="media/image513.png"/><Relationship Id="rId566" Type="http://schemas.openxmlformats.org/officeDocument/2006/relationships/image" Target="media/image514.png"/><Relationship Id="rId567" Type="http://schemas.openxmlformats.org/officeDocument/2006/relationships/image" Target="media/image515.png"/><Relationship Id="rId568" Type="http://schemas.openxmlformats.org/officeDocument/2006/relationships/image" Target="media/image516.png"/><Relationship Id="rId569" Type="http://schemas.openxmlformats.org/officeDocument/2006/relationships/image" Target="media/image517.png"/><Relationship Id="rId570" Type="http://schemas.openxmlformats.org/officeDocument/2006/relationships/image" Target="media/image518.png"/><Relationship Id="rId571" Type="http://schemas.openxmlformats.org/officeDocument/2006/relationships/image" Target="media/image519.png"/><Relationship Id="rId572" Type="http://schemas.openxmlformats.org/officeDocument/2006/relationships/image" Target="media/image520.png"/><Relationship Id="rId573" Type="http://schemas.openxmlformats.org/officeDocument/2006/relationships/image" Target="media/image521.png"/><Relationship Id="rId574" Type="http://schemas.openxmlformats.org/officeDocument/2006/relationships/image" Target="media/image522.png"/><Relationship Id="rId575" Type="http://schemas.openxmlformats.org/officeDocument/2006/relationships/image" Target="media/image523.png"/><Relationship Id="rId576" Type="http://schemas.openxmlformats.org/officeDocument/2006/relationships/image" Target="media/image524.png"/><Relationship Id="rId577" Type="http://schemas.openxmlformats.org/officeDocument/2006/relationships/image" Target="media/image525.png"/><Relationship Id="rId428" Type="http://schemas.openxmlformats.org/officeDocument/2006/relationships/hyperlink" Target="https://www.sec.gov/Archives/edgar/data/0001856031/000119312521175583/d447259ds4.htm#ii447259_10" TargetMode="External"/><Relationship Id="rId429" Type="http://schemas.openxmlformats.org/officeDocument/2006/relationships/hyperlink" Target="https://www.sec.gov/Archives/edgar/data/1856031/000119312521175583/d447259dex22.htm" TargetMode="External"/><Relationship Id="rId430" Type="http://schemas.openxmlformats.org/officeDocument/2006/relationships/hyperlink" Target="https://www.sec.gov/Archives/edgar/data/0001856031/000095017021004585/seat-ex2_3.htm" TargetMode="External"/><Relationship Id="rId431" Type="http://schemas.openxmlformats.org/officeDocument/2006/relationships/hyperlink" Target="https://www.sec.gov/Archives/edgar/data/0001856031/000119312521305506/d216055dex31.htm" TargetMode="External"/><Relationship Id="rId432" Type="http://schemas.openxmlformats.org/officeDocument/2006/relationships/hyperlink" Target="https://www.sec.gov/Archives/edgar/data/0001856031/000119312521305506/d216055dex32.htm" TargetMode="External"/><Relationship Id="rId433" Type="http://schemas.openxmlformats.org/officeDocument/2006/relationships/hyperlink" Target="https://www.sec.gov/Archives/edgar/data/0001856031/000119312521305506/d216055dex107.htm" TargetMode="External"/><Relationship Id="rId434" Type="http://schemas.openxmlformats.org/officeDocument/2006/relationships/hyperlink" Target="https://www.sec.gov/Archives/edgar/data/1856031/000095017022003749/seat-ex4_2.htm" TargetMode="External"/><Relationship Id="rId435" Type="http://schemas.openxmlformats.org/officeDocument/2006/relationships/hyperlink" Target="https://www.sec.gov/Archives/edgar/data/1856031/000095017022003749/seat-ex4_3.htm" TargetMode="External"/><Relationship Id="rId436" Type="http://schemas.openxmlformats.org/officeDocument/2006/relationships/hyperlink" Target="https://www.sec.gov/Archives/edgar/data/1856031/000095017022003749/seat-ex4_4.htm" TargetMode="External"/><Relationship Id="rId437" Type="http://schemas.openxmlformats.org/officeDocument/2006/relationships/hyperlink" Target="https://www.sec.gov/Archives/edgar/data/0001856031/000119312521305506/d216055dex101.htm" TargetMode="External"/><Relationship Id="rId440" Type="http://schemas.openxmlformats.org/officeDocument/2006/relationships/hyperlink" Target="https://www.sec.gov/Archives/edgar/data/0001856031/000119312521305506/d216055dex102.htm" TargetMode="External"/><Relationship Id="rId441" Type="http://schemas.openxmlformats.org/officeDocument/2006/relationships/hyperlink" Target="https://www.sec.gov/Archives/edgar/data/0001856031/000119312521305506/d216055dex103.htm" TargetMode="External"/><Relationship Id="rId442" Type="http://schemas.openxmlformats.org/officeDocument/2006/relationships/hyperlink" Target="https://www.sec.gov/Archives/edgar/data/0001856031/000119312521305506/d216055dex106.htm" TargetMode="External"/><Relationship Id="rId443" Type="http://schemas.openxmlformats.org/officeDocument/2006/relationships/hyperlink" Target="https://www.sec.gov/Archives/edgar/data/0001856031/000119312521305506/d216055dex108.htm" TargetMode="External"/><Relationship Id="rId444" Type="http://schemas.openxmlformats.org/officeDocument/2006/relationships/hyperlink" Target="https://www.sec.gov/Archives/edgar/data/0001856031/000119312521305506/d216055dex109.htm" TargetMode="External"/><Relationship Id="rId445" Type="http://schemas.openxmlformats.org/officeDocument/2006/relationships/hyperlink" Target="https://www.sec.gov/Archives/edgar/data/0001856031/000119312521305506/d216055dex1010.htm" TargetMode="External"/><Relationship Id="rId446" Type="http://schemas.openxmlformats.org/officeDocument/2006/relationships/hyperlink" Target="https://www.sec.gov/Archives/edgar/data/0001856031/000119312521305506/d216055dex1011.htm" TargetMode="External"/><Relationship Id="rId447" Type="http://schemas.openxmlformats.org/officeDocument/2006/relationships/hyperlink" Target="https://www.sec.gov/Archives/edgar/data/0001856031/000119312521305506/d216055dex104.htm" TargetMode="External"/><Relationship Id="rId448" Type="http://schemas.openxmlformats.org/officeDocument/2006/relationships/hyperlink" Target="https://www.sec.gov/Archives/edgar/data/0001856031/000119312521305506/d216055dex105.htm" TargetMode="External"/><Relationship Id="rId449" Type="http://schemas.openxmlformats.org/officeDocument/2006/relationships/hyperlink" Target="https://www.sec.gov/Archives/edgar/data/0001856031/000119312521301134/d48086dex991.htm" TargetMode="External"/><Relationship Id="rId450" Type="http://schemas.openxmlformats.org/officeDocument/2006/relationships/hyperlink" Target="https://www.sec.gov/Archives/edgar/data/0001856031/000119312521301134/d48086dex992.htm" TargetMode="External"/><Relationship Id="rId451" Type="http://schemas.openxmlformats.org/officeDocument/2006/relationships/hyperlink" Target="https://www.sec.gov/Archives/edgar/data/0001856031/000119312521301134/d48086dex993.htm" TargetMode="External"/><Relationship Id="rId452" Type="http://schemas.openxmlformats.org/officeDocument/2006/relationships/hyperlink" Target="https://www.sec.gov/Archives/edgar/data/0001856031/000119312521301134/d48086dex994.htm" TargetMode="External"/><Relationship Id="rId453" Type="http://schemas.openxmlformats.org/officeDocument/2006/relationships/hyperlink" Target="https://www.sec.gov/Archives/edgar/data/0001856031/000119312521301134/d48086dex995.htm" TargetMode="External"/><Relationship Id="rId454" Type="http://schemas.openxmlformats.org/officeDocument/2006/relationships/hyperlink" Target="https://www.sec.gov/Archives/edgar/data/1856031/000095017022015752/seat-ex10_1.htm" TargetMode="External"/><Relationship Id="rId457" Type="http://schemas.openxmlformats.org/officeDocument/2006/relationships/hyperlink" Target="https://www.sec.gov/Archives/edgar/data/0001856031/000119312521246893/d447259dex1014.htm" TargetMode="External"/><Relationship Id="rId461" Type="http://schemas.openxmlformats.org/officeDocument/2006/relationships/hyperlink" Target="https://www.sec.gov/Archives/edgar/data/1856031/000119312521246893/d447259dex1019.htm" TargetMode="External"/><Relationship Id="rId465" Type="http://schemas.openxmlformats.org/officeDocument/2006/relationships/hyperlink" Target="https://www.sec.gov/Archives/edgar/data/0001856031/000119312521246893/d447259dex1018.htm" TargetMode="External"/><Relationship Id="rId469" Type="http://schemas.openxmlformats.org/officeDocument/2006/relationships/hyperlink" Target="https://www.sec.gov/Archives/edgar/data/0001856031/000119312521246893/d447259dex1024.htm" TargetMode="External"/><Relationship Id="rId473" Type="http://schemas.openxmlformats.org/officeDocument/2006/relationships/hyperlink" Target="https://www.sec.gov/Archives/edgar/data/0001856031/000119312521246893/d447259dex1023.htm" TargetMode="External"/><Relationship Id="rId477" Type="http://schemas.openxmlformats.org/officeDocument/2006/relationships/hyperlink" Target="https://www.sec.gov/Archives/edgar/data/0001856031/000119312521246893/d447259dex1015.htm" TargetMode="External"/><Relationship Id="rId480" Type="http://schemas.openxmlformats.org/officeDocument/2006/relationships/hyperlink" Target="https://www.sec.gov/Archives/edgar/data/0001856031/000119312521246893/d447259dex1016.htm" TargetMode="External"/><Relationship Id="rId483" Type="http://schemas.openxmlformats.org/officeDocument/2006/relationships/hyperlink" Target="https://www.sec.gov/Archives/edgar/data/0001856031/000119312521246893/d447259dex1017.htm" TargetMode="External"/><Relationship Id="rId489" Type="http://schemas.openxmlformats.org/officeDocument/2006/relationships/hyperlink" Target="https://www.sec.gov/Archives/edgar/data/0001856031/000119312521246893/d447259dex1020.htm" TargetMode="External"/><Relationship Id="rId492" Type="http://schemas.openxmlformats.org/officeDocument/2006/relationships/hyperlink" Target="https://www.sec.gov/Archives/edgar/data/0001856031/000119312521246893/d447259dex1021.htm" TargetMode="External"/><Relationship Id="rId495" Type="http://schemas.openxmlformats.org/officeDocument/2006/relationships/hyperlink" Target="https://www.sec.gov/Archives/edgar/data/0001856031/000119312521246893/d447259dex1022.htm" TargetMode="External"/><Relationship Id="rId501" Type="http://schemas.openxmlformats.org/officeDocument/2006/relationships/hyperlink" Target="https://www.sec.gov/Archives/edgar/data/0001856031/000119312521246893/d447259dex1025.htm" TargetMode="External"/><Relationship Id="rId504" Type="http://schemas.openxmlformats.org/officeDocument/2006/relationships/hyperlink" Target="https://www.sec.gov/Archives/edgar/data/0001856031/000119312521246893/d447259dex1026.htm" TargetMode="External"/><Relationship Id="rId507" Type="http://schemas.openxmlformats.org/officeDocument/2006/relationships/hyperlink" Target="https://www.sec.gov/Archives/edgar/data/0001856031/000119312521246893/d447259dex1027.htm" TargetMode="External"/><Relationship Id="rId511" Type="http://schemas.openxmlformats.org/officeDocument/2006/relationships/hyperlink" Target="https://www.sec.gov/Archives/edgar/data/1856031/000095017021005329/seat-ex10_1.htm" TargetMode="External"/><Relationship Id="rId512" Type="http://schemas.openxmlformats.org/officeDocument/2006/relationships/hyperlink" Target="https://www.sec.gov/Archives/edgar/data/0001856031/000119312521209032/d447259dex107.htm" TargetMode="External"/><Relationship Id="rId513" Type="http://schemas.openxmlformats.org/officeDocument/2006/relationships/hyperlink" Target="https://www.sec.gov/Archives/edgar/data/0001856031/000119312521209032/d447259dex108.htm" TargetMode="External"/><Relationship Id="rId514" Type="http://schemas.openxmlformats.org/officeDocument/2006/relationships/hyperlink" Target="https://www.sec.gov/Archives/edgar/data/0001856031/000119312521209032/d447259dex109.htm" TargetMode="External"/><Relationship Id="rId515" Type="http://schemas.openxmlformats.org/officeDocument/2006/relationships/hyperlink" Target="https://www.sec.gov/Archives/edgar/data/0001856031/000119312521209032/d447259dex1010.htm" TargetMode="External"/><Relationship Id="rId516" Type="http://schemas.openxmlformats.org/officeDocument/2006/relationships/hyperlink" Target="https://www.sec.gov/Archives/edgar/data/1856031/000095017022000833/sea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2023-03-07T06:10:01Z</dcterms:created>
  <dcterms:modified xsi:type="dcterms:W3CDTF">2023-03-07T06:10:01Z</dcterms:modified>
</cp:coreProperties>
</file>