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jc w:val="center"/>
        <w:spacing w:after="0" w:line="237" w:lineRule="auto"/>
        <w:rPr>
          <w:sz w:val="20"/>
          <w:szCs w:val="20"/>
          <w:color w:val="auto"/>
        </w:rPr>
      </w:pPr>
      <w:r>
        <w:rPr>
          <w:rFonts w:ascii="Calibri" w:cs="Calibri" w:eastAsia="Calibri" w:hAnsi="Calibri"/>
          <w:sz w:val="29"/>
          <w:szCs w:val="29"/>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Calibri" w:cs="Calibri" w:eastAsia="Calibri" w:hAnsi="Calibri"/>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(Mark One)</w:t>
      </w:r>
    </w:p>
    <w:p>
      <w:pPr>
        <w:spacing w:after="0" w:line="5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Calibri" w:cs="Calibri" w:eastAsia="Calibri" w:hAnsi="Calibri"/>
          <w:sz w:val="14"/>
          <w:szCs w:val="14"/>
          <w:b w:val="1"/>
          <w:bCs w:val="1"/>
          <w:color w:val="auto"/>
        </w:rPr>
        <w:t>QUARTERLY REPORT PURSUANT TO SECTION 13 OR 15(d) OF THE SECURITIES EXCHANGE ACT OF 1934</w:t>
      </w:r>
    </w:p>
    <w:p>
      <w:pPr>
        <w:spacing w:after="0" w:line="315"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or</w:t>
      </w:r>
    </w:p>
    <w:p>
      <w:pPr>
        <w:spacing w:after="0" w:line="5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highlight w:val="black"/>
        </w:rPr>
      </w:pPr>
      <w:r>
        <w:rPr>
          <w:rFonts w:ascii="Calibri" w:cs="Calibri" w:eastAsia="Calibri" w:hAnsi="Calibri"/>
          <w:sz w:val="14"/>
          <w:szCs w:val="14"/>
          <w:b w:val="1"/>
          <w:bCs w:val="1"/>
          <w:color w:val="auto"/>
        </w:rPr>
        <w:t>TRANSITION REPORT PURSUANT TO SECTION 13 OR 15(d) OF THE SECURITIES EXCHANGE ACT OF 1934</w:t>
      </w:r>
    </w:p>
    <w:p>
      <w:pPr>
        <w:spacing w:after="0" w:line="86" w:lineRule="exact"/>
        <w:rPr>
          <w:sz w:val="24"/>
          <w:szCs w:val="24"/>
          <w:color w:val="auto"/>
        </w:rPr>
      </w:pPr>
    </w:p>
    <w:p>
      <w:pPr>
        <w:ind w:left="3900"/>
        <w:spacing w:after="0"/>
        <w:rPr>
          <w:sz w:val="20"/>
          <w:szCs w:val="20"/>
          <w:color w:val="auto"/>
        </w:rPr>
      </w:pPr>
      <w:r>
        <w:rPr>
          <w:rFonts w:ascii="Calibri" w:cs="Calibri" w:eastAsia="Calibri" w:hAnsi="Calibri"/>
          <w:sz w:val="14"/>
          <w:szCs w:val="14"/>
          <w:b w:val="1"/>
          <w:bCs w:val="1"/>
          <w:color w:val="auto"/>
        </w:rPr>
        <w:t>For the transiton period from __________ to __________</w:t>
      </w:r>
    </w:p>
    <w:p>
      <w:pPr>
        <w:spacing w:after="0" w:line="113"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Commission File Number: 001-40926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Calibri" w:cs="Calibri" w:eastAsia="Calibri" w:hAnsi="Calibri"/>
          <w:sz w:val="36"/>
          <w:szCs w:val="36"/>
          <w:b w:val="1"/>
          <w:bCs w:val="1"/>
          <w:color w:val="auto"/>
        </w:rPr>
        <w:t>Vivid Seats Inc.</w:t>
      </w:r>
    </w:p>
    <w:p>
      <w:pPr>
        <w:spacing w:after="0" w:line="32" w:lineRule="exact"/>
        <w:rPr>
          <w:sz w:val="24"/>
          <w:szCs w:val="24"/>
          <w:color w:val="auto"/>
        </w:rPr>
      </w:pPr>
    </w:p>
    <w:p>
      <w:pPr>
        <w:jc w:val="center"/>
        <w:spacing w:after="0"/>
        <w:rPr>
          <w:sz w:val="20"/>
          <w:szCs w:val="20"/>
          <w:color w:val="auto"/>
        </w:rPr>
      </w:pPr>
      <w:r>
        <w:rPr>
          <w:rFonts w:ascii="Calibri" w:cs="Calibri" w:eastAsia="Calibri" w:hAnsi="Calibri"/>
          <w:sz w:val="14"/>
          <w:szCs w:val="14"/>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jc w:val="center"/>
              <w:ind w:left="1548"/>
              <w:spacing w:after="0"/>
              <w:rPr>
                <w:sz w:val="20"/>
                <w:szCs w:val="20"/>
                <w:color w:val="auto"/>
              </w:rPr>
            </w:pPr>
            <w:r>
              <w:rPr>
                <w:rFonts w:ascii="Calibri" w:cs="Calibri" w:eastAsia="Calibri" w:hAnsi="Calibri"/>
                <w:sz w:val="14"/>
                <w:szCs w:val="14"/>
                <w:b w:val="1"/>
                <w:bCs w:val="1"/>
                <w:color w:val="auto"/>
              </w:rPr>
              <w:t>Delaware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940" w:type="dxa"/>
            <w:vAlign w:val="bottom"/>
          </w:tcPr>
          <w:p>
            <w:pPr>
              <w:jc w:val="right"/>
              <w:ind w:right="2388"/>
              <w:spacing w:after="0"/>
              <w:rPr>
                <w:sz w:val="20"/>
                <w:szCs w:val="20"/>
                <w:color w:val="auto"/>
              </w:rPr>
            </w:pPr>
            <w:r>
              <w:rPr>
                <w:rFonts w:ascii="Calibri" w:cs="Calibri" w:eastAsia="Calibri" w:hAnsi="Calibri"/>
                <w:sz w:val="14"/>
                <w:szCs w:val="14"/>
                <w:b w:val="1"/>
                <w:bCs w:val="1"/>
                <w:color w:val="auto"/>
              </w:rPr>
              <w:t>86-3355184</w:t>
            </w:r>
          </w:p>
        </w:tc>
      </w:tr>
      <w:tr>
        <w:trPr>
          <w:trHeight w:val="189"/>
        </w:trPr>
        <w:tc>
          <w:tcPr>
            <w:tcW w:w="7300" w:type="dxa"/>
            <w:vAlign w:val="bottom"/>
            <w:gridSpan w:val="6"/>
          </w:tcPr>
          <w:p>
            <w:pPr>
              <w:jc w:val="center"/>
              <w:ind w:right="1660"/>
              <w:spacing w:after="0"/>
              <w:rPr>
                <w:sz w:val="20"/>
                <w:szCs w:val="20"/>
                <w:color w:val="auto"/>
              </w:rPr>
            </w:pPr>
            <w:r>
              <w:rPr>
                <w:rFonts w:ascii="Calibri" w:cs="Calibri" w:eastAsia="Calibri" w:hAnsi="Calibri"/>
                <w:sz w:val="14"/>
                <w:szCs w:val="14"/>
                <w:color w:val="auto"/>
              </w:rPr>
              <w:t>(State or other jurisdicton of incorporaton or organizaton)</w:t>
            </w:r>
          </w:p>
        </w:tc>
        <w:tc>
          <w:tcPr>
            <w:tcW w:w="3940" w:type="dxa"/>
            <w:vAlign w:val="bottom"/>
          </w:tcPr>
          <w:p>
            <w:pPr>
              <w:jc w:val="center"/>
              <w:ind w:right="1608"/>
              <w:spacing w:after="0"/>
              <w:rPr>
                <w:sz w:val="20"/>
                <w:szCs w:val="20"/>
                <w:color w:val="auto"/>
              </w:rPr>
            </w:pPr>
            <w:r>
              <w:rPr>
                <w:rFonts w:ascii="Calibri" w:cs="Calibri" w:eastAsia="Calibri" w:hAnsi="Calibri"/>
                <w:sz w:val="14"/>
                <w:szCs w:val="14"/>
                <w:color w:val="auto"/>
              </w:rPr>
              <w:t>(I.R.S. Employer Identfcaton No.)</w:t>
            </w:r>
          </w:p>
        </w:tc>
      </w:tr>
      <w:tr>
        <w:trPr>
          <w:trHeight w:val="297"/>
        </w:trPr>
        <w:tc>
          <w:tcPr>
            <w:tcW w:w="4020" w:type="dxa"/>
            <w:vAlign w:val="bottom"/>
          </w:tcPr>
          <w:p>
            <w:pPr>
              <w:jc w:val="center"/>
              <w:ind w:left="1548"/>
              <w:spacing w:after="0"/>
              <w:rPr>
                <w:sz w:val="20"/>
                <w:szCs w:val="20"/>
                <w:color w:val="auto"/>
              </w:rPr>
            </w:pPr>
            <w:r>
              <w:rPr>
                <w:rFonts w:ascii="Calibri" w:cs="Calibri" w:eastAsia="Calibri" w:hAnsi="Calibri"/>
                <w:sz w:val="14"/>
                <w:szCs w:val="14"/>
                <w:b w:val="1"/>
                <w:bCs w:val="1"/>
                <w:color w:val="auto"/>
              </w:rPr>
              <w:t>24 E. Washington Street, Suite 900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175"/>
        </w:trPr>
        <w:tc>
          <w:tcPr>
            <w:tcW w:w="4020" w:type="dxa"/>
            <w:vAlign w:val="bottom"/>
          </w:tcPr>
          <w:p>
            <w:pPr>
              <w:jc w:val="center"/>
              <w:ind w:left="1548"/>
              <w:spacing w:after="0"/>
              <w:rPr>
                <w:sz w:val="20"/>
                <w:szCs w:val="20"/>
                <w:color w:val="auto"/>
              </w:rPr>
            </w:pPr>
            <w:r>
              <w:rPr>
                <w:rFonts w:ascii="Calibri" w:cs="Calibri" w:eastAsia="Calibri" w:hAnsi="Calibri"/>
                <w:sz w:val="14"/>
                <w:szCs w:val="14"/>
                <w:b w:val="1"/>
                <w:bCs w:val="1"/>
                <w:color w:val="auto"/>
              </w:rPr>
              <w:t>Chicago, Illinois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jc w:val="right"/>
              <w:ind w:right="2548"/>
              <w:spacing w:after="0"/>
              <w:rPr>
                <w:sz w:val="20"/>
                <w:szCs w:val="20"/>
                <w:color w:val="auto"/>
              </w:rPr>
            </w:pPr>
            <w:r>
              <w:rPr>
                <w:rFonts w:ascii="Calibri" w:cs="Calibri" w:eastAsia="Calibri" w:hAnsi="Calibri"/>
                <w:sz w:val="14"/>
                <w:szCs w:val="14"/>
                <w:b w:val="1"/>
                <w:bCs w:val="1"/>
                <w:color w:val="auto"/>
              </w:rPr>
              <w:t>60602</w:t>
            </w:r>
          </w:p>
        </w:tc>
      </w:tr>
      <w:tr>
        <w:trPr>
          <w:trHeight w:val="189"/>
        </w:trPr>
        <w:tc>
          <w:tcPr>
            <w:tcW w:w="4020" w:type="dxa"/>
            <w:vAlign w:val="bottom"/>
          </w:tcPr>
          <w:p>
            <w:pPr>
              <w:jc w:val="center"/>
              <w:ind w:left="1548"/>
              <w:spacing w:after="0"/>
              <w:rPr>
                <w:sz w:val="20"/>
                <w:szCs w:val="20"/>
                <w:color w:val="auto"/>
              </w:rPr>
            </w:pPr>
            <w:r>
              <w:rPr>
                <w:rFonts w:ascii="Calibri" w:cs="Calibri" w:eastAsia="Calibri" w:hAnsi="Calibri"/>
                <w:sz w:val="14"/>
                <w:szCs w:val="14"/>
                <w:color w:val="auto"/>
              </w:rPr>
              <w:t>(Address of principal executve ofces)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940" w:type="dxa"/>
            <w:vAlign w:val="bottom"/>
          </w:tcPr>
          <w:p>
            <w:pPr>
              <w:jc w:val="center"/>
              <w:ind w:right="1588"/>
              <w:spacing w:after="0"/>
              <w:rPr>
                <w:sz w:val="20"/>
                <w:szCs w:val="20"/>
                <w:color w:val="auto"/>
              </w:rPr>
            </w:pPr>
            <w:r>
              <w:rPr>
                <w:rFonts w:ascii="Calibri" w:cs="Calibri" w:eastAsia="Calibri" w:hAnsi="Calibri"/>
                <w:sz w:val="14"/>
                <w:szCs w:val="14"/>
                <w:color w:val="auto"/>
              </w:rPr>
              <w:t>(Zip Code)</w:t>
            </w:r>
          </w:p>
        </w:tc>
      </w:tr>
      <w:tr>
        <w:trPr>
          <w:trHeight w:val="297"/>
        </w:trPr>
        <w:tc>
          <w:tcPr>
            <w:tcW w:w="402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(312) 291-9966</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175"/>
        </w:trPr>
        <w:tc>
          <w:tcPr>
            <w:tcW w:w="4020" w:type="dxa"/>
            <w:vAlign w:val="bottom"/>
          </w:tcPr>
          <w:p>
            <w:pPr>
              <w:spacing w:after="0"/>
              <w:rPr>
                <w:sz w:val="15"/>
                <w:szCs w:val="15"/>
                <w:color w:val="auto"/>
              </w:rPr>
            </w:pPr>
          </w:p>
        </w:tc>
        <w:tc>
          <w:tcPr>
            <w:tcW w:w="3280" w:type="dxa"/>
            <w:vAlign w:val="bottom"/>
            <w:gridSpan w:val="5"/>
          </w:tcPr>
          <w:p>
            <w:pPr>
              <w:jc w:val="center"/>
              <w:ind w:right="80"/>
              <w:spacing w:after="0"/>
              <w:rPr>
                <w:sz w:val="20"/>
                <w:szCs w:val="20"/>
                <w:color w:val="auto"/>
              </w:rPr>
            </w:pPr>
            <w:r>
              <w:rPr>
                <w:rFonts w:ascii="Calibri" w:cs="Calibri" w:eastAsia="Calibri" w:hAnsi="Calibri"/>
                <w:sz w:val="14"/>
                <w:szCs w:val="14"/>
                <w:color w:val="auto"/>
              </w:rPr>
              <w:t>(Registrant’s telephone number, including area code)</w:t>
            </w:r>
          </w:p>
        </w:tc>
        <w:tc>
          <w:tcPr>
            <w:tcW w:w="3940" w:type="dxa"/>
            <w:vAlign w:val="bottom"/>
          </w:tcPr>
          <w:p>
            <w:pPr>
              <w:spacing w:after="0"/>
              <w:rPr>
                <w:sz w:val="15"/>
                <w:szCs w:val="15"/>
                <w:color w:val="auto"/>
              </w:rPr>
            </w:pPr>
          </w:p>
        </w:tc>
      </w:tr>
      <w:tr>
        <w:trPr>
          <w:trHeight w:val="168"/>
        </w:trPr>
        <w:tc>
          <w:tcPr>
            <w:tcW w:w="4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r>
      <w:tr>
        <w:trPr>
          <w:trHeight w:val="257"/>
        </w:trPr>
        <w:tc>
          <w:tcPr>
            <w:tcW w:w="4020" w:type="dxa"/>
            <w:vAlign w:val="bottom"/>
          </w:tcPr>
          <w:p>
            <w:pPr>
              <w:spacing w:after="0"/>
              <w:rPr>
                <w:sz w:val="20"/>
                <w:szCs w:val="20"/>
                <w:color w:val="auto"/>
              </w:rPr>
            </w:pPr>
            <w:r>
              <w:rPr>
                <w:rFonts w:ascii="Calibri" w:cs="Calibri" w:eastAsia="Calibri" w:hAnsi="Calibri"/>
                <w:sz w:val="14"/>
                <w:szCs w:val="14"/>
                <w:color w:val="auto"/>
              </w:rPr>
              <w:t>Securites registered pursuant to Secton 12(b) of the Act:</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84"/>
        </w:trPr>
        <w:tc>
          <w:tcPr>
            <w:tcW w:w="4020" w:type="dxa"/>
            <w:vAlign w:val="bottom"/>
          </w:tcPr>
          <w:p>
            <w:pPr>
              <w:jc w:val="center"/>
              <w:ind w:left="208"/>
              <w:spacing w:after="0"/>
              <w:rPr>
                <w:sz w:val="20"/>
                <w:szCs w:val="20"/>
                <w:color w:val="auto"/>
              </w:rPr>
            </w:pPr>
            <w:r>
              <w:rPr>
                <w:rFonts w:ascii="Calibri" w:cs="Calibri" w:eastAsia="Calibri" w:hAnsi="Calibri"/>
                <w:sz w:val="14"/>
                <w:szCs w:val="14"/>
                <w:color w:val="auto"/>
              </w:rPr>
              <w:t>Title of each class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3"/>
          </w:tcPr>
          <w:p>
            <w:pPr>
              <w:jc w:val="center"/>
              <w:ind w:right="1220"/>
              <w:spacing w:after="0"/>
              <w:rPr>
                <w:sz w:val="20"/>
                <w:szCs w:val="20"/>
                <w:color w:val="auto"/>
              </w:rPr>
            </w:pPr>
            <w:r>
              <w:rPr>
                <w:rFonts w:ascii="Calibri" w:cs="Calibri" w:eastAsia="Calibri" w:hAnsi="Calibri"/>
                <w:sz w:val="14"/>
                <w:szCs w:val="14"/>
                <w:color w:val="auto"/>
              </w:rPr>
              <w:t>Trading Symbol(s)</w:t>
            </w:r>
          </w:p>
        </w:tc>
        <w:tc>
          <w:tcPr>
            <w:tcW w:w="3940" w:type="dxa"/>
            <w:vAlign w:val="bottom"/>
          </w:tcPr>
          <w:p>
            <w:pPr>
              <w:jc w:val="center"/>
              <w:ind w:right="1048"/>
              <w:spacing w:after="0"/>
              <w:rPr>
                <w:sz w:val="20"/>
                <w:szCs w:val="20"/>
                <w:color w:val="auto"/>
              </w:rPr>
            </w:pPr>
            <w:r>
              <w:rPr>
                <w:rFonts w:ascii="Calibri" w:cs="Calibri" w:eastAsia="Calibri" w:hAnsi="Calibri"/>
                <w:sz w:val="14"/>
                <w:szCs w:val="14"/>
                <w:color w:val="auto"/>
              </w:rPr>
              <w:t>Name of each exchange on which registered</w:t>
            </w:r>
          </w:p>
        </w:tc>
      </w:tr>
      <w:tr>
        <w:trPr>
          <w:trHeight w:val="33"/>
        </w:trPr>
        <w:tc>
          <w:tcPr>
            <w:tcW w:w="4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03"/>
        </w:trPr>
        <w:tc>
          <w:tcPr>
            <w:tcW w:w="4020" w:type="dxa"/>
            <w:vAlign w:val="bottom"/>
          </w:tcPr>
          <w:p>
            <w:pPr>
              <w:jc w:val="center"/>
              <w:ind w:left="188"/>
              <w:spacing w:after="0"/>
              <w:rPr>
                <w:sz w:val="20"/>
                <w:szCs w:val="20"/>
                <w:color w:val="auto"/>
              </w:rPr>
            </w:pPr>
            <w:r>
              <w:rPr>
                <w:rFonts w:ascii="Calibri" w:cs="Calibri" w:eastAsia="Calibri" w:hAnsi="Calibri"/>
                <w:sz w:val="14"/>
                <w:szCs w:val="14"/>
                <w:b w:val="1"/>
                <w:bCs w:val="1"/>
                <w:color w:val="auto"/>
              </w:rPr>
              <w:t>Class A common stock, par value $0.0001 per share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3"/>
          </w:tcPr>
          <w:p>
            <w:pPr>
              <w:jc w:val="center"/>
              <w:ind w:right="1240"/>
              <w:spacing w:after="0"/>
              <w:rPr>
                <w:sz w:val="20"/>
                <w:szCs w:val="20"/>
                <w:color w:val="auto"/>
              </w:rPr>
            </w:pPr>
            <w:r>
              <w:rPr>
                <w:rFonts w:ascii="Calibri" w:cs="Calibri" w:eastAsia="Calibri" w:hAnsi="Calibri"/>
                <w:sz w:val="14"/>
                <w:szCs w:val="14"/>
                <w:b w:val="1"/>
                <w:bCs w:val="1"/>
                <w:color w:val="auto"/>
              </w:rPr>
              <w:t>SEAT</w:t>
            </w:r>
          </w:p>
        </w:tc>
        <w:tc>
          <w:tcPr>
            <w:tcW w:w="3940" w:type="dxa"/>
            <w:vAlign w:val="bottom"/>
          </w:tcPr>
          <w:p>
            <w:pPr>
              <w:jc w:val="center"/>
              <w:ind w:right="1068"/>
              <w:spacing w:after="0"/>
              <w:rPr>
                <w:sz w:val="20"/>
                <w:szCs w:val="20"/>
                <w:color w:val="auto"/>
              </w:rPr>
            </w:pPr>
            <w:r>
              <w:rPr>
                <w:rFonts w:ascii="Calibri" w:cs="Calibri" w:eastAsia="Calibri" w:hAnsi="Calibri"/>
                <w:sz w:val="14"/>
                <w:szCs w:val="14"/>
                <w:b w:val="1"/>
                <w:bCs w:val="1"/>
                <w:color w:val="auto"/>
              </w:rPr>
              <w:t>The Nasdaq Stock Market LLC</w:t>
            </w:r>
          </w:p>
        </w:tc>
      </w:tr>
      <w:tr>
        <w:trPr>
          <w:trHeight w:val="243"/>
        </w:trPr>
        <w:tc>
          <w:tcPr>
            <w:tcW w:w="4020" w:type="dxa"/>
            <w:vAlign w:val="bottom"/>
          </w:tcPr>
          <w:p>
            <w:pPr>
              <w:jc w:val="center"/>
              <w:ind w:left="208"/>
              <w:spacing w:after="0"/>
              <w:rPr>
                <w:sz w:val="20"/>
                <w:szCs w:val="20"/>
                <w:color w:val="auto"/>
              </w:rPr>
            </w:pPr>
            <w:r>
              <w:rPr>
                <w:rFonts w:ascii="Calibri" w:cs="Calibri" w:eastAsia="Calibri" w:hAnsi="Calibri"/>
                <w:sz w:val="14"/>
                <w:szCs w:val="14"/>
                <w:b w:val="1"/>
                <w:bCs w:val="1"/>
                <w:color w:val="auto"/>
              </w:rPr>
              <w:t>Warrants to purchase one share of Class A common stock</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00" w:type="dxa"/>
            <w:vAlign w:val="bottom"/>
            <w:gridSpan w:val="3"/>
          </w:tcPr>
          <w:p>
            <w:pPr>
              <w:jc w:val="center"/>
              <w:ind w:right="1200"/>
              <w:spacing w:after="0"/>
              <w:rPr>
                <w:sz w:val="20"/>
                <w:szCs w:val="20"/>
                <w:color w:val="auto"/>
              </w:rPr>
            </w:pPr>
            <w:r>
              <w:rPr>
                <w:rFonts w:ascii="Calibri" w:cs="Calibri" w:eastAsia="Calibri" w:hAnsi="Calibri"/>
                <w:sz w:val="14"/>
                <w:szCs w:val="14"/>
                <w:b w:val="1"/>
                <w:bCs w:val="1"/>
                <w:color w:val="auto"/>
              </w:rPr>
              <w:t>SEATW</w:t>
            </w:r>
          </w:p>
        </w:tc>
        <w:tc>
          <w:tcPr>
            <w:tcW w:w="3940" w:type="dxa"/>
            <w:vAlign w:val="bottom"/>
          </w:tcPr>
          <w:p>
            <w:pPr>
              <w:jc w:val="center"/>
              <w:ind w:right="1068"/>
              <w:spacing w:after="0"/>
              <w:rPr>
                <w:sz w:val="20"/>
                <w:szCs w:val="20"/>
                <w:color w:val="auto"/>
              </w:rPr>
            </w:pPr>
            <w:r>
              <w:rPr>
                <w:rFonts w:ascii="Calibri" w:cs="Calibri" w:eastAsia="Calibri" w:hAnsi="Calibri"/>
                <w:sz w:val="14"/>
                <w:szCs w:val="14"/>
                <w:b w:val="1"/>
                <w:bCs w:val="1"/>
                <w:color w:val="auto"/>
              </w:rPr>
              <w:t>The Nasdaq Stock Market LLC</w:t>
            </w:r>
          </w:p>
        </w:tc>
      </w:tr>
    </w:tbl>
    <w:p>
      <w:pPr>
        <w:spacing w:after="0" w:line="127" w:lineRule="exact"/>
        <w:rPr>
          <w:sz w:val="24"/>
          <w:szCs w:val="24"/>
          <w:color w:val="auto"/>
        </w:rPr>
      </w:pPr>
    </w:p>
    <w:p>
      <w:pPr>
        <w:jc w:val="both"/>
        <w:spacing w:after="0" w:line="196" w:lineRule="exact"/>
        <w:rPr>
          <w:sz w:val="20"/>
          <w:szCs w:val="20"/>
          <w:color w:val="auto"/>
        </w:rPr>
      </w:pPr>
      <w:r>
        <w:rPr>
          <w:rFonts w:ascii="Calibri" w:cs="Calibri" w:eastAsia="Calibri" w:hAnsi="Calibri"/>
          <w:sz w:val="14"/>
          <w:szCs w:val="14"/>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spacing w:after="0" w:line="196" w:lineRule="exact"/>
        <w:rPr>
          <w:sz w:val="20"/>
          <w:szCs w:val="20"/>
          <w:color w:val="auto"/>
        </w:rPr>
      </w:pPr>
      <w:r>
        <w:rPr>
          <w:rFonts w:ascii="Calibri" w:cs="Calibri" w:eastAsia="Calibri" w:hAnsi="Calibri"/>
          <w:sz w:val="14"/>
          <w:szCs w:val="14"/>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spacing w:after="0" w:line="245" w:lineRule="auto"/>
        <w:rPr>
          <w:sz w:val="20"/>
          <w:szCs w:val="20"/>
          <w:color w:val="auto"/>
        </w:rPr>
      </w:pPr>
      <w:r>
        <w:rPr>
          <w:rFonts w:ascii="Calibri" w:cs="Calibri" w:eastAsia="Calibri" w:hAnsi="Calibri"/>
          <w:sz w:val="14"/>
          <w:szCs w:val="14"/>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Calibri" w:cs="Calibri" w:eastAsia="Calibri" w:hAnsi="Calibri"/>
                <w:sz w:val="14"/>
                <w:szCs w:val="14"/>
                <w:color w:val="auto"/>
              </w:rPr>
              <w:t>Large accelerated fler</w:t>
            </w:r>
          </w:p>
        </w:tc>
        <w:tc>
          <w:tcPr>
            <w:tcW w:w="34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00"/>
              <w:spacing w:after="0"/>
              <w:rPr>
                <w:sz w:val="20"/>
                <w:szCs w:val="20"/>
                <w:color w:val="auto"/>
              </w:rPr>
            </w:pPr>
            <w:r>
              <w:rPr>
                <w:rFonts w:ascii="Calibri" w:cs="Calibri" w:eastAsia="Calibri" w:hAnsi="Calibri"/>
                <w:sz w:val="14"/>
                <w:szCs w:val="14"/>
                <w:color w:val="auto"/>
              </w:rPr>
              <w:t>Accelerated fler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960" w:type="dxa"/>
            <w:vAlign w:val="bottom"/>
          </w:tcPr>
          <w:p>
            <w:pPr>
              <w:spacing w:after="0"/>
              <w:rPr>
                <w:sz w:val="20"/>
                <w:szCs w:val="20"/>
                <w:color w:val="auto"/>
              </w:rPr>
            </w:pPr>
            <w:r>
              <w:rPr>
                <w:rFonts w:ascii="Calibri" w:cs="Calibri" w:eastAsia="Calibri" w:hAnsi="Calibri"/>
                <w:sz w:val="14"/>
                <w:szCs w:val="14"/>
                <w:color w:val="auto"/>
              </w:rPr>
              <w:t>Non-accelerated fler</w:t>
            </w:r>
          </w:p>
        </w:tc>
        <w:tc>
          <w:tcPr>
            <w:tcW w:w="34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00"/>
              <w:spacing w:after="0"/>
              <w:rPr>
                <w:sz w:val="20"/>
                <w:szCs w:val="20"/>
                <w:color w:val="auto"/>
              </w:rPr>
            </w:pPr>
            <w:r>
              <w:rPr>
                <w:rFonts w:ascii="Calibri" w:cs="Calibri" w:eastAsia="Calibri" w:hAnsi="Calibri"/>
                <w:sz w:val="14"/>
                <w:szCs w:val="14"/>
                <w:color w:val="auto"/>
              </w:rPr>
              <w:t>Smaller reportng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9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900" w:type="dxa"/>
            <w:vAlign w:val="bottom"/>
          </w:tcPr>
          <w:p>
            <w:pPr>
              <w:ind w:left="2600"/>
              <w:spacing w:after="0"/>
              <w:rPr>
                <w:sz w:val="20"/>
                <w:szCs w:val="20"/>
                <w:color w:val="auto"/>
              </w:rPr>
            </w:pPr>
            <w:r>
              <w:rPr>
                <w:rFonts w:ascii="Calibri" w:cs="Calibri" w:eastAsia="Calibri" w:hAnsi="Calibri"/>
                <w:sz w:val="14"/>
                <w:szCs w:val="14"/>
                <w:color w:val="auto"/>
              </w:rPr>
              <w:t>Emerging growth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95" w:lineRule="exact"/>
        <w:rPr>
          <w:sz w:val="24"/>
          <w:szCs w:val="24"/>
          <w:color w:val="auto"/>
        </w:rPr>
      </w:pPr>
    </w:p>
    <w:p>
      <w:pPr>
        <w:spacing w:after="0" w:line="196" w:lineRule="exact"/>
        <w:rPr>
          <w:sz w:val="20"/>
          <w:szCs w:val="20"/>
          <w:color w:val="auto"/>
        </w:rPr>
      </w:pPr>
      <w:r>
        <w:rPr>
          <w:rFonts w:ascii="Calibri" w:cs="Calibri" w:eastAsia="Calibri" w:hAnsi="Calibri"/>
          <w:sz w:val="14"/>
          <w:szCs w:val="14"/>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71" w:lineRule="exact"/>
        <w:rPr>
          <w:sz w:val="20"/>
          <w:szCs w:val="20"/>
          <w:color w:val="auto"/>
        </w:rPr>
      </w:pPr>
      <w:r>
        <w:rPr>
          <w:rFonts w:ascii="Calibri" w:cs="Calibri" w:eastAsia="Calibri" w:hAnsi="Calibri"/>
          <w:sz w:val="14"/>
          <w:szCs w:val="14"/>
          <w:color w:val="auto"/>
        </w:rPr>
        <w:t>Indicate by check mark whether the registrant is a shell company (as defned in Rule 12b-2 of the Exchange Act). Yes </w:t>
      </w:r>
      <w:r>
        <w:rPr>
          <w:rFonts w:ascii="MS PGothic" w:cs="MS PGothic" w:eastAsia="MS PGothic" w:hAnsi="MS PGothic"/>
          <w:sz w:val="14"/>
          <w:szCs w:val="14"/>
          <w:color w:val="auto"/>
        </w:rPr>
        <w:t>☐</w:t>
      </w:r>
      <w:r>
        <w:rPr>
          <w:rFonts w:ascii="Calibri" w:cs="Calibri" w:eastAsia="Calibri" w:hAnsi="Calibri"/>
          <w:sz w:val="14"/>
          <w:szCs w:val="14"/>
          <w:color w:val="auto"/>
        </w:rPr>
        <w:t> No </w:t>
      </w:r>
      <w:r>
        <w:rPr>
          <w:rFonts w:ascii="MS PGothic" w:cs="MS PGothic" w:eastAsia="MS PGothic" w:hAnsi="MS PGothic"/>
          <w:sz w:val="14"/>
          <w:szCs w:val="14"/>
          <w:color w:val="auto"/>
        </w:rPr>
        <w:t>☒</w:t>
      </w:r>
    </w:p>
    <w:p>
      <w:pPr>
        <w:spacing w:after="0" w:line="152" w:lineRule="exact"/>
        <w:rPr>
          <w:sz w:val="24"/>
          <w:szCs w:val="24"/>
          <w:color w:val="auto"/>
        </w:rPr>
      </w:pPr>
    </w:p>
    <w:p>
      <w:pPr>
        <w:spacing w:after="0" w:line="245" w:lineRule="auto"/>
        <w:rPr>
          <w:sz w:val="20"/>
          <w:szCs w:val="20"/>
          <w:color w:val="auto"/>
        </w:rPr>
      </w:pPr>
      <w:r>
        <w:rPr>
          <w:rFonts w:ascii="Calibri" w:cs="Calibri" w:eastAsia="Calibri" w:hAnsi="Calibri"/>
          <w:sz w:val="14"/>
          <w:szCs w:val="14"/>
          <w:color w:val="auto"/>
        </w:rPr>
        <w:t>As of July 31, 2024, the registrant had outstanding 131,858,188 shares of Class A common stock, $0.0001 par value per share, net of treasury shares, and 76,225,000 shares of Class B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0"/>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80" w:type="dxa"/>
            <w:vAlign w:val="bottom"/>
            <w:gridSpan w:val="7"/>
          </w:tcPr>
          <w:p>
            <w:pPr>
              <w:ind w:left="80"/>
              <w:spacing w:after="0"/>
              <w:rPr>
                <w:sz w:val="20"/>
                <w:szCs w:val="20"/>
                <w:color w:val="auto"/>
              </w:rPr>
            </w:pPr>
            <w:r>
              <w:rPr>
                <w:rFonts w:ascii="Calibri" w:cs="Calibri" w:eastAsia="Calibri" w:hAnsi="Calibri"/>
                <w:sz w:val="18"/>
                <w:szCs w:val="18"/>
                <w:b w:val="1"/>
                <w:bCs w:val="1"/>
                <w:color w:val="auto"/>
              </w:rPr>
              <w:t>TABLE OF CONTENTS</w:t>
            </w:r>
          </w:p>
        </w:tc>
        <w:tc>
          <w:tcPr>
            <w:tcW w:w="560" w:type="dxa"/>
            <w:vAlign w:val="bottom"/>
          </w:tcPr>
          <w:p>
            <w:pPr>
              <w:spacing w:after="0"/>
              <w:rPr>
                <w:sz w:val="19"/>
                <w:szCs w:val="19"/>
                <w:color w:val="auto"/>
              </w:rPr>
            </w:pPr>
          </w:p>
        </w:tc>
      </w:tr>
      <w:tr>
        <w:trPr>
          <w:trHeight w:val="662"/>
        </w:trPr>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Calibri" w:cs="Calibri" w:eastAsia="Calibri" w:hAnsi="Calibri"/>
                <w:sz w:val="18"/>
                <w:szCs w:val="18"/>
                <w:b w:val="1"/>
                <w:bCs w:val="1"/>
                <w:color w:val="auto"/>
              </w:rPr>
              <w:t>Page</w:t>
            </w:r>
          </w:p>
        </w:tc>
      </w:tr>
      <w:tr>
        <w:trPr>
          <w:trHeight w:val="37"/>
        </w:trPr>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3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304"/>
        </w:trPr>
        <w:tc>
          <w:tcPr>
            <w:tcW w:w="10680" w:type="dxa"/>
            <w:vAlign w:val="bottom"/>
            <w:gridSpan w:val="21"/>
          </w:tcPr>
          <w:p>
            <w:pPr>
              <w:ind w:left="20"/>
              <w:spacing w:after="0"/>
              <w:rPr>
                <w:sz w:val="20"/>
                <w:szCs w:val="20"/>
                <w:color w:val="auto"/>
              </w:rPr>
            </w:pPr>
            <w:r>
              <w:rPr>
                <w:rFonts w:ascii="Calibri" w:cs="Calibri" w:eastAsia="Calibri" w:hAnsi="Calibri"/>
                <w:sz w:val="18"/>
                <w:szCs w:val="18"/>
                <w:color w:val="0000FF"/>
              </w:rPr>
              <w:t>Forward-Looking Statements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8"/>
        </w:trPr>
        <w:tc>
          <w:tcPr>
            <w:tcW w:w="1180" w:type="dxa"/>
            <w:vAlign w:val="bottom"/>
            <w:gridSpan w:val="2"/>
          </w:tcPr>
          <w:p>
            <w:pPr>
              <w:ind w:left="20"/>
              <w:spacing w:after="0"/>
              <w:rPr>
                <w:sz w:val="20"/>
                <w:szCs w:val="20"/>
                <w:color w:val="auto"/>
              </w:rPr>
            </w:pPr>
            <w:r>
              <w:rPr>
                <w:rFonts w:ascii="Calibri" w:cs="Calibri" w:eastAsia="Calibri" w:hAnsi="Calibri"/>
                <w:sz w:val="18"/>
                <w:szCs w:val="18"/>
                <w:b w:val="1"/>
                <w:bCs w:val="1"/>
                <w:color w:val="auto"/>
              </w:rPr>
              <w:t>PART I.</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FINANCIAL INFORMATION</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1.</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Financial Statements (Unaudited)</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Condensed Consolidated Balance Sheets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Condensed Consolidated Statements of Operatons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Condensed Consolidated Statements of Comprehensive Income (Loss)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Condensed Consolidated Statements of Equity (Defcit)</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5</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Condensed Consolidated Statements of Cash Flows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Notes to Condensed Consolidated Financial Statements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8</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700" w:type="dxa"/>
            <w:vAlign w:val="bottom"/>
            <w:tcBorders>
              <w:right w:val="single" w:sz="8" w:color="0000EE"/>
            </w:tcBorders>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2.</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3.</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Quanttatve and Qualitatve Disclosures About Market Risk</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38</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4.</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Controls and Procedures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38</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8"/>
        </w:trPr>
        <w:tc>
          <w:tcPr>
            <w:tcW w:w="1180" w:type="dxa"/>
            <w:vAlign w:val="bottom"/>
            <w:gridSpan w:val="2"/>
          </w:tcPr>
          <w:p>
            <w:pPr>
              <w:ind w:left="20"/>
              <w:spacing w:after="0"/>
              <w:rPr>
                <w:sz w:val="20"/>
                <w:szCs w:val="20"/>
                <w:color w:val="auto"/>
              </w:rPr>
            </w:pPr>
            <w:r>
              <w:rPr>
                <w:rFonts w:ascii="Calibri" w:cs="Calibri" w:eastAsia="Calibri" w:hAnsi="Calibri"/>
                <w:sz w:val="18"/>
                <w:szCs w:val="18"/>
                <w:b w:val="1"/>
                <w:bCs w:val="1"/>
                <w:color w:val="auto"/>
              </w:rPr>
              <w:t>PART II.</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OTHER INFORMATION</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40</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1.</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Legal Proceedings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40</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1A.</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Risk Factors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40</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2.</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Unregistered Sales of Equity Securites and Use of Proceeds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40</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3.</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Defaults Upon Senior Securites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40</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728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4.</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Mine Safety Disclosures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40</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84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5.</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Other Informaton</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40</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822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6.</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Exhibits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41</w:t>
            </w:r>
          </w:p>
        </w:tc>
      </w:tr>
      <w:tr>
        <w:trPr>
          <w:trHeight w:val="358"/>
        </w:trPr>
        <w:tc>
          <w:tcPr>
            <w:tcW w:w="1180" w:type="dxa"/>
            <w:vAlign w:val="bottom"/>
            <w:gridSpan w:val="2"/>
          </w:tcPr>
          <w:p>
            <w:pPr>
              <w:ind w:left="20"/>
              <w:spacing w:after="0"/>
              <w:rPr>
                <w:sz w:val="20"/>
                <w:szCs w:val="20"/>
                <w:color w:val="auto"/>
              </w:rPr>
            </w:pPr>
            <w:r>
              <w:rPr>
                <w:rFonts w:ascii="Calibri" w:cs="Calibri" w:eastAsia="Calibri" w:hAnsi="Calibri"/>
                <w:sz w:val="18"/>
                <w:szCs w:val="18"/>
                <w:color w:val="0000FF"/>
              </w:rPr>
              <w:t>Signatures</w:t>
            </w:r>
          </w:p>
        </w:tc>
        <w:tc>
          <w:tcPr>
            <w:tcW w:w="5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alibri" w:cs="Calibri" w:eastAsia="Calibri" w:hAnsi="Calibri"/>
                <w:sz w:val="18"/>
                <w:szCs w:val="18"/>
                <w:color w:val="auto"/>
              </w:rPr>
              <w:t>43</w:t>
            </w:r>
          </w:p>
        </w:tc>
      </w:tr>
      <w:tr>
        <w:trPr>
          <w:trHeight w:val="1675"/>
        </w:trPr>
        <w:tc>
          <w:tcPr>
            <w:tcW w:w="76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 w:name="page3"/>
    <w:bookmarkEnd w:id="2"/>
    <w:p>
      <w:pPr>
        <w:jc w:val="center"/>
        <w:spacing w:after="0"/>
        <w:rPr>
          <w:sz w:val="20"/>
          <w:szCs w:val="20"/>
          <w:color w:val="auto"/>
        </w:rPr>
      </w:pPr>
      <w:r>
        <w:rPr>
          <w:rFonts w:ascii="Calibri" w:cs="Calibri" w:eastAsia="Calibri" w:hAnsi="Calibri"/>
          <w:sz w:val="18"/>
          <w:szCs w:val="18"/>
          <w:b w:val="1"/>
          <w:bCs w:val="1"/>
          <w:color w:val="auto"/>
        </w:rPr>
        <w:t>FORWARD-LOOKING STATEMENTS</w:t>
      </w:r>
    </w:p>
    <w:p>
      <w:pPr>
        <w:spacing w:after="0" w:line="200" w:lineRule="exact"/>
        <w:rPr>
          <w:sz w:val="20"/>
          <w:szCs w:val="20"/>
          <w:color w:val="auto"/>
        </w:rPr>
      </w:pPr>
    </w:p>
    <w:p>
      <w:pPr>
        <w:spacing w:after="0" w:line="2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Quarterly Report on Form 10-Q (this “Report”) contains “forward-looking statements” (within the meaning of Secton 27A of the Securites Act of 1933, as amended, and Secton 21E of the Securites Exchange Act of 1934, as amended (the “Exchange Act”)) regarding future events and the future results of Vivid Seats Inc. and its subsidiaries (collectvely, “we,” “us” and “our”). Words such as “antcipate,” “believe,” “can,” “contnue,” “could,” “designed,” “estmate,” “expect,” “forecast,” “future,” “goal,” “intend,” “likely,” “may,” “plan,” “project,” “propose,” “seek,” “should,” “target,” “will” and “would,” as well as similar expressions which predict or indicate future events and trends or which do not relate to historical maters, are intended to identfy such forward-looking statements.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example, we may use forward-looking statements when addressing topics such as our future fnancial performance, including our ability to generate sufcient cash fows or to raise additonal capital when necessary or desirable, our success in atractng, hiring, motvatng and retaining our senior management team, key technical employees and other highly skilled personnel, our ability to declare and pay dividends on our Class A common stock and other topics relatng to our business, operatons and fnancial performance such as:</w:t>
      </w:r>
    </w:p>
    <w:p>
      <w:pPr>
        <w:spacing w:after="0" w:line="120"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supply and demand of live concert, sportng and theater events;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impact of adverse economic conditons afectng discretonary consumer and corporate spending;</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maintain and develop our relatonships with tcket buyers, sellers and partners;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compete in the tcketng industry;</w:t>
      </w:r>
    </w:p>
    <w:p>
      <w:pPr>
        <w:spacing w:after="0" w:line="122"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contnue to maintain and improve our platorm and develop successful new solutons and enhancements or improve existng ones;</w:t>
      </w:r>
    </w:p>
    <w:p>
      <w:pPr>
        <w:spacing w:after="0" w:line="118"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impact of extraordinary events, including disease epidemics and pandemics;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identfy suitable acquisiton targets and to complete and realize the expected benefts of planned acquisitons;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comply with applicable regulatory regimes;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impact of unfavorable legislatve outcomes, or unfavorable outcomes in legal proceedings; and</w:t>
      </w:r>
    </w:p>
    <w:p>
      <w:pPr>
        <w:spacing w:after="0" w:line="122"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maintain the integrity of our informaton systems and infrastructure, and to identfy, assess and manage relevant cybersecurity risks.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based these forward-looking statements largely on our current expectatons, estmates, forecasts and projectons about future events and fnancial trends that we believe may afect our business, fnancial conditon and results of operatons. While we believe such informaton forms a reasonable basis for such statements, such informaton may be limited or incomplete, and our statements should not be read to indicate that we have conducted an exhaustve inquiry into, or review of, all potentally available relevant informaton. Forward-looking statements are not guarantees of future performance, conditons or results, and are subject to risks, uncertaintes and assumptons that can be difcult to predict and/or are outside of our control. Therefore, actual results may difer materially from those contemplated by any forward-looking statements. You are cautoned not to place undue reliance on these forward-looking statements, which speak only as of the date of this Report or, in the case of statements incorporated by reference herein, as of the date of the incorporated document.</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Important factors that could cause or contribute to such diferences include, but are not limited to, those discussed in the “Risk Factors” and “Management’s Discussion and Analysis of Financial Conditon and Results of Operatons” sectons of this Report and our Annual Report on Form 10-K for the fscal year ended December 31, 2023, which was fled with the Securites and Exchange Commission (the “SEC”) on March 8, 2024 (our “2023 Form 10-K”), as well as in our press releases and other flings with the SEC. Except as required by applicable law, we undertake no obligaton to update or revise any forward-looking statements contained in this Report, whether as a result of new informaton, future events or otherwise.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 w:name="page4"/>
    <w:bookmarkEnd w:id="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CONDENSED CONSOLIDATED BALANCE SHEETS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 and per share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660"/>
              <w:spacing w:after="0"/>
              <w:rPr>
                <w:sz w:val="20"/>
                <w:szCs w:val="20"/>
                <w:color w:val="auto"/>
              </w:rPr>
            </w:pPr>
            <w:r>
              <w:rPr>
                <w:rFonts w:ascii="Calibri" w:cs="Calibri" w:eastAsia="Calibri" w:hAnsi="Calibri"/>
                <w:sz w:val="18"/>
                <w:szCs w:val="18"/>
                <w:b w:val="1"/>
                <w:bCs w:val="1"/>
                <w:color w:val="auto"/>
              </w:rPr>
              <w:t>June 30,</w:t>
            </w:r>
          </w:p>
        </w:tc>
        <w:tc>
          <w:tcPr>
            <w:tcW w:w="12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Calibri" w:cs="Calibri" w:eastAsia="Calibri" w:hAnsi="Calibri"/>
                <w:sz w:val="18"/>
                <w:szCs w:val="18"/>
                <w:b w:val="1"/>
                <w:bCs w:val="1"/>
                <w:color w:val="auto"/>
                <w:w w:val="98"/>
              </w:rPr>
              <w:t>December 31,</w:t>
            </w:r>
          </w:p>
        </w:tc>
      </w:tr>
      <w:tr>
        <w:trPr>
          <w:trHeight w:val="243"/>
        </w:trPr>
        <w:tc>
          <w:tcPr>
            <w:tcW w:w="8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r>
      <w:tr>
        <w:trPr>
          <w:trHeight w:val="37"/>
        </w:trPr>
        <w:tc>
          <w:tcPr>
            <w:tcW w:w="81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81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Assets</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816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1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Cash and cash equivalents</w:t>
            </w: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234,289</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125,484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160" w:type="dxa"/>
            <w:vAlign w:val="bottom"/>
          </w:tcPr>
          <w:p>
            <w:pPr>
              <w:ind w:left="120"/>
              <w:spacing w:after="0" w:line="215" w:lineRule="exact"/>
              <w:rPr>
                <w:sz w:val="20"/>
                <w:szCs w:val="20"/>
                <w:color w:val="auto"/>
              </w:rPr>
            </w:pPr>
            <w:r>
              <w:rPr>
                <w:rFonts w:ascii="Calibri" w:cs="Calibri" w:eastAsia="Calibri" w:hAnsi="Calibri"/>
                <w:sz w:val="18"/>
                <w:szCs w:val="18"/>
                <w:color w:val="auto"/>
              </w:rPr>
              <w:t>Restricted cash</w:t>
            </w:r>
          </w:p>
        </w:tc>
        <w:tc>
          <w:tcPr>
            <w:tcW w:w="2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6,136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6,950</w:t>
            </w:r>
          </w:p>
        </w:tc>
        <w:tc>
          <w:tcPr>
            <w:tcW w:w="100" w:type="dxa"/>
            <w:vAlign w:val="bottom"/>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1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Accounts receivable – net</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68,628</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58,481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160" w:type="dxa"/>
            <w:vAlign w:val="bottom"/>
          </w:tcPr>
          <w:p>
            <w:pPr>
              <w:ind w:left="120"/>
              <w:spacing w:after="0" w:line="215" w:lineRule="exact"/>
              <w:rPr>
                <w:sz w:val="20"/>
                <w:szCs w:val="20"/>
                <w:color w:val="auto"/>
              </w:rPr>
            </w:pPr>
            <w:r>
              <w:rPr>
                <w:rFonts w:ascii="Calibri" w:cs="Calibri" w:eastAsia="Calibri" w:hAnsi="Calibri"/>
                <w:sz w:val="18"/>
                <w:szCs w:val="18"/>
                <w:color w:val="auto"/>
              </w:rPr>
              <w:t>Inventory – net</w:t>
            </w:r>
          </w:p>
        </w:tc>
        <w:tc>
          <w:tcPr>
            <w:tcW w:w="2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30,249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21,018</w:t>
            </w:r>
          </w:p>
        </w:tc>
        <w:tc>
          <w:tcPr>
            <w:tcW w:w="100" w:type="dxa"/>
            <w:vAlign w:val="bottom"/>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81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31,519</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34,061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816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Total current assets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370,821</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245,994</w:t>
            </w:r>
          </w:p>
        </w:tc>
        <w:tc>
          <w:tcPr>
            <w:tcW w:w="100" w:type="dxa"/>
            <w:vAlign w:val="bottom"/>
            <w:tcBorders>
              <w:top w:val="single" w:sz="8" w:color="CFF0FC"/>
            </w:tcBorders>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Property and equipment – net</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9,663</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10,156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160" w:type="dxa"/>
            <w:vAlign w:val="bottom"/>
          </w:tcPr>
          <w:p>
            <w:pPr>
              <w:ind w:left="20"/>
              <w:spacing w:after="0" w:line="215" w:lineRule="exact"/>
              <w:rPr>
                <w:sz w:val="20"/>
                <w:szCs w:val="20"/>
                <w:color w:val="auto"/>
              </w:rPr>
            </w:pPr>
            <w:r>
              <w:rPr>
                <w:rFonts w:ascii="Calibri" w:cs="Calibri" w:eastAsia="Calibri" w:hAnsi="Calibri"/>
                <w:sz w:val="18"/>
                <w:szCs w:val="18"/>
                <w:color w:val="auto"/>
              </w:rPr>
              <w:t>Right-of-use assets – net</w:t>
            </w:r>
          </w:p>
        </w:tc>
        <w:tc>
          <w:tcPr>
            <w:tcW w:w="2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9,692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9,826</w:t>
            </w:r>
          </w:p>
        </w:tc>
        <w:tc>
          <w:tcPr>
            <w:tcW w:w="100" w:type="dxa"/>
            <w:vAlign w:val="bottom"/>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Intangible assets – net</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227,054</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241,155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160" w:type="dxa"/>
            <w:vAlign w:val="bottom"/>
          </w:tcPr>
          <w:p>
            <w:pPr>
              <w:ind w:left="20"/>
              <w:spacing w:after="0" w:line="215" w:lineRule="exact"/>
              <w:rPr>
                <w:sz w:val="20"/>
                <w:szCs w:val="20"/>
                <w:color w:val="auto"/>
              </w:rPr>
            </w:pPr>
            <w:r>
              <w:rPr>
                <w:rFonts w:ascii="Calibri" w:cs="Calibri" w:eastAsia="Calibri" w:hAnsi="Calibri"/>
                <w:sz w:val="18"/>
                <w:szCs w:val="18"/>
                <w:color w:val="auto"/>
              </w:rPr>
              <w:t>Goodwill</w:t>
            </w:r>
          </w:p>
        </w:tc>
        <w:tc>
          <w:tcPr>
            <w:tcW w:w="2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941,507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947,359</w:t>
            </w:r>
          </w:p>
        </w:tc>
        <w:tc>
          <w:tcPr>
            <w:tcW w:w="100" w:type="dxa"/>
            <w:vAlign w:val="bottom"/>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Deferred tax assets</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85,073</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85,564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160" w:type="dxa"/>
            <w:vAlign w:val="bottom"/>
          </w:tcPr>
          <w:p>
            <w:pPr>
              <w:ind w:left="20"/>
              <w:spacing w:after="0" w:line="215" w:lineRule="exact"/>
              <w:rPr>
                <w:sz w:val="20"/>
                <w:szCs w:val="20"/>
                <w:color w:val="auto"/>
              </w:rPr>
            </w:pPr>
            <w:r>
              <w:rPr>
                <w:rFonts w:ascii="Calibri" w:cs="Calibri" w:eastAsia="Calibri" w:hAnsi="Calibri"/>
                <w:sz w:val="18"/>
                <w:szCs w:val="18"/>
                <w:color w:val="auto"/>
              </w:rPr>
              <w:t>Investments</w:t>
            </w:r>
          </w:p>
        </w:tc>
        <w:tc>
          <w:tcPr>
            <w:tcW w:w="2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7,245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6,993</w:t>
            </w:r>
          </w:p>
        </w:tc>
        <w:tc>
          <w:tcPr>
            <w:tcW w:w="100" w:type="dxa"/>
            <w:vAlign w:val="bottom"/>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8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non-current assets</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3,647</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816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b w:val="1"/>
                <w:bCs w:val="1"/>
                <w:color w:val="auto"/>
              </w:rPr>
              <w:t>Total assets</w:t>
            </w:r>
          </w:p>
        </w:tc>
        <w:tc>
          <w:tcPr>
            <w:tcW w:w="240" w:type="dxa"/>
            <w:vAlign w:val="bottom"/>
            <w:tcBorders>
              <w:top w:val="single" w:sz="8" w:color="auto"/>
            </w:tcBorders>
          </w:tcPr>
          <w:p>
            <w:pPr>
              <w:jc w:val="right"/>
              <w:ind w:right="50"/>
              <w:spacing w:after="0" w:line="213" w:lineRule="exact"/>
              <w:rPr>
                <w:sz w:val="20"/>
                <w:szCs w:val="20"/>
                <w:color w:val="auto"/>
              </w:rPr>
            </w:pPr>
            <w:r>
              <w:rPr>
                <w:rFonts w:ascii="Calibri" w:cs="Calibri" w:eastAsia="Calibri" w:hAnsi="Calibri"/>
                <w:sz w:val="18"/>
                <w:szCs w:val="18"/>
                <w:b w:val="1"/>
                <w:bCs w:val="1"/>
                <w:color w:val="auto"/>
                <w:w w:val="87"/>
              </w:rPr>
              <w:t>$</w:t>
            </w:r>
          </w:p>
        </w:tc>
        <w:tc>
          <w:tcPr>
            <w:tcW w:w="11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1,654,702</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w w:val="87"/>
              </w:rPr>
              <w:t>$</w:t>
            </w:r>
          </w:p>
        </w:tc>
        <w:tc>
          <w:tcPr>
            <w:tcW w:w="12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1,550,099</w:t>
            </w:r>
          </w:p>
        </w:tc>
        <w:tc>
          <w:tcPr>
            <w:tcW w:w="100" w:type="dxa"/>
            <w:vAlign w:val="bottom"/>
            <w:tcBorders>
              <w:top w:val="single" w:sz="8" w:color="CFF0FC"/>
            </w:tcBorders>
          </w:tcPr>
          <w:p>
            <w:pPr>
              <w:spacing w:after="0"/>
              <w:rPr>
                <w:sz w:val="18"/>
                <w:szCs w:val="18"/>
                <w:color w:val="auto"/>
              </w:rPr>
            </w:pPr>
          </w:p>
        </w:tc>
      </w:tr>
      <w:tr>
        <w:trPr>
          <w:trHeight w:val="23"/>
        </w:trPr>
        <w:tc>
          <w:tcPr>
            <w:tcW w:w="8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8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8160" w:type="dxa"/>
            <w:vAlign w:val="bottom"/>
            <w:tcBorders>
              <w:bottom w:val="single" w:sz="8" w:color="CFF0FC"/>
            </w:tcBorders>
            <w:shd w:val="clear" w:color="auto" w:fill="CFF0FC"/>
          </w:tcPr>
          <w:p>
            <w:pPr>
              <w:ind w:left="20"/>
              <w:spacing w:after="0" w:line="196" w:lineRule="exact"/>
              <w:rPr>
                <w:sz w:val="20"/>
                <w:szCs w:val="20"/>
                <w:color w:val="auto"/>
              </w:rPr>
            </w:pPr>
            <w:r>
              <w:rPr>
                <w:rFonts w:ascii="Calibri" w:cs="Calibri" w:eastAsia="Calibri" w:hAnsi="Calibri"/>
                <w:sz w:val="18"/>
                <w:szCs w:val="18"/>
                <w:b w:val="1"/>
                <w:bCs w:val="1"/>
                <w:color w:val="auto"/>
              </w:rPr>
              <w:t>Liabilites and equity</w:t>
            </w:r>
          </w:p>
        </w:tc>
        <w:tc>
          <w:tcPr>
            <w:tcW w:w="2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15"/>
        </w:trPr>
        <w:tc>
          <w:tcPr>
            <w:tcW w:w="816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1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Accounts payable</w:t>
            </w: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266,502</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257,514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160" w:type="dxa"/>
            <w:vAlign w:val="bottom"/>
          </w:tcPr>
          <w:p>
            <w:pPr>
              <w:ind w:left="120"/>
              <w:spacing w:after="0" w:line="215" w:lineRule="exact"/>
              <w:rPr>
                <w:sz w:val="20"/>
                <w:szCs w:val="20"/>
                <w:color w:val="auto"/>
              </w:rPr>
            </w:pPr>
            <w:r>
              <w:rPr>
                <w:rFonts w:ascii="Calibri" w:cs="Calibri" w:eastAsia="Calibri" w:hAnsi="Calibri"/>
                <w:sz w:val="18"/>
                <w:szCs w:val="18"/>
                <w:color w:val="auto"/>
              </w:rPr>
              <w:t>Accrued expenses and other current liabilites</w:t>
            </w:r>
          </w:p>
        </w:tc>
        <w:tc>
          <w:tcPr>
            <w:tcW w:w="2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168,983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191,642</w:t>
            </w:r>
          </w:p>
        </w:tc>
        <w:tc>
          <w:tcPr>
            <w:tcW w:w="100" w:type="dxa"/>
            <w:vAlign w:val="bottom"/>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1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Deferred revenue</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30,173</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34,674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160" w:type="dxa"/>
            <w:vAlign w:val="bottom"/>
          </w:tcPr>
          <w:p>
            <w:pPr>
              <w:ind w:left="120"/>
              <w:spacing w:after="0" w:line="215" w:lineRule="exact"/>
              <w:rPr>
                <w:sz w:val="20"/>
                <w:szCs w:val="20"/>
                <w:color w:val="auto"/>
              </w:rPr>
            </w:pPr>
            <w:r>
              <w:rPr>
                <w:rFonts w:ascii="Calibri" w:cs="Calibri" w:eastAsia="Calibri" w:hAnsi="Calibri"/>
                <w:sz w:val="18"/>
                <w:szCs w:val="18"/>
                <w:color w:val="auto"/>
              </w:rPr>
              <w:t>Current maturites of long-term debt</w:t>
            </w:r>
          </w:p>
        </w:tc>
        <w:tc>
          <w:tcPr>
            <w:tcW w:w="2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3,950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3,933</w:t>
            </w:r>
          </w:p>
        </w:tc>
        <w:tc>
          <w:tcPr>
            <w:tcW w:w="100" w:type="dxa"/>
            <w:vAlign w:val="bottom"/>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81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Total current liabilites</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469,608</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487,763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816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debt – net</w:t>
            </w:r>
          </w:p>
        </w:tc>
        <w:tc>
          <w:tcPr>
            <w:tcW w:w="2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386,506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264,632</w:t>
            </w:r>
          </w:p>
        </w:tc>
        <w:tc>
          <w:tcPr>
            <w:tcW w:w="100" w:type="dxa"/>
            <w:vAlign w:val="bottom"/>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Long-term lease liabilites</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16,104</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16,215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160" w:type="dxa"/>
            <w:vAlign w:val="bottom"/>
          </w:tcPr>
          <w:p>
            <w:pPr>
              <w:ind w:left="20"/>
              <w:spacing w:after="0" w:line="215" w:lineRule="exact"/>
              <w:rPr>
                <w:sz w:val="20"/>
                <w:szCs w:val="20"/>
                <w:color w:val="auto"/>
              </w:rPr>
            </w:pPr>
            <w:r>
              <w:rPr>
                <w:rFonts w:ascii="Calibri" w:cs="Calibri" w:eastAsia="Calibri" w:hAnsi="Calibri"/>
                <w:sz w:val="18"/>
                <w:szCs w:val="18"/>
                <w:color w:val="auto"/>
              </w:rPr>
              <w:t>TRA liability</w:t>
            </w:r>
          </w:p>
        </w:tc>
        <w:tc>
          <w:tcPr>
            <w:tcW w:w="2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162,233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165,699</w:t>
            </w:r>
          </w:p>
        </w:tc>
        <w:tc>
          <w:tcPr>
            <w:tcW w:w="100" w:type="dxa"/>
            <w:vAlign w:val="bottom"/>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8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liabilites</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26,146</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29,031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816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Total long-term liabilites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590,989</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475,577</w:t>
            </w:r>
          </w:p>
        </w:tc>
        <w:tc>
          <w:tcPr>
            <w:tcW w:w="100" w:type="dxa"/>
            <w:vAlign w:val="bottom"/>
            <w:tcBorders>
              <w:top w:val="single" w:sz="8" w:color="CFF0FC"/>
            </w:tcBorders>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Commitments and contngencies (Note 15)</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160" w:type="dxa"/>
            <w:vAlign w:val="bottom"/>
          </w:tcPr>
          <w:p>
            <w:pPr>
              <w:ind w:left="20"/>
              <w:spacing w:after="0" w:line="215" w:lineRule="exact"/>
              <w:rPr>
                <w:sz w:val="20"/>
                <w:szCs w:val="20"/>
                <w:color w:val="auto"/>
              </w:rPr>
            </w:pPr>
            <w:r>
              <w:rPr>
                <w:rFonts w:ascii="Calibri" w:cs="Calibri" w:eastAsia="Calibri" w:hAnsi="Calibri"/>
                <w:sz w:val="18"/>
                <w:szCs w:val="18"/>
                <w:color w:val="auto"/>
              </w:rPr>
              <w:t>Redeemable noncontrolling interests</w:t>
            </w:r>
          </w:p>
        </w:tc>
        <w:tc>
          <w:tcPr>
            <w:tcW w:w="2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438,294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481,742</w:t>
            </w:r>
          </w:p>
        </w:tc>
        <w:tc>
          <w:tcPr>
            <w:tcW w:w="100" w:type="dxa"/>
            <w:vAlign w:val="bottom"/>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Shareholders' equity</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7"/>
        </w:trPr>
        <w:tc>
          <w:tcPr>
            <w:tcW w:w="8160" w:type="dxa"/>
            <w:vAlign w:val="bottom"/>
          </w:tcPr>
          <w:p>
            <w:pPr>
              <w:ind w:left="20"/>
              <w:spacing w:after="0" w:line="207" w:lineRule="exact"/>
              <w:rPr>
                <w:sz w:val="20"/>
                <w:szCs w:val="20"/>
                <w:color w:val="auto"/>
              </w:rPr>
            </w:pPr>
            <w:r>
              <w:rPr>
                <w:rFonts w:ascii="Calibri" w:cs="Calibri" w:eastAsia="Calibri" w:hAnsi="Calibri"/>
                <w:sz w:val="18"/>
                <w:szCs w:val="18"/>
                <w:color w:val="auto"/>
                <w:w w:val="99"/>
              </w:rPr>
              <w:t>Class A common stock, $0.0001 par value; 500,000,000 shares authorized, 142,554,703 and 141,167,311 shares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160" w:type="dxa"/>
            <w:vAlign w:val="bottom"/>
          </w:tcPr>
          <w:p>
            <w:pPr>
              <w:ind w:left="20"/>
              <w:spacing w:after="0" w:line="215" w:lineRule="exact"/>
              <w:rPr>
                <w:sz w:val="20"/>
                <w:szCs w:val="20"/>
                <w:color w:val="auto"/>
              </w:rPr>
            </w:pPr>
            <w:r>
              <w:rPr>
                <w:rFonts w:ascii="Calibri" w:cs="Calibri" w:eastAsia="Calibri" w:hAnsi="Calibri"/>
                <w:sz w:val="18"/>
                <w:szCs w:val="18"/>
                <w:color w:val="auto"/>
              </w:rPr>
              <w:t>issued and outstanding at June 30, 2024 and December 31, 2023, respectvely</w:t>
            </w:r>
          </w:p>
        </w:tc>
        <w:tc>
          <w:tcPr>
            <w:tcW w:w="2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100" w:type="dxa"/>
            <w:vAlign w:val="bottom"/>
          </w:tcPr>
          <w:p>
            <w:pPr>
              <w:spacing w:after="0"/>
              <w:rPr>
                <w:sz w:val="18"/>
                <w:szCs w:val="18"/>
                <w:color w:val="auto"/>
              </w:rPr>
            </w:pPr>
          </w:p>
        </w:tc>
      </w:tr>
      <w:tr>
        <w:trPr>
          <w:trHeight w:val="37"/>
        </w:trPr>
        <w:tc>
          <w:tcPr>
            <w:tcW w:w="8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7"/>
        </w:trPr>
        <w:tc>
          <w:tcPr>
            <w:tcW w:w="8160" w:type="dxa"/>
            <w:vAlign w:val="bottom"/>
            <w:shd w:val="clear" w:color="auto" w:fill="CFF0FC"/>
          </w:tcPr>
          <w:p>
            <w:pPr>
              <w:ind w:left="20"/>
              <w:spacing w:after="0" w:line="207" w:lineRule="exact"/>
              <w:rPr>
                <w:sz w:val="20"/>
                <w:szCs w:val="20"/>
                <w:color w:val="auto"/>
              </w:rPr>
            </w:pPr>
            <w:r>
              <w:rPr>
                <w:rFonts w:ascii="Calibri" w:cs="Calibri" w:eastAsia="Calibri" w:hAnsi="Calibri"/>
                <w:sz w:val="18"/>
                <w:szCs w:val="18"/>
                <w:color w:val="auto"/>
              </w:rPr>
              <w:t>Class B common stock, $0.0001 par value; 250,000,000 shares authorized, 76,225,000 issued and outstanding</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8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at June 30, 2024 and December 31, 2023</w:t>
            </w:r>
          </w:p>
        </w:tc>
        <w:tc>
          <w:tcPr>
            <w:tcW w:w="2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8160" w:type="dxa"/>
            <w:vAlign w:val="bottom"/>
          </w:tcPr>
          <w:p>
            <w:pPr>
              <w:ind w:left="20"/>
              <w:spacing w:after="0" w:line="215" w:lineRule="exact"/>
              <w:rPr>
                <w:sz w:val="20"/>
                <w:szCs w:val="20"/>
                <w:color w:val="auto"/>
              </w:rPr>
            </w:pPr>
            <w:r>
              <w:rPr>
                <w:rFonts w:ascii="Calibri" w:cs="Calibri" w:eastAsia="Calibri" w:hAnsi="Calibri"/>
                <w:sz w:val="18"/>
                <w:szCs w:val="18"/>
                <w:color w:val="auto"/>
              </w:rPr>
              <w:t>Additonal paid-in capital</w:t>
            </w:r>
          </w:p>
        </w:tc>
        <w:tc>
          <w:tcPr>
            <w:tcW w:w="2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1,164,240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1,096,430</w:t>
            </w:r>
          </w:p>
        </w:tc>
        <w:tc>
          <w:tcPr>
            <w:tcW w:w="100" w:type="dxa"/>
            <w:vAlign w:val="bottom"/>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Treasury stock, at cost, 10,750,153 and 7,291,497 shares at June 30, 2024 and December 31, 2023, respectvely</w:t>
            </w:r>
          </w:p>
        </w:tc>
        <w:tc>
          <w:tcPr>
            <w:tcW w:w="2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(72,655 )</w:t>
            </w:r>
          </w:p>
        </w:tc>
        <w:tc>
          <w:tcPr>
            <w:tcW w:w="1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(52,586 )</w:t>
            </w:r>
          </w:p>
        </w:tc>
      </w:tr>
      <w:tr>
        <w:trPr>
          <w:trHeight w:val="215"/>
        </w:trPr>
        <w:tc>
          <w:tcPr>
            <w:tcW w:w="8160" w:type="dxa"/>
            <w:vAlign w:val="bottom"/>
          </w:tcPr>
          <w:p>
            <w:pPr>
              <w:ind w:left="20"/>
              <w:spacing w:after="0" w:line="215" w:lineRule="exact"/>
              <w:rPr>
                <w:sz w:val="20"/>
                <w:szCs w:val="20"/>
                <w:color w:val="auto"/>
              </w:rPr>
            </w:pPr>
            <w:r>
              <w:rPr>
                <w:rFonts w:ascii="Calibri" w:cs="Calibri" w:eastAsia="Calibri" w:hAnsi="Calibri"/>
                <w:sz w:val="18"/>
                <w:szCs w:val="18"/>
                <w:color w:val="auto"/>
              </w:rPr>
              <w:t>Accumulated defcit</w:t>
            </w:r>
          </w:p>
        </w:tc>
        <w:tc>
          <w:tcPr>
            <w:tcW w:w="240" w:type="dxa"/>
            <w:vAlign w:val="bottom"/>
          </w:tcPr>
          <w:p>
            <w:pPr>
              <w:spacing w:after="0"/>
              <w:rPr>
                <w:sz w:val="18"/>
                <w:szCs w:val="18"/>
                <w:color w:val="auto"/>
              </w:rPr>
            </w:pPr>
          </w:p>
        </w:tc>
        <w:tc>
          <w:tcPr>
            <w:tcW w:w="14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(934,580 )</w:t>
            </w:r>
          </w:p>
        </w:tc>
        <w:tc>
          <w:tcPr>
            <w:tcW w:w="120" w:type="dxa"/>
            <w:vAlign w:val="bottom"/>
          </w:tcPr>
          <w:p>
            <w:pPr>
              <w:spacing w:after="0"/>
              <w:rPr>
                <w:sz w:val="18"/>
                <w:szCs w:val="18"/>
                <w:color w:val="auto"/>
              </w:rPr>
            </w:pPr>
          </w:p>
        </w:tc>
        <w:tc>
          <w:tcPr>
            <w:tcW w:w="13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(939,596 )</w:t>
            </w:r>
          </w:p>
        </w:tc>
      </w:tr>
      <w:tr>
        <w:trPr>
          <w:trHeight w:val="28"/>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8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Accumulated other comprehensive income (loss)</w:t>
            </w:r>
          </w:p>
        </w:tc>
        <w:tc>
          <w:tcPr>
            <w:tcW w:w="2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(1,216 )</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816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Shareholders' equity</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155,811</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105,017</w:t>
            </w:r>
          </w:p>
        </w:tc>
        <w:tc>
          <w:tcPr>
            <w:tcW w:w="100" w:type="dxa"/>
            <w:vAlign w:val="bottom"/>
            <w:tcBorders>
              <w:top w:val="single" w:sz="8" w:color="CFF0FC"/>
            </w:tcBorders>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1"/>
        </w:trPr>
        <w:tc>
          <w:tcPr>
            <w:tcW w:w="816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Total liabilites, Redeemable noncontrolling interests, and Shareholders' equity</w:t>
            </w:r>
          </w:p>
        </w:tc>
        <w:tc>
          <w:tcPr>
            <w:tcW w:w="240" w:type="dxa"/>
            <w:vAlign w:val="bottom"/>
            <w:tcBorders>
              <w:bottom w:val="single" w:sz="8" w:color="CFF0FC"/>
            </w:tcBorders>
            <w:shd w:val="clear" w:color="auto" w:fill="CFF0FC"/>
          </w:tcPr>
          <w:p>
            <w:pPr>
              <w:jc w:val="right"/>
              <w:ind w:right="50"/>
              <w:spacing w:after="0" w:line="213" w:lineRule="exact"/>
              <w:rPr>
                <w:sz w:val="20"/>
                <w:szCs w:val="20"/>
                <w:color w:val="auto"/>
              </w:rPr>
            </w:pPr>
            <w:r>
              <w:rPr>
                <w:rFonts w:ascii="Calibri" w:cs="Calibri" w:eastAsia="Calibri" w:hAnsi="Calibri"/>
                <w:sz w:val="18"/>
                <w:szCs w:val="18"/>
                <w:b w:val="1"/>
                <w:bCs w:val="1"/>
                <w:color w:val="auto"/>
                <w:w w:val="87"/>
              </w:rPr>
              <w:t>$</w:t>
            </w:r>
          </w:p>
        </w:tc>
        <w:tc>
          <w:tcPr>
            <w:tcW w:w="114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1,654,702</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w w:val="87"/>
              </w:rPr>
              <w:t>$</w:t>
            </w:r>
          </w:p>
        </w:tc>
        <w:tc>
          <w:tcPr>
            <w:tcW w:w="12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1,550,099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8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-5314315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-5314315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-4070985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-4070985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-2176780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-351155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 w:name="page5"/>
    <w:bookmarkEnd w:id="4"/>
    <w:p>
      <w:pPr>
        <w:jc w:val="center"/>
        <w:spacing w:after="0"/>
        <w:rPr>
          <w:sz w:val="20"/>
          <w:szCs w:val="20"/>
          <w:color w:val="auto"/>
        </w:rPr>
      </w:pPr>
      <w:r>
        <w:rPr>
          <w:rFonts w:ascii="Calibri" w:cs="Calibri" w:eastAsia="Calibri" w:hAnsi="Calibri"/>
          <w:sz w:val="18"/>
          <w:szCs w:val="18"/>
          <w:b w:val="1"/>
          <w:bCs w:val="1"/>
          <w:color w:val="auto"/>
        </w:rPr>
        <w:t>VIVID SEATS INC.</w:t>
      </w:r>
    </w:p>
    <w:p>
      <w:pPr>
        <w:ind w:left="3480"/>
        <w:spacing w:after="0" w:line="235" w:lineRule="auto"/>
        <w:rPr>
          <w:sz w:val="20"/>
          <w:szCs w:val="20"/>
          <w:color w:val="auto"/>
        </w:rPr>
      </w:pPr>
      <w:r>
        <w:rPr>
          <w:rFonts w:ascii="Calibri" w:cs="Calibri" w:eastAsia="Calibri" w:hAnsi="Calibri"/>
          <w:sz w:val="18"/>
          <w:szCs w:val="18"/>
          <w:b w:val="1"/>
          <w:bCs w:val="1"/>
          <w:color w:val="auto"/>
        </w:rPr>
        <w:t>CONDENSED CONSOLIDATED STATEMENTS OF OPERATIONS</w:t>
      </w:r>
    </w:p>
    <w:p>
      <w:pPr>
        <w:ind w:left="3440"/>
        <w:spacing w:after="0" w:line="236" w:lineRule="auto"/>
        <w:rPr>
          <w:sz w:val="20"/>
          <w:szCs w:val="20"/>
          <w:color w:val="auto"/>
        </w:rPr>
      </w:pPr>
      <w:r>
        <w:rPr>
          <w:rFonts w:ascii="Calibri" w:cs="Calibri" w:eastAsia="Calibri" w:hAnsi="Calibri"/>
          <w:sz w:val="18"/>
          <w:szCs w:val="18"/>
          <w:b w:val="1"/>
          <w:bCs w:val="1"/>
          <w:color w:val="auto"/>
        </w:rPr>
        <w:t>(in thousands, except share and per share data)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jc w:val="right"/>
              <w:ind w:right="620"/>
              <w:spacing w:after="0"/>
              <w:rPr>
                <w:sz w:val="20"/>
                <w:szCs w:val="20"/>
                <w:color w:val="auto"/>
              </w:rPr>
            </w:pPr>
            <w:r>
              <w:rPr>
                <w:rFonts w:ascii="Calibri" w:cs="Calibri" w:eastAsia="Calibri" w:hAnsi="Calibri"/>
                <w:sz w:val="14"/>
                <w:szCs w:val="14"/>
                <w:b w:val="1"/>
                <w:bCs w:val="1"/>
                <w:color w:val="auto"/>
              </w:rPr>
              <w:t>Three Months Ended June 30,</w:t>
            </w:r>
          </w:p>
        </w:tc>
        <w:tc>
          <w:tcPr>
            <w:tcW w:w="200" w:type="dxa"/>
            <w:vAlign w:val="bottom"/>
          </w:tcPr>
          <w:p>
            <w:pPr>
              <w:spacing w:after="0"/>
              <w:rPr>
                <w:sz w:val="14"/>
                <w:szCs w:val="14"/>
                <w:color w:val="auto"/>
              </w:rPr>
            </w:pPr>
          </w:p>
        </w:tc>
        <w:tc>
          <w:tcPr>
            <w:tcW w:w="2320" w:type="dxa"/>
            <w:vAlign w:val="bottom"/>
            <w:gridSpan w:val="5"/>
          </w:tcPr>
          <w:p>
            <w:pPr>
              <w:jc w:val="right"/>
              <w:ind w:right="520"/>
              <w:spacing w:after="0"/>
              <w:rPr>
                <w:sz w:val="20"/>
                <w:szCs w:val="20"/>
                <w:color w:val="auto"/>
              </w:rPr>
            </w:pPr>
            <w:r>
              <w:rPr>
                <w:rFonts w:ascii="Calibri" w:cs="Calibri" w:eastAsia="Calibri" w:hAnsi="Calibri"/>
                <w:sz w:val="14"/>
                <w:szCs w:val="14"/>
                <w:b w:val="1"/>
                <w:bCs w:val="1"/>
                <w:color w:val="auto"/>
              </w:rPr>
              <w:t>Six Months Ended June 30,</w:t>
            </w:r>
          </w:p>
        </w:tc>
      </w:tr>
      <w:tr>
        <w:trPr>
          <w:trHeight w:val="33"/>
        </w:trPr>
        <w:tc>
          <w:tcPr>
            <w:tcW w:w="6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28"/>
              <w:spacing w:after="0" w:line="164" w:lineRule="exact"/>
              <w:rPr>
                <w:sz w:val="20"/>
                <w:szCs w:val="20"/>
                <w:color w:val="auto"/>
              </w:rPr>
            </w:pPr>
            <w:r>
              <w:rPr>
                <w:rFonts w:ascii="Calibri" w:cs="Calibri" w:eastAsia="Calibri" w:hAnsi="Calibri"/>
                <w:sz w:val="14"/>
                <w:szCs w:val="14"/>
                <w:b w:val="1"/>
                <w:bCs w:val="1"/>
                <w:color w:val="auto"/>
              </w:rPr>
              <w:t>2024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08"/>
              <w:spacing w:after="0" w:line="164" w:lineRule="exact"/>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328"/>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328"/>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600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color w:val="auto"/>
              </w:rPr>
              <w:t>Revenues</w:t>
            </w:r>
          </w:p>
        </w:tc>
        <w:tc>
          <w:tcPr>
            <w:tcW w:w="220" w:type="dxa"/>
            <w:vAlign w:val="bottom"/>
            <w:tcBorders>
              <w:bottom w:val="single" w:sz="8" w:color="CFF0FC"/>
            </w:tcBorders>
            <w:shd w:val="clear" w:color="auto" w:fill="CFF0FC"/>
          </w:tcPr>
          <w:p>
            <w:pPr>
              <w:jc w:val="right"/>
              <w:ind w:right="68"/>
              <w:spacing w:after="0" w:line="164" w:lineRule="exact"/>
              <w:rPr>
                <w:sz w:val="20"/>
                <w:szCs w:val="20"/>
                <w:color w:val="auto"/>
              </w:rPr>
            </w:pPr>
            <w:r>
              <w:rPr>
                <w:rFonts w:ascii="Calibri" w:cs="Calibri" w:eastAsia="Calibri" w:hAnsi="Calibri"/>
                <w:sz w:val="14"/>
                <w:szCs w:val="14"/>
                <w:color w:val="auto"/>
                <w:w w:val="83"/>
              </w:rPr>
              <w:t>$</w:t>
            </w:r>
          </w:p>
        </w:tc>
        <w:tc>
          <w:tcPr>
            <w:tcW w:w="8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198,316</w:t>
            </w:r>
          </w:p>
        </w:tc>
        <w:tc>
          <w:tcPr>
            <w:tcW w:w="3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jc w:val="right"/>
              <w:ind w:right="28"/>
              <w:spacing w:after="0" w:line="164" w:lineRule="exact"/>
              <w:rPr>
                <w:sz w:val="20"/>
                <w:szCs w:val="20"/>
                <w:color w:val="auto"/>
              </w:rPr>
            </w:pPr>
            <w:r>
              <w:rPr>
                <w:rFonts w:ascii="Calibri" w:cs="Calibri" w:eastAsia="Calibri" w:hAnsi="Calibri"/>
                <w:sz w:val="14"/>
                <w:szCs w:val="14"/>
                <w:color w:val="auto"/>
                <w:w w:val="83"/>
              </w:rPr>
              <w:t>$</w:t>
            </w:r>
          </w:p>
        </w:tc>
        <w:tc>
          <w:tcPr>
            <w:tcW w:w="8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165,380</w:t>
            </w: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w w:val="83"/>
              </w:rPr>
              <w:t>$</w:t>
            </w:r>
          </w:p>
        </w:tc>
        <w:tc>
          <w:tcPr>
            <w:tcW w:w="8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389,168</w:t>
            </w:r>
          </w:p>
        </w:tc>
        <w:tc>
          <w:tcPr>
            <w:tcW w:w="460" w:type="dxa"/>
            <w:vAlign w:val="bottom"/>
            <w:tcBorders>
              <w:bottom w:val="single" w:sz="8" w:color="CFF0FC"/>
            </w:tcBorders>
            <w:gridSpan w:val="2"/>
            <w:shd w:val="clear" w:color="auto" w:fill="CFF0FC"/>
          </w:tcPr>
          <w:p>
            <w:pPr>
              <w:jc w:val="right"/>
              <w:ind w:right="120"/>
              <w:spacing w:after="0" w:line="164"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326,443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000" w:type="dxa"/>
            <w:vAlign w:val="bottom"/>
          </w:tcPr>
          <w:p>
            <w:pPr>
              <w:ind w:left="20"/>
              <w:spacing w:after="0"/>
              <w:rPr>
                <w:sz w:val="20"/>
                <w:szCs w:val="20"/>
                <w:color w:val="auto"/>
              </w:rPr>
            </w:pPr>
            <w:r>
              <w:rPr>
                <w:rFonts w:ascii="Calibri" w:cs="Calibri" w:eastAsia="Calibri" w:hAnsi="Calibri"/>
                <w:sz w:val="14"/>
                <w:szCs w:val="14"/>
                <w:b w:val="1"/>
                <w:bCs w:val="1"/>
                <w:color w:val="auto"/>
              </w:rPr>
              <w:t>Costs and expenses: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000" w:type="dxa"/>
            <w:vAlign w:val="bottom"/>
            <w:tcBorders>
              <w:bottom w:val="single" w:sz="8" w:color="CFF0FC"/>
            </w:tcBorders>
            <w:shd w:val="clear" w:color="auto" w:fill="CFF0FC"/>
          </w:tcPr>
          <w:p>
            <w:pPr>
              <w:ind w:left="100"/>
              <w:spacing w:after="0"/>
              <w:rPr>
                <w:sz w:val="20"/>
                <w:szCs w:val="20"/>
                <w:color w:val="auto"/>
              </w:rPr>
            </w:pPr>
            <w:r>
              <w:rPr>
                <w:rFonts w:ascii="Calibri" w:cs="Calibri" w:eastAsia="Calibri" w:hAnsi="Calibri"/>
                <w:sz w:val="14"/>
                <w:szCs w:val="14"/>
                <w:color w:val="auto"/>
              </w:rPr>
              <w:t>Cost of revenues (exclusive of depreciaton and amortzaton shown separately below)</w:t>
            </w:r>
          </w:p>
        </w:tc>
        <w:tc>
          <w:tcPr>
            <w:tcW w:w="2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48,765</w:t>
            </w:r>
          </w:p>
        </w:tc>
        <w:tc>
          <w:tcPr>
            <w:tcW w:w="3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42,616</w:t>
            </w: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98,348</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80,376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000" w:type="dxa"/>
            <w:vAlign w:val="bottom"/>
          </w:tcPr>
          <w:p>
            <w:pPr>
              <w:ind w:left="100"/>
              <w:spacing w:after="0"/>
              <w:rPr>
                <w:sz w:val="20"/>
                <w:szCs w:val="20"/>
                <w:color w:val="auto"/>
              </w:rPr>
            </w:pPr>
            <w:r>
              <w:rPr>
                <w:rFonts w:ascii="Calibri" w:cs="Calibri" w:eastAsia="Calibri" w:hAnsi="Calibri"/>
                <w:sz w:val="14"/>
                <w:szCs w:val="14"/>
                <w:color w:val="auto"/>
              </w:rPr>
              <w:t>Marketng and selling</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70,114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alibri" w:cs="Calibri" w:eastAsia="Calibri" w:hAnsi="Calibri"/>
                <w:sz w:val="14"/>
                <w:szCs w:val="14"/>
                <w:color w:val="auto"/>
              </w:rPr>
              <w:t>65,192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137,861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119,964</w:t>
            </w:r>
          </w:p>
        </w:tc>
        <w:tc>
          <w:tcPr>
            <w:tcW w:w="100" w:type="dxa"/>
            <w:vAlign w:val="bottom"/>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000" w:type="dxa"/>
            <w:vAlign w:val="bottom"/>
            <w:tcBorders>
              <w:bottom w:val="single" w:sz="8" w:color="CFF0FC"/>
            </w:tcBorders>
            <w:shd w:val="clear" w:color="auto" w:fill="CFF0FC"/>
          </w:tcPr>
          <w:p>
            <w:pPr>
              <w:ind w:left="100"/>
              <w:spacing w:after="0"/>
              <w:rPr>
                <w:sz w:val="20"/>
                <w:szCs w:val="20"/>
                <w:color w:val="auto"/>
              </w:rPr>
            </w:pPr>
            <w:r>
              <w:rPr>
                <w:rFonts w:ascii="Calibri" w:cs="Calibri" w:eastAsia="Calibri" w:hAnsi="Calibri"/>
                <w:sz w:val="14"/>
                <w:szCs w:val="14"/>
                <w:color w:val="auto"/>
              </w:rPr>
              <w:t>General and administratve</w:t>
            </w:r>
          </w:p>
        </w:tc>
        <w:tc>
          <w:tcPr>
            <w:tcW w:w="2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61,053</w:t>
            </w:r>
          </w:p>
        </w:tc>
        <w:tc>
          <w:tcPr>
            <w:tcW w:w="3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38,307</w:t>
            </w: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103,420</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70,696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000" w:type="dxa"/>
            <w:vAlign w:val="bottom"/>
          </w:tcPr>
          <w:p>
            <w:pPr>
              <w:ind w:left="100"/>
              <w:spacing w:after="0"/>
              <w:rPr>
                <w:sz w:val="20"/>
                <w:szCs w:val="20"/>
                <w:color w:val="auto"/>
              </w:rPr>
            </w:pPr>
            <w:r>
              <w:rPr>
                <w:rFonts w:ascii="Calibri" w:cs="Calibri" w:eastAsia="Calibri" w:hAnsi="Calibri"/>
                <w:sz w:val="14"/>
                <w:szCs w:val="14"/>
                <w:color w:val="auto"/>
              </w:rPr>
              <w:t>Depreciaton and amortzaton</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10,502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alibri" w:cs="Calibri" w:eastAsia="Calibri" w:hAnsi="Calibri"/>
                <w:sz w:val="14"/>
                <w:szCs w:val="14"/>
                <w:color w:val="auto"/>
              </w:rPr>
              <w:t>2,704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20,985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5,302</w:t>
            </w:r>
          </w:p>
        </w:tc>
        <w:tc>
          <w:tcPr>
            <w:tcW w:w="100" w:type="dxa"/>
            <w:vAlign w:val="bottom"/>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600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Change in fair value of contngent consideraton</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300"/>
              <w:spacing w:after="0"/>
              <w:rPr>
                <w:sz w:val="20"/>
                <w:szCs w:val="20"/>
                <w:color w:val="auto"/>
              </w:rPr>
            </w:pPr>
            <w:r>
              <w:rPr>
                <w:rFonts w:ascii="Calibri" w:cs="Calibri" w:eastAsia="Calibri" w:hAnsi="Calibri"/>
                <w:sz w:val="14"/>
                <w:szCs w:val="14"/>
                <w:color w:val="auto"/>
              </w:rPr>
              <w:t>—</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(1,052 )</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(1,018 )</w:t>
            </w:r>
          </w:p>
        </w:tc>
      </w:tr>
      <w:tr>
        <w:trPr>
          <w:trHeight w:val="170"/>
        </w:trPr>
        <w:tc>
          <w:tcPr>
            <w:tcW w:w="6000" w:type="dxa"/>
            <w:vAlign w:val="bottom"/>
            <w:tcBorders>
              <w:top w:val="single" w:sz="8" w:color="CFF0FC"/>
            </w:tcBorders>
          </w:tcPr>
          <w:p>
            <w:pPr>
              <w:ind w:left="20"/>
              <w:spacing w:after="0"/>
              <w:rPr>
                <w:sz w:val="20"/>
                <w:szCs w:val="20"/>
                <w:color w:val="auto"/>
              </w:rPr>
            </w:pPr>
            <w:r>
              <w:rPr>
                <w:rFonts w:ascii="Calibri" w:cs="Calibri" w:eastAsia="Calibri" w:hAnsi="Calibri"/>
                <w:sz w:val="14"/>
                <w:szCs w:val="14"/>
                <w:b w:val="1"/>
                <w:bCs w:val="1"/>
                <w:color w:val="auto"/>
              </w:rPr>
              <w:t>Income from operatons</w:t>
            </w: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7,882</w:t>
            </w:r>
          </w:p>
        </w:tc>
        <w:tc>
          <w:tcPr>
            <w:tcW w:w="30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17,613</w:t>
            </w:r>
          </w:p>
        </w:tc>
        <w:tc>
          <w:tcPr>
            <w:tcW w:w="28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28,554</w:t>
            </w:r>
          </w:p>
        </w:tc>
        <w:tc>
          <w:tcPr>
            <w:tcW w:w="26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51,123</w:t>
            </w:r>
          </w:p>
        </w:tc>
        <w:tc>
          <w:tcPr>
            <w:tcW w:w="100" w:type="dxa"/>
            <w:vAlign w:val="bottom"/>
            <w:tcBorders>
              <w:top w:val="single" w:sz="8" w:color="CFF0FC"/>
            </w:tcBorders>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0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Other expense:</w:t>
            </w:r>
          </w:p>
        </w:tc>
        <w:tc>
          <w:tcPr>
            <w:tcW w:w="2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000" w:type="dxa"/>
            <w:vAlign w:val="bottom"/>
          </w:tcPr>
          <w:p>
            <w:pPr>
              <w:ind w:left="100"/>
              <w:spacing w:after="0"/>
              <w:rPr>
                <w:sz w:val="20"/>
                <w:szCs w:val="20"/>
                <w:color w:val="auto"/>
              </w:rPr>
            </w:pPr>
            <w:r>
              <w:rPr>
                <w:rFonts w:ascii="Calibri" w:cs="Calibri" w:eastAsia="Calibri" w:hAnsi="Calibri"/>
                <w:sz w:val="14"/>
                <w:szCs w:val="14"/>
                <w:color w:val="auto"/>
              </w:rPr>
              <w:t>Interest expense – net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5,324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alibri" w:cs="Calibri" w:eastAsia="Calibri" w:hAnsi="Calibri"/>
                <w:sz w:val="14"/>
                <w:szCs w:val="14"/>
                <w:color w:val="auto"/>
              </w:rPr>
              <w:t>2,772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10,406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6,052</w:t>
            </w:r>
          </w:p>
        </w:tc>
        <w:tc>
          <w:tcPr>
            <w:tcW w:w="100" w:type="dxa"/>
            <w:vAlign w:val="bottom"/>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6000" w:type="dxa"/>
            <w:vAlign w:val="bottom"/>
            <w:tcBorders>
              <w:bottom w:val="single" w:sz="8" w:color="CFF0FC"/>
            </w:tcBorders>
            <w:shd w:val="clear" w:color="auto" w:fill="CFF0FC"/>
          </w:tcPr>
          <w:p>
            <w:pPr>
              <w:ind w:left="100"/>
              <w:spacing w:after="0"/>
              <w:rPr>
                <w:sz w:val="20"/>
                <w:szCs w:val="20"/>
                <w:color w:val="auto"/>
              </w:rPr>
            </w:pPr>
            <w:r>
              <w:rPr>
                <w:rFonts w:ascii="Calibri" w:cs="Calibri" w:eastAsia="Calibri" w:hAnsi="Calibri"/>
                <w:sz w:val="14"/>
                <w:szCs w:val="14"/>
                <w:color w:val="auto"/>
              </w:rPr>
              <w:t>Other expense</w:t>
            </w: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3,202</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1,000</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5,784</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673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70"/>
        </w:trPr>
        <w:tc>
          <w:tcPr>
            <w:tcW w:w="6000" w:type="dxa"/>
            <w:vAlign w:val="bottom"/>
          </w:tcPr>
          <w:p>
            <w:pPr>
              <w:ind w:left="20"/>
              <w:spacing w:after="0"/>
              <w:rPr>
                <w:sz w:val="20"/>
                <w:szCs w:val="20"/>
                <w:color w:val="auto"/>
              </w:rPr>
            </w:pPr>
            <w:r>
              <w:rPr>
                <w:rFonts w:ascii="Calibri" w:cs="Calibri" w:eastAsia="Calibri" w:hAnsi="Calibri"/>
                <w:sz w:val="14"/>
                <w:szCs w:val="14"/>
                <w:b w:val="1"/>
                <w:bCs w:val="1"/>
                <w:color w:val="auto"/>
              </w:rPr>
              <w:t>Income (loss) before income taxes</w:t>
            </w:r>
          </w:p>
        </w:tc>
        <w:tc>
          <w:tcPr>
            <w:tcW w:w="2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Calibri" w:cs="Calibri" w:eastAsia="Calibri" w:hAnsi="Calibri"/>
                <w:sz w:val="14"/>
                <w:szCs w:val="14"/>
                <w:b w:val="1"/>
                <w:bCs w:val="1"/>
                <w:color w:val="auto"/>
              </w:rPr>
              <w:t>(644 )</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alibri" w:cs="Calibri" w:eastAsia="Calibri" w:hAnsi="Calibri"/>
                <w:sz w:val="14"/>
                <w:szCs w:val="14"/>
                <w:b w:val="1"/>
                <w:bCs w:val="1"/>
                <w:color w:val="auto"/>
              </w:rPr>
              <w:t>13,841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b w:val="1"/>
                <w:bCs w:val="1"/>
                <w:color w:val="auto"/>
              </w:rPr>
              <w:t>12,364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b w:val="1"/>
                <w:bCs w:val="1"/>
                <w:color w:val="auto"/>
              </w:rPr>
              <w:t>44,398</w:t>
            </w:r>
          </w:p>
        </w:tc>
        <w:tc>
          <w:tcPr>
            <w:tcW w:w="100" w:type="dxa"/>
            <w:vAlign w:val="bottom"/>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00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Income tax expense (beneft)</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577</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(24,485 )</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2,846</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(24,200 )</w:t>
            </w:r>
          </w:p>
        </w:tc>
      </w:tr>
      <w:tr>
        <w:trPr>
          <w:trHeight w:val="33"/>
        </w:trPr>
        <w:tc>
          <w:tcPr>
            <w:tcW w:w="600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170"/>
        </w:trPr>
        <w:tc>
          <w:tcPr>
            <w:tcW w:w="6000" w:type="dxa"/>
            <w:vAlign w:val="bottom"/>
          </w:tcPr>
          <w:p>
            <w:pPr>
              <w:ind w:left="20"/>
              <w:spacing w:after="0"/>
              <w:rPr>
                <w:sz w:val="20"/>
                <w:szCs w:val="20"/>
                <w:color w:val="auto"/>
              </w:rPr>
            </w:pPr>
            <w:r>
              <w:rPr>
                <w:rFonts w:ascii="Calibri" w:cs="Calibri" w:eastAsia="Calibri" w:hAnsi="Calibri"/>
                <w:sz w:val="14"/>
                <w:szCs w:val="14"/>
                <w:b w:val="1"/>
                <w:bCs w:val="1"/>
                <w:color w:val="auto"/>
              </w:rPr>
              <w:t>Net income (loss)</w:t>
            </w:r>
          </w:p>
        </w:tc>
        <w:tc>
          <w:tcPr>
            <w:tcW w:w="2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Calibri" w:cs="Calibri" w:eastAsia="Calibri" w:hAnsi="Calibri"/>
                <w:sz w:val="14"/>
                <w:szCs w:val="14"/>
                <w:b w:val="1"/>
                <w:bCs w:val="1"/>
                <w:color w:val="auto"/>
              </w:rPr>
              <w:t>(1,221 )</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alibri" w:cs="Calibri" w:eastAsia="Calibri" w:hAnsi="Calibri"/>
                <w:sz w:val="14"/>
                <w:szCs w:val="14"/>
                <w:b w:val="1"/>
                <w:bCs w:val="1"/>
                <w:color w:val="auto"/>
              </w:rPr>
              <w:t>38,326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b w:val="1"/>
                <w:bCs w:val="1"/>
                <w:color w:val="auto"/>
              </w:rPr>
              <w:t>9,518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b w:val="1"/>
                <w:bCs w:val="1"/>
                <w:color w:val="auto"/>
              </w:rPr>
              <w:t>68,598</w:t>
            </w:r>
          </w:p>
        </w:tc>
        <w:tc>
          <w:tcPr>
            <w:tcW w:w="100" w:type="dxa"/>
            <w:vAlign w:val="bottom"/>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3"/>
        </w:trPr>
        <w:tc>
          <w:tcPr>
            <w:tcW w:w="600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Net income (loss) atributable to redeemable noncontrolling interests</w:t>
            </w:r>
          </w:p>
        </w:tc>
        <w:tc>
          <w:tcPr>
            <w:tcW w:w="2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(160 )</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7,614</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4,505</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25,704</w:t>
            </w:r>
          </w:p>
        </w:tc>
        <w:tc>
          <w:tcPr>
            <w:tcW w:w="100" w:type="dxa"/>
            <w:vAlign w:val="bottom"/>
            <w:shd w:val="clear" w:color="auto" w:fill="CFF0FC"/>
          </w:tcPr>
          <w:p>
            <w:pPr>
              <w:spacing w:after="0"/>
              <w:rPr>
                <w:sz w:val="16"/>
                <w:szCs w:val="16"/>
                <w:color w:val="auto"/>
              </w:rPr>
            </w:pPr>
          </w:p>
        </w:tc>
      </w:tr>
      <w:tr>
        <w:trPr>
          <w:trHeight w:val="24"/>
        </w:trPr>
        <w:tc>
          <w:tcPr>
            <w:tcW w:w="600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03"/>
        </w:trPr>
        <w:tc>
          <w:tcPr>
            <w:tcW w:w="6000" w:type="dxa"/>
            <w:vAlign w:val="bottom"/>
          </w:tcPr>
          <w:p>
            <w:pPr>
              <w:ind w:left="20"/>
              <w:spacing w:after="0"/>
              <w:rPr>
                <w:sz w:val="20"/>
                <w:szCs w:val="20"/>
                <w:color w:val="auto"/>
              </w:rPr>
            </w:pPr>
            <w:r>
              <w:rPr>
                <w:rFonts w:ascii="Calibri" w:cs="Calibri" w:eastAsia="Calibri" w:hAnsi="Calibri"/>
                <w:sz w:val="14"/>
                <w:szCs w:val="14"/>
                <w:b w:val="1"/>
                <w:bCs w:val="1"/>
                <w:color w:val="auto"/>
              </w:rPr>
              <w:t>Net income (loss) atributable to Class A Common Stockholders</w:t>
            </w:r>
          </w:p>
        </w:tc>
        <w:tc>
          <w:tcPr>
            <w:tcW w:w="220" w:type="dxa"/>
            <w:vAlign w:val="bottom"/>
          </w:tcPr>
          <w:p>
            <w:pPr>
              <w:jc w:val="right"/>
              <w:ind w:right="68"/>
              <w:spacing w:after="0"/>
              <w:rPr>
                <w:sz w:val="20"/>
                <w:szCs w:val="20"/>
                <w:color w:val="auto"/>
              </w:rPr>
            </w:pPr>
            <w:r>
              <w:rPr>
                <w:rFonts w:ascii="Calibri" w:cs="Calibri" w:eastAsia="Calibri" w:hAnsi="Calibri"/>
                <w:sz w:val="14"/>
                <w:szCs w:val="14"/>
                <w:b w:val="1"/>
                <w:bCs w:val="1"/>
                <w:color w:val="auto"/>
                <w:w w:val="83"/>
              </w:rPr>
              <w:t>$</w:t>
            </w:r>
          </w:p>
        </w:tc>
        <w:tc>
          <w:tcPr>
            <w:tcW w:w="1180" w:type="dxa"/>
            <w:vAlign w:val="bottom"/>
            <w:gridSpan w:val="2"/>
          </w:tcPr>
          <w:p>
            <w:pPr>
              <w:jc w:val="right"/>
              <w:ind w:right="240"/>
              <w:spacing w:after="0"/>
              <w:rPr>
                <w:sz w:val="20"/>
                <w:szCs w:val="20"/>
                <w:color w:val="auto"/>
              </w:rPr>
            </w:pPr>
            <w:r>
              <w:rPr>
                <w:rFonts w:ascii="Calibri" w:cs="Calibri" w:eastAsia="Calibri" w:hAnsi="Calibri"/>
                <w:sz w:val="14"/>
                <w:szCs w:val="14"/>
                <w:b w:val="1"/>
                <w:bCs w:val="1"/>
                <w:color w:val="auto"/>
              </w:rPr>
              <w:t>(1,061 )</w:t>
            </w:r>
          </w:p>
        </w:tc>
        <w:tc>
          <w:tcPr>
            <w:tcW w:w="180" w:type="dxa"/>
            <w:vAlign w:val="bottom"/>
          </w:tcPr>
          <w:p>
            <w:pPr>
              <w:jc w:val="right"/>
              <w:ind w:right="28"/>
              <w:spacing w:after="0"/>
              <w:rPr>
                <w:sz w:val="20"/>
                <w:szCs w:val="20"/>
                <w:color w:val="auto"/>
              </w:rPr>
            </w:pPr>
            <w:r>
              <w:rPr>
                <w:rFonts w:ascii="Calibri" w:cs="Calibri" w:eastAsia="Calibri" w:hAnsi="Calibri"/>
                <w:sz w:val="14"/>
                <w:szCs w:val="14"/>
                <w:b w:val="1"/>
                <w:bCs w:val="1"/>
                <w:color w:val="auto"/>
                <w:w w:val="83"/>
              </w:rPr>
              <w:t>$</w:t>
            </w:r>
          </w:p>
        </w:tc>
        <w:tc>
          <w:tcPr>
            <w:tcW w:w="860" w:type="dxa"/>
            <w:vAlign w:val="bottom"/>
          </w:tcPr>
          <w:p>
            <w:pPr>
              <w:jc w:val="right"/>
              <w:spacing w:after="0"/>
              <w:rPr>
                <w:sz w:val="20"/>
                <w:szCs w:val="20"/>
                <w:color w:val="auto"/>
              </w:rPr>
            </w:pPr>
            <w:r>
              <w:rPr>
                <w:rFonts w:ascii="Calibri" w:cs="Calibri" w:eastAsia="Calibri" w:hAnsi="Calibri"/>
                <w:sz w:val="14"/>
                <w:szCs w:val="14"/>
                <w:b w:val="1"/>
                <w:bCs w:val="1"/>
                <w:color w:val="auto"/>
              </w:rPr>
              <w:t>30,712</w:t>
            </w:r>
          </w:p>
        </w:tc>
        <w:tc>
          <w:tcPr>
            <w:tcW w:w="28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Calibri" w:cs="Calibri" w:eastAsia="Calibri" w:hAnsi="Calibri"/>
                <w:sz w:val="14"/>
                <w:szCs w:val="14"/>
                <w:b w:val="1"/>
                <w:bCs w:val="1"/>
                <w:color w:val="auto"/>
                <w:w w:val="83"/>
              </w:rPr>
              <w:t>$</w:t>
            </w:r>
          </w:p>
        </w:tc>
        <w:tc>
          <w:tcPr>
            <w:tcW w:w="880" w:type="dxa"/>
            <w:vAlign w:val="bottom"/>
          </w:tcPr>
          <w:p>
            <w:pPr>
              <w:jc w:val="right"/>
              <w:spacing w:after="0"/>
              <w:rPr>
                <w:sz w:val="20"/>
                <w:szCs w:val="20"/>
                <w:color w:val="auto"/>
              </w:rPr>
            </w:pPr>
            <w:r>
              <w:rPr>
                <w:rFonts w:ascii="Calibri" w:cs="Calibri" w:eastAsia="Calibri" w:hAnsi="Calibri"/>
                <w:sz w:val="14"/>
                <w:szCs w:val="14"/>
                <w:b w:val="1"/>
                <w:bCs w:val="1"/>
                <w:color w:val="auto"/>
              </w:rPr>
              <w:t>5,013</w:t>
            </w:r>
          </w:p>
        </w:tc>
        <w:tc>
          <w:tcPr>
            <w:tcW w:w="460" w:type="dxa"/>
            <w:vAlign w:val="bottom"/>
            <w:gridSpan w:val="2"/>
          </w:tcPr>
          <w:p>
            <w:pPr>
              <w:jc w:val="right"/>
              <w:ind w:right="120"/>
              <w:spacing w:after="0"/>
              <w:rPr>
                <w:sz w:val="20"/>
                <w:szCs w:val="20"/>
                <w:color w:val="auto"/>
              </w:rPr>
            </w:pPr>
            <w:r>
              <w:rPr>
                <w:rFonts w:ascii="Calibri" w:cs="Calibri" w:eastAsia="Calibri" w:hAnsi="Calibri"/>
                <w:sz w:val="14"/>
                <w:szCs w:val="14"/>
                <w:b w:val="1"/>
                <w:bCs w:val="1"/>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b w:val="1"/>
                <w:bCs w:val="1"/>
                <w:color w:val="auto"/>
              </w:rPr>
              <w:t>42,894</w:t>
            </w:r>
          </w:p>
        </w:tc>
        <w:tc>
          <w:tcPr>
            <w:tcW w:w="100" w:type="dxa"/>
            <w:vAlign w:val="bottom"/>
          </w:tcPr>
          <w:p>
            <w:pPr>
              <w:spacing w:after="0"/>
              <w:rPr>
                <w:sz w:val="17"/>
                <w:szCs w:val="17"/>
                <w:color w:val="auto"/>
              </w:rPr>
            </w:pPr>
          </w:p>
        </w:tc>
      </w:tr>
      <w:tr>
        <w:trPr>
          <w:trHeight w:val="20"/>
        </w:trPr>
        <w:tc>
          <w:tcPr>
            <w:tcW w:w="6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0"/>
        </w:trPr>
        <w:tc>
          <w:tcPr>
            <w:tcW w:w="6000" w:type="dxa"/>
            <w:vAlign w:val="bottom"/>
          </w:tcPr>
          <w:p>
            <w:pPr>
              <w:ind w:left="20"/>
              <w:spacing w:after="0"/>
              <w:rPr>
                <w:sz w:val="20"/>
                <w:szCs w:val="20"/>
                <w:color w:val="auto"/>
              </w:rPr>
            </w:pPr>
            <w:r>
              <w:rPr>
                <w:rFonts w:ascii="Calibri" w:cs="Calibri" w:eastAsia="Calibri" w:hAnsi="Calibri"/>
                <w:sz w:val="14"/>
                <w:szCs w:val="14"/>
                <w:b w:val="1"/>
                <w:bCs w:val="1"/>
                <w:color w:val="auto"/>
              </w:rPr>
              <w:t>Net income (loss) per Class A common stock:</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0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Basic</w:t>
            </w: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w w:val="83"/>
              </w:rPr>
              <w:t>$</w:t>
            </w:r>
          </w:p>
        </w:tc>
        <w:tc>
          <w:tcPr>
            <w:tcW w:w="11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(0.01 )</w:t>
            </w: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Calibri" w:cs="Calibri" w:eastAsia="Calibri" w:hAnsi="Calibri"/>
                <w:sz w:val="14"/>
                <w:szCs w:val="14"/>
                <w:color w:val="auto"/>
                <w:w w:val="83"/>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0.36</w:t>
            </w: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w w:val="83"/>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0.04</w:t>
            </w:r>
          </w:p>
        </w:tc>
        <w:tc>
          <w:tcPr>
            <w:tcW w:w="4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0.53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000" w:type="dxa"/>
            <w:vAlign w:val="bottom"/>
          </w:tcPr>
          <w:p>
            <w:pPr>
              <w:ind w:left="20"/>
              <w:spacing w:after="0"/>
              <w:rPr>
                <w:sz w:val="20"/>
                <w:szCs w:val="20"/>
                <w:color w:val="auto"/>
              </w:rPr>
            </w:pPr>
            <w:r>
              <w:rPr>
                <w:rFonts w:ascii="Calibri" w:cs="Calibri" w:eastAsia="Calibri" w:hAnsi="Calibri"/>
                <w:sz w:val="14"/>
                <w:szCs w:val="14"/>
                <w:color w:val="auto"/>
              </w:rPr>
              <w:t>Diluted</w:t>
            </w:r>
          </w:p>
        </w:tc>
        <w:tc>
          <w:tcPr>
            <w:tcW w:w="220" w:type="dxa"/>
            <w:vAlign w:val="bottom"/>
          </w:tcPr>
          <w:p>
            <w:pPr>
              <w:jc w:val="right"/>
              <w:ind w:right="68"/>
              <w:spacing w:after="0"/>
              <w:rPr>
                <w:sz w:val="20"/>
                <w:szCs w:val="20"/>
                <w:color w:val="auto"/>
              </w:rPr>
            </w:pPr>
            <w:r>
              <w:rPr>
                <w:rFonts w:ascii="Calibri" w:cs="Calibri" w:eastAsia="Calibri" w:hAnsi="Calibri"/>
                <w:sz w:val="14"/>
                <w:szCs w:val="14"/>
                <w:color w:val="auto"/>
                <w:w w:val="83"/>
              </w:rPr>
              <w:t>$</w:t>
            </w:r>
          </w:p>
        </w:tc>
        <w:tc>
          <w:tcPr>
            <w:tcW w:w="118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(0.01 )</w:t>
            </w:r>
          </w:p>
        </w:tc>
        <w:tc>
          <w:tcPr>
            <w:tcW w:w="180" w:type="dxa"/>
            <w:vAlign w:val="bottom"/>
          </w:tcPr>
          <w:p>
            <w:pPr>
              <w:jc w:val="right"/>
              <w:ind w:right="28"/>
              <w:spacing w:after="0"/>
              <w:rPr>
                <w:sz w:val="20"/>
                <w:szCs w:val="20"/>
                <w:color w:val="auto"/>
              </w:rPr>
            </w:pPr>
            <w:r>
              <w:rPr>
                <w:rFonts w:ascii="Calibri" w:cs="Calibri" w:eastAsia="Calibri" w:hAnsi="Calibri"/>
                <w:sz w:val="14"/>
                <w:szCs w:val="14"/>
                <w:color w:val="auto"/>
                <w:w w:val="83"/>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0.20</w:t>
            </w:r>
          </w:p>
        </w:tc>
        <w:tc>
          <w:tcPr>
            <w:tcW w:w="2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Calibri" w:cs="Calibri" w:eastAsia="Calibri" w:hAnsi="Calibri"/>
                <w:sz w:val="14"/>
                <w:szCs w:val="14"/>
                <w:color w:val="auto"/>
                <w:w w:val="83"/>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0.04</w:t>
            </w:r>
          </w:p>
        </w:tc>
        <w:tc>
          <w:tcPr>
            <w:tcW w:w="46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0.35</w:t>
            </w:r>
          </w:p>
        </w:tc>
        <w:tc>
          <w:tcPr>
            <w:tcW w:w="100" w:type="dxa"/>
            <w:vAlign w:val="bottom"/>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0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Weighted average Class A common stock outstanding:</w:t>
            </w:r>
          </w:p>
        </w:tc>
        <w:tc>
          <w:tcPr>
            <w:tcW w:w="2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000" w:type="dxa"/>
            <w:vAlign w:val="bottom"/>
          </w:tcPr>
          <w:p>
            <w:pPr>
              <w:ind w:left="20"/>
              <w:spacing w:after="0"/>
              <w:rPr>
                <w:sz w:val="20"/>
                <w:szCs w:val="20"/>
                <w:color w:val="auto"/>
              </w:rPr>
            </w:pPr>
            <w:r>
              <w:rPr>
                <w:rFonts w:ascii="Calibri" w:cs="Calibri" w:eastAsia="Calibri" w:hAnsi="Calibri"/>
                <w:sz w:val="14"/>
                <w:szCs w:val="14"/>
                <w:color w:val="auto"/>
              </w:rPr>
              <w:t>Basic</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131,802,620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alibri" w:cs="Calibri" w:eastAsia="Calibri" w:hAnsi="Calibri"/>
                <w:sz w:val="14"/>
                <w:szCs w:val="14"/>
                <w:color w:val="auto"/>
              </w:rPr>
              <w:t>85,269,196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132,935,446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81,319,369</w:t>
            </w:r>
          </w:p>
        </w:tc>
        <w:tc>
          <w:tcPr>
            <w:tcW w:w="100" w:type="dxa"/>
            <w:vAlign w:val="bottom"/>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0"/>
        </w:trPr>
        <w:tc>
          <w:tcPr>
            <w:tcW w:w="600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Diluted</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208,027,620</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196,377,470</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209,937,710</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196,128,259</w:t>
            </w:r>
          </w:p>
        </w:tc>
        <w:tc>
          <w:tcPr>
            <w:tcW w:w="100" w:type="dxa"/>
            <w:vAlign w:val="bottom"/>
            <w:shd w:val="clear" w:color="auto" w:fill="CFF0FC"/>
          </w:tcPr>
          <w:p>
            <w:pPr>
              <w:spacing w:after="0"/>
              <w:rPr>
                <w:sz w:val="14"/>
                <w:szCs w:val="14"/>
                <w:color w:val="auto"/>
              </w:rPr>
            </w:pPr>
          </w:p>
        </w:tc>
      </w:tr>
      <w:tr>
        <w:trPr>
          <w:trHeight w:val="33"/>
        </w:trPr>
        <w:tc>
          <w:tcPr>
            <w:tcW w:w="60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-2116455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-2116455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-2116455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-1593850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-1593850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-1593850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-1328420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-1328420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-1328420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-1062355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-1062355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-1062355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 w:name="page6"/>
    <w:bookmarkEnd w:id="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CONDENSED CONSOLIDATED STATEMENTS OF COMPREHENSIVE INCOME (LOSS)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80" w:type="dxa"/>
            <w:vAlign w:val="bottom"/>
          </w:tcPr>
          <w:p>
            <w:pPr>
              <w:spacing w:after="0"/>
              <w:rPr>
                <w:sz w:val="19"/>
                <w:szCs w:val="19"/>
                <w:color w:val="auto"/>
              </w:rPr>
            </w:pPr>
          </w:p>
        </w:tc>
        <w:tc>
          <w:tcPr>
            <w:tcW w:w="2300" w:type="dxa"/>
            <w:vAlign w:val="bottom"/>
            <w:gridSpan w:val="5"/>
          </w:tcPr>
          <w:p>
            <w:pPr>
              <w:jc w:val="right"/>
              <w:spacing w:after="0"/>
              <w:rPr>
                <w:sz w:val="20"/>
                <w:szCs w:val="20"/>
                <w:color w:val="auto"/>
              </w:rPr>
            </w:pPr>
            <w:r>
              <w:rPr>
                <w:rFonts w:ascii="Calibri" w:cs="Calibri" w:eastAsia="Calibri" w:hAnsi="Calibri"/>
                <w:sz w:val="18"/>
                <w:szCs w:val="18"/>
                <w:b w:val="1"/>
                <w:bCs w:val="1"/>
                <w:color w:val="auto"/>
              </w:rPr>
              <w:t>Three Months Ended June 30,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5"/>
          </w:tcPr>
          <w:p>
            <w:pPr>
              <w:spacing w:after="0"/>
              <w:rPr>
                <w:sz w:val="20"/>
                <w:szCs w:val="20"/>
                <w:color w:val="auto"/>
              </w:rPr>
            </w:pPr>
            <w:r>
              <w:rPr>
                <w:rFonts w:ascii="Calibri" w:cs="Calibri" w:eastAsia="Calibri" w:hAnsi="Calibri"/>
                <w:sz w:val="18"/>
                <w:szCs w:val="18"/>
                <w:b w:val="1"/>
                <w:bCs w:val="1"/>
                <w:color w:val="auto"/>
              </w:rPr>
              <w:t>Six Months Ended June 30,</w:t>
            </w:r>
          </w:p>
        </w:tc>
        <w:tc>
          <w:tcPr>
            <w:tcW w:w="0" w:type="dxa"/>
            <w:vAlign w:val="bottom"/>
          </w:tcPr>
          <w:p>
            <w:pPr>
              <w:spacing w:after="0"/>
              <w:rPr>
                <w:sz w:val="1"/>
                <w:szCs w:val="1"/>
                <w:color w:val="auto"/>
              </w:rPr>
            </w:pPr>
          </w:p>
        </w:tc>
      </w:tr>
      <w:tr>
        <w:trPr>
          <w:trHeight w:val="37"/>
        </w:trPr>
        <w:tc>
          <w:tcPr>
            <w:tcW w:w="63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0"/>
              <w:spacing w:after="0" w:line="208"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0"/>
              <w:spacing w:after="0" w:line="208"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10"/>
              <w:spacing w:after="0" w:line="208"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3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Net income (loss)</w:t>
            </w:r>
          </w:p>
        </w:tc>
        <w:tc>
          <w:tcPr>
            <w:tcW w:w="22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b w:val="1"/>
                <w:bCs w:val="1"/>
                <w:color w:val="auto"/>
                <w:w w:val="87"/>
              </w:rPr>
              <w:t>$</w:t>
            </w:r>
          </w:p>
        </w:tc>
        <w:tc>
          <w:tcPr>
            <w:tcW w:w="1080" w:type="dxa"/>
            <w:vAlign w:val="bottom"/>
            <w:tcBorders>
              <w:bottom w:val="single" w:sz="8" w:color="CFF0FC"/>
            </w:tcBorders>
            <w:gridSpan w:val="2"/>
            <w:shd w:val="clear" w:color="auto" w:fill="CFF0FC"/>
          </w:tcPr>
          <w:p>
            <w:pPr>
              <w:jc w:val="right"/>
              <w:ind w:right="220"/>
              <w:spacing w:after="0" w:line="208" w:lineRule="exact"/>
              <w:rPr>
                <w:sz w:val="20"/>
                <w:szCs w:val="20"/>
                <w:color w:val="auto"/>
              </w:rPr>
            </w:pPr>
            <w:r>
              <w:rPr>
                <w:rFonts w:ascii="Calibri" w:cs="Calibri" w:eastAsia="Calibri" w:hAnsi="Calibri"/>
                <w:sz w:val="18"/>
                <w:szCs w:val="18"/>
                <w:b w:val="1"/>
                <w:bCs w:val="1"/>
                <w:color w:val="auto"/>
              </w:rPr>
              <w:t>(1,221 )</w:t>
            </w:r>
          </w:p>
        </w:tc>
        <w:tc>
          <w:tcPr>
            <w:tcW w:w="22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b w:val="1"/>
                <w:bCs w:val="1"/>
                <w:color w:val="auto"/>
                <w:w w:val="87"/>
              </w:rPr>
              <w:t>$</w:t>
            </w:r>
          </w:p>
        </w:tc>
        <w:tc>
          <w:tcPr>
            <w:tcW w:w="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38,326</w:t>
            </w:r>
          </w:p>
        </w:tc>
        <w:tc>
          <w:tcPr>
            <w:tcW w:w="380" w:type="dxa"/>
            <w:vAlign w:val="bottom"/>
            <w:tcBorders>
              <w:bottom w:val="single" w:sz="8" w:color="CFF0FC"/>
            </w:tcBorders>
            <w:gridSpan w:val="2"/>
            <w:shd w:val="clear" w:color="auto" w:fill="CFF0FC"/>
          </w:tcPr>
          <w:p>
            <w:pPr>
              <w:jc w:val="right"/>
              <w:ind w:right="20"/>
              <w:spacing w:after="0" w:line="208" w:lineRule="exact"/>
              <w:rPr>
                <w:sz w:val="20"/>
                <w:szCs w:val="20"/>
                <w:color w:val="auto"/>
              </w:rPr>
            </w:pPr>
            <w:r>
              <w:rPr>
                <w:rFonts w:ascii="Calibri" w:cs="Calibri" w:eastAsia="Calibri" w:hAnsi="Calibri"/>
                <w:sz w:val="18"/>
                <w:szCs w:val="18"/>
                <w:b w:val="1"/>
                <w:bCs w:val="1"/>
                <w:color w:val="auto"/>
              </w:rPr>
              <w:t>$</w:t>
            </w:r>
          </w:p>
        </w:tc>
        <w:tc>
          <w:tcPr>
            <w:tcW w:w="8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9,518</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b w:val="1"/>
                <w:bCs w:val="1"/>
                <w:color w:val="auto"/>
                <w:w w:val="87"/>
              </w:rPr>
              <w:t>$</w:t>
            </w:r>
          </w:p>
        </w:tc>
        <w:tc>
          <w:tcPr>
            <w:tcW w:w="7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68,598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8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Other comprehensive loss: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3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Foreign currency translaton adjustment</w:t>
            </w:r>
          </w:p>
        </w:tc>
        <w:tc>
          <w:tcPr>
            <w:tcW w:w="2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(1,258 )</w:t>
            </w:r>
          </w:p>
        </w:tc>
        <w:tc>
          <w:tcPr>
            <w:tcW w:w="2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(3,123 )</w:t>
            </w:r>
          </w:p>
        </w:tc>
        <w:tc>
          <w:tcPr>
            <w:tcW w:w="2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0"/>
        </w:trPr>
        <w:tc>
          <w:tcPr>
            <w:tcW w:w="6380" w:type="dxa"/>
            <w:vAlign w:val="bottom"/>
          </w:tcPr>
          <w:p>
            <w:pPr>
              <w:ind w:left="120"/>
              <w:spacing w:after="0"/>
              <w:rPr>
                <w:sz w:val="20"/>
                <w:szCs w:val="20"/>
                <w:color w:val="auto"/>
              </w:rPr>
            </w:pPr>
            <w:r>
              <w:rPr>
                <w:rFonts w:ascii="Calibri" w:cs="Calibri" w:eastAsia="Calibri" w:hAnsi="Calibri"/>
                <w:sz w:val="18"/>
                <w:szCs w:val="18"/>
                <w:color w:val="auto"/>
              </w:rPr>
              <w:t>Unrealized gain (loss) on investments</w:t>
            </w:r>
          </w:p>
        </w:tc>
        <w:tc>
          <w:tcPr>
            <w:tcW w:w="220" w:type="dxa"/>
            <w:vAlign w:val="bottom"/>
          </w:tcPr>
          <w:p>
            <w:pPr>
              <w:spacing w:after="0"/>
              <w:rPr>
                <w:sz w:val="19"/>
                <w:szCs w:val="19"/>
                <w:color w:val="auto"/>
              </w:rPr>
            </w:pPr>
          </w:p>
        </w:tc>
        <w:tc>
          <w:tcPr>
            <w:tcW w:w="10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(50 )</w:t>
            </w:r>
          </w:p>
        </w:tc>
        <w:tc>
          <w:tcPr>
            <w:tcW w:w="220" w:type="dxa"/>
            <w:vAlign w:val="bottom"/>
          </w:tcPr>
          <w:p>
            <w:pPr>
              <w:spacing w:after="0"/>
              <w:rPr>
                <w:sz w:val="19"/>
                <w:szCs w:val="19"/>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42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3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Comprehensive income (loss)</w:t>
            </w:r>
          </w:p>
        </w:tc>
        <w:tc>
          <w:tcPr>
            <w:tcW w:w="22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b w:val="1"/>
                <w:bCs w:val="1"/>
                <w:color w:val="auto"/>
                <w:w w:val="87"/>
              </w:rPr>
              <w:t>$</w:t>
            </w:r>
          </w:p>
        </w:tc>
        <w:tc>
          <w:tcPr>
            <w:tcW w:w="1080" w:type="dxa"/>
            <w:vAlign w:val="bottom"/>
            <w:tcBorders>
              <w:bottom w:val="single" w:sz="8" w:color="CFF0FC"/>
            </w:tcBorders>
            <w:gridSpan w:val="2"/>
            <w:shd w:val="clear" w:color="auto" w:fill="CFF0FC"/>
          </w:tcPr>
          <w:p>
            <w:pPr>
              <w:jc w:val="right"/>
              <w:ind w:right="220"/>
              <w:spacing w:after="0" w:line="208" w:lineRule="exact"/>
              <w:rPr>
                <w:sz w:val="20"/>
                <w:szCs w:val="20"/>
                <w:color w:val="auto"/>
              </w:rPr>
            </w:pPr>
            <w:r>
              <w:rPr>
                <w:rFonts w:ascii="Calibri" w:cs="Calibri" w:eastAsia="Calibri" w:hAnsi="Calibri"/>
                <w:sz w:val="18"/>
                <w:szCs w:val="18"/>
                <w:b w:val="1"/>
                <w:bCs w:val="1"/>
                <w:color w:val="auto"/>
              </w:rPr>
              <w:t>(2,529 )</w:t>
            </w:r>
          </w:p>
        </w:tc>
        <w:tc>
          <w:tcPr>
            <w:tcW w:w="22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b w:val="1"/>
                <w:bCs w:val="1"/>
                <w:color w:val="auto"/>
                <w:w w:val="87"/>
              </w:rPr>
              <w:t>$</w:t>
            </w:r>
          </w:p>
        </w:tc>
        <w:tc>
          <w:tcPr>
            <w:tcW w:w="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38,326</w:t>
            </w:r>
          </w:p>
        </w:tc>
        <w:tc>
          <w:tcPr>
            <w:tcW w:w="380" w:type="dxa"/>
            <w:vAlign w:val="bottom"/>
            <w:tcBorders>
              <w:bottom w:val="single" w:sz="8" w:color="CFF0FC"/>
            </w:tcBorders>
            <w:gridSpan w:val="2"/>
            <w:shd w:val="clear" w:color="auto" w:fill="CFF0FC"/>
          </w:tcPr>
          <w:p>
            <w:pPr>
              <w:jc w:val="right"/>
              <w:ind w:right="20"/>
              <w:spacing w:after="0" w:line="208" w:lineRule="exact"/>
              <w:rPr>
                <w:sz w:val="20"/>
                <w:szCs w:val="20"/>
                <w:color w:val="auto"/>
              </w:rPr>
            </w:pPr>
            <w:r>
              <w:rPr>
                <w:rFonts w:ascii="Calibri" w:cs="Calibri" w:eastAsia="Calibri" w:hAnsi="Calibri"/>
                <w:sz w:val="18"/>
                <w:szCs w:val="18"/>
                <w:b w:val="1"/>
                <w:bCs w:val="1"/>
                <w:color w:val="auto"/>
              </w:rPr>
              <w:t>$</w:t>
            </w:r>
          </w:p>
        </w:tc>
        <w:tc>
          <w:tcPr>
            <w:tcW w:w="8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6,437</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b w:val="1"/>
                <w:bCs w:val="1"/>
                <w:color w:val="auto"/>
                <w:w w:val="87"/>
              </w:rPr>
              <w:t>$</w:t>
            </w:r>
          </w:p>
        </w:tc>
        <w:tc>
          <w:tcPr>
            <w:tcW w:w="7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68,598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8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 (loss) atributable to redeemable noncontrolling interests</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(160 )</w:t>
            </w:r>
          </w:p>
        </w:tc>
        <w:tc>
          <w:tcPr>
            <w:tcW w:w="2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7,614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4,505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25,704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6380" w:type="dxa"/>
            <w:vAlign w:val="bottom"/>
            <w:shd w:val="clear" w:color="auto" w:fill="CFF0FC"/>
          </w:tcPr>
          <w:p>
            <w:pPr>
              <w:ind w:left="120"/>
              <w:spacing w:after="0" w:line="207" w:lineRule="exact"/>
              <w:rPr>
                <w:sz w:val="20"/>
                <w:szCs w:val="20"/>
                <w:color w:val="auto"/>
              </w:rPr>
            </w:pPr>
            <w:r>
              <w:rPr>
                <w:rFonts w:ascii="Calibri" w:cs="Calibri" w:eastAsia="Calibri" w:hAnsi="Calibri"/>
                <w:sz w:val="18"/>
                <w:szCs w:val="18"/>
                <w:color w:val="auto"/>
              </w:rPr>
              <w:t>Foreign currency translaton adjustment atributable to redeemable noncontrolling</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3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interests</w:t>
            </w:r>
          </w:p>
        </w:tc>
        <w:tc>
          <w:tcPr>
            <w:tcW w:w="2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(458 )</w:t>
            </w:r>
          </w:p>
        </w:tc>
        <w:tc>
          <w:tcPr>
            <w:tcW w:w="2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(1,134 )</w:t>
            </w:r>
          </w:p>
        </w:tc>
        <w:tc>
          <w:tcPr>
            <w:tcW w:w="20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7"/>
        </w:trPr>
        <w:tc>
          <w:tcPr>
            <w:tcW w:w="6380" w:type="dxa"/>
            <w:vAlign w:val="bottom"/>
          </w:tcPr>
          <w:p>
            <w:pPr>
              <w:ind w:left="120"/>
              <w:spacing w:after="0" w:line="207" w:lineRule="exact"/>
              <w:rPr>
                <w:sz w:val="20"/>
                <w:szCs w:val="20"/>
                <w:color w:val="auto"/>
              </w:rPr>
            </w:pPr>
            <w:r>
              <w:rPr>
                <w:rFonts w:ascii="Calibri" w:cs="Calibri" w:eastAsia="Calibri" w:hAnsi="Calibri"/>
                <w:sz w:val="18"/>
                <w:szCs w:val="18"/>
                <w:color w:val="auto"/>
              </w:rPr>
              <w:t>Unrealized gain (loss) on investments atributable to redeemable noncontrolling</w:t>
            </w:r>
          </w:p>
        </w:tc>
        <w:tc>
          <w:tcPr>
            <w:tcW w:w="220" w:type="dxa"/>
            <w:vAlign w:val="bottom"/>
          </w:tcPr>
          <w:p>
            <w:pPr>
              <w:spacing w:after="0"/>
              <w:rPr>
                <w:sz w:val="18"/>
                <w:szCs w:val="18"/>
                <w:color w:val="auto"/>
              </w:rPr>
            </w:pPr>
          </w:p>
        </w:tc>
        <w:tc>
          <w:tcPr>
            <w:tcW w:w="1080" w:type="dxa"/>
            <w:vAlign w:val="bottom"/>
            <w:gridSpan w:val="2"/>
            <w:vMerge w:val="restart"/>
          </w:tcPr>
          <w:p>
            <w:pPr>
              <w:jc w:val="right"/>
              <w:ind w:right="220"/>
              <w:spacing w:after="0"/>
              <w:rPr>
                <w:sz w:val="20"/>
                <w:szCs w:val="20"/>
                <w:color w:val="auto"/>
              </w:rPr>
            </w:pPr>
            <w:r>
              <w:rPr>
                <w:rFonts w:ascii="Calibri" w:cs="Calibri" w:eastAsia="Calibri" w:hAnsi="Calibri"/>
                <w:sz w:val="18"/>
                <w:szCs w:val="18"/>
                <w:color w:val="auto"/>
              </w:rPr>
              <w:t>(18 )</w:t>
            </w:r>
          </w:p>
        </w:tc>
        <w:tc>
          <w:tcPr>
            <w:tcW w:w="2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Calibri" w:cs="Calibri" w:eastAsia="Calibri" w:hAnsi="Calibri"/>
                <w:sz w:val="18"/>
                <w:szCs w:val="18"/>
                <w:color w:val="auto"/>
              </w:rPr>
              <w:t>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restart"/>
          </w:tcPr>
          <w:p>
            <w:pPr>
              <w:jc w:val="right"/>
              <w:ind w:right="12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6380" w:type="dxa"/>
            <w:vAlign w:val="bottom"/>
          </w:tcPr>
          <w:p>
            <w:pPr>
              <w:ind w:left="120"/>
              <w:spacing w:after="0" w:line="215" w:lineRule="exact"/>
              <w:rPr>
                <w:sz w:val="20"/>
                <w:szCs w:val="20"/>
                <w:color w:val="auto"/>
              </w:rPr>
            </w:pPr>
            <w:r>
              <w:rPr>
                <w:rFonts w:ascii="Calibri" w:cs="Calibri" w:eastAsia="Calibri" w:hAnsi="Calibri"/>
                <w:sz w:val="18"/>
                <w:szCs w:val="18"/>
                <w:color w:val="auto"/>
              </w:rPr>
              <w:t>interests</w:t>
            </w: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638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Comprehensive income (loss) atributable to Class A Common Stockholders</w:t>
            </w:r>
          </w:p>
        </w:tc>
        <w:tc>
          <w:tcPr>
            <w:tcW w:w="220" w:type="dxa"/>
            <w:vAlign w:val="bottom"/>
            <w:tcBorders>
              <w:bottom w:val="single" w:sz="8" w:color="CFF0FC"/>
            </w:tcBorders>
            <w:shd w:val="clear" w:color="auto" w:fill="CFF0FC"/>
          </w:tcPr>
          <w:p>
            <w:pPr>
              <w:jc w:val="right"/>
              <w:ind w:right="30"/>
              <w:spacing w:after="0" w:line="213" w:lineRule="exact"/>
              <w:rPr>
                <w:sz w:val="20"/>
                <w:szCs w:val="20"/>
                <w:color w:val="auto"/>
              </w:rPr>
            </w:pPr>
            <w:r>
              <w:rPr>
                <w:rFonts w:ascii="Calibri" w:cs="Calibri" w:eastAsia="Calibri" w:hAnsi="Calibri"/>
                <w:sz w:val="18"/>
                <w:szCs w:val="18"/>
                <w:b w:val="1"/>
                <w:bCs w:val="1"/>
                <w:color w:val="auto"/>
                <w:w w:val="87"/>
              </w:rPr>
              <w:t>$</w:t>
            </w:r>
          </w:p>
        </w:tc>
        <w:tc>
          <w:tcPr>
            <w:tcW w:w="1080" w:type="dxa"/>
            <w:vAlign w:val="bottom"/>
            <w:tcBorders>
              <w:bottom w:val="single" w:sz="8" w:color="CFF0FC"/>
            </w:tcBorders>
            <w:gridSpan w:val="2"/>
            <w:shd w:val="clear" w:color="auto" w:fill="CFF0FC"/>
          </w:tcPr>
          <w:p>
            <w:pPr>
              <w:jc w:val="right"/>
              <w:ind w:right="220"/>
              <w:spacing w:after="0" w:line="213" w:lineRule="exact"/>
              <w:rPr>
                <w:sz w:val="20"/>
                <w:szCs w:val="20"/>
                <w:color w:val="auto"/>
              </w:rPr>
            </w:pPr>
            <w:r>
              <w:rPr>
                <w:rFonts w:ascii="Calibri" w:cs="Calibri" w:eastAsia="Calibri" w:hAnsi="Calibri"/>
                <w:sz w:val="18"/>
                <w:szCs w:val="18"/>
                <w:b w:val="1"/>
                <w:bCs w:val="1"/>
                <w:color w:val="auto"/>
              </w:rPr>
              <w:t>(1,893 )</w:t>
            </w:r>
          </w:p>
        </w:tc>
        <w:tc>
          <w:tcPr>
            <w:tcW w:w="220" w:type="dxa"/>
            <w:vAlign w:val="bottom"/>
            <w:tcBorders>
              <w:bottom w:val="single" w:sz="8" w:color="CFF0FC"/>
            </w:tcBorders>
            <w:shd w:val="clear" w:color="auto" w:fill="CFF0FC"/>
          </w:tcPr>
          <w:p>
            <w:pPr>
              <w:jc w:val="right"/>
              <w:ind w:right="30"/>
              <w:spacing w:after="0" w:line="213" w:lineRule="exact"/>
              <w:rPr>
                <w:sz w:val="20"/>
                <w:szCs w:val="20"/>
                <w:color w:val="auto"/>
              </w:rPr>
            </w:pPr>
            <w:r>
              <w:rPr>
                <w:rFonts w:ascii="Calibri" w:cs="Calibri" w:eastAsia="Calibri" w:hAnsi="Calibri"/>
                <w:sz w:val="18"/>
                <w:szCs w:val="18"/>
                <w:b w:val="1"/>
                <w:bCs w:val="1"/>
                <w:color w:val="auto"/>
                <w:w w:val="87"/>
              </w:rPr>
              <w:t>$</w:t>
            </w:r>
          </w:p>
        </w:tc>
        <w:tc>
          <w:tcPr>
            <w:tcW w:w="78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30,712</w:t>
            </w:r>
          </w:p>
        </w:tc>
        <w:tc>
          <w:tcPr>
            <w:tcW w:w="380" w:type="dxa"/>
            <w:vAlign w:val="bottom"/>
            <w:tcBorders>
              <w:bottom w:val="single" w:sz="8" w:color="CFF0FC"/>
            </w:tcBorders>
            <w:gridSpan w:val="2"/>
            <w:shd w:val="clear" w:color="auto" w:fill="CFF0FC"/>
          </w:tcPr>
          <w:p>
            <w:pPr>
              <w:jc w:val="right"/>
              <w:ind w:right="20"/>
              <w:spacing w:after="0" w:line="213" w:lineRule="exact"/>
              <w:rPr>
                <w:sz w:val="20"/>
                <w:szCs w:val="20"/>
                <w:color w:val="auto"/>
              </w:rPr>
            </w:pPr>
            <w:r>
              <w:rPr>
                <w:rFonts w:ascii="Calibri" w:cs="Calibri" w:eastAsia="Calibri" w:hAnsi="Calibri"/>
                <w:sz w:val="18"/>
                <w:szCs w:val="18"/>
                <w:b w:val="1"/>
                <w:bCs w:val="1"/>
                <w:color w:val="auto"/>
              </w:rPr>
              <w:t>$</w:t>
            </w:r>
          </w:p>
        </w:tc>
        <w:tc>
          <w:tcPr>
            <w:tcW w:w="86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3,051</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jc w:val="right"/>
              <w:ind w:right="10"/>
              <w:spacing w:after="0" w:line="213" w:lineRule="exact"/>
              <w:rPr>
                <w:sz w:val="20"/>
                <w:szCs w:val="20"/>
                <w:color w:val="auto"/>
              </w:rPr>
            </w:pPr>
            <w:r>
              <w:rPr>
                <w:rFonts w:ascii="Calibri" w:cs="Calibri" w:eastAsia="Calibri" w:hAnsi="Calibri"/>
                <w:sz w:val="18"/>
                <w:szCs w:val="18"/>
                <w:b w:val="1"/>
                <w:bCs w:val="1"/>
                <w:color w:val="auto"/>
                <w:w w:val="87"/>
              </w:rPr>
              <w:t>$</w:t>
            </w:r>
          </w:p>
        </w:tc>
        <w:tc>
          <w:tcPr>
            <w:tcW w:w="76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42,894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-25400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 w:name="page7"/>
    <w:bookmarkEnd w:id="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CONDENSED CONSOLIDATED STATEMENTS OF EQUITY (DEFICIT)</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 data)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5"/>
          </w:tcPr>
          <w:p>
            <w:pPr>
              <w:jc w:val="right"/>
              <w:ind w:right="280"/>
              <w:spacing w:after="0"/>
              <w:rPr>
                <w:sz w:val="20"/>
                <w:szCs w:val="20"/>
                <w:color w:val="auto"/>
              </w:rPr>
            </w:pPr>
            <w:r>
              <w:rPr>
                <w:rFonts w:ascii="Calibri" w:cs="Calibri" w:eastAsia="Calibri" w:hAnsi="Calibri"/>
                <w:sz w:val="13"/>
                <w:szCs w:val="13"/>
                <w:b w:val="1"/>
                <w:bCs w:val="1"/>
                <w:color w:val="auto"/>
              </w:rPr>
              <w:t>Class B Common</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right"/>
              <w:ind w:right="37"/>
              <w:spacing w:after="0" w:line="149" w:lineRule="exact"/>
              <w:rPr>
                <w:sz w:val="20"/>
                <w:szCs w:val="20"/>
                <w:color w:val="auto"/>
              </w:rPr>
            </w:pPr>
            <w:r>
              <w:rPr>
                <w:rFonts w:ascii="Calibri" w:cs="Calibri" w:eastAsia="Calibri" w:hAnsi="Calibri"/>
                <w:sz w:val="13"/>
                <w:szCs w:val="13"/>
                <w:b w:val="1"/>
                <w:bCs w:val="1"/>
                <w:color w:val="auto"/>
              </w:rPr>
              <w:t>Class A Common Stock</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Calibri" w:cs="Calibri" w:eastAsia="Calibri" w:hAnsi="Calibri"/>
                <w:sz w:val="13"/>
                <w:szCs w:val="13"/>
                <w:b w:val="1"/>
                <w:bCs w:val="1"/>
                <w:color w:val="auto"/>
              </w:rPr>
              <w:t>Stock</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ind w:left="360"/>
              <w:spacing w:after="0" w:line="149" w:lineRule="exact"/>
              <w:rPr>
                <w:sz w:val="20"/>
                <w:szCs w:val="20"/>
                <w:color w:val="auto"/>
              </w:rPr>
            </w:pPr>
            <w:r>
              <w:rPr>
                <w:rFonts w:ascii="Calibri" w:cs="Calibri" w:eastAsia="Calibri" w:hAnsi="Calibri"/>
                <w:sz w:val="13"/>
                <w:szCs w:val="13"/>
                <w:b w:val="1"/>
                <w:bCs w:val="1"/>
                <w:color w:val="auto"/>
                <w:w w:val="93"/>
              </w:rPr>
              <w:t>Treasury Stock</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vMerge w:val="restart"/>
          </w:tcPr>
          <w:p>
            <w:pPr>
              <w:jc w:val="center"/>
              <w:ind w:right="17"/>
              <w:spacing w:after="0"/>
              <w:rPr>
                <w:sz w:val="20"/>
                <w:szCs w:val="20"/>
                <w:color w:val="auto"/>
              </w:rPr>
            </w:pPr>
            <w:r>
              <w:rPr>
                <w:rFonts w:ascii="Calibri" w:cs="Calibri" w:eastAsia="Calibri" w:hAnsi="Calibri"/>
                <w:sz w:val="13"/>
                <w:szCs w:val="13"/>
                <w:b w:val="1"/>
                <w:bCs w:val="1"/>
                <w:color w:val="auto"/>
                <w:w w:val="95"/>
              </w:rPr>
              <w:t>Accumulated</w:t>
            </w: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900" w:type="dxa"/>
            <w:vAlign w:val="bottom"/>
            <w:gridSpan w:val="3"/>
          </w:tcPr>
          <w:p>
            <w:pPr>
              <w:ind w:left="40"/>
              <w:spacing w:after="0" w:line="149" w:lineRule="exact"/>
              <w:rPr>
                <w:sz w:val="20"/>
                <w:szCs w:val="20"/>
                <w:color w:val="auto"/>
              </w:rPr>
            </w:pPr>
            <w:r>
              <w:rPr>
                <w:rFonts w:ascii="Calibri" w:cs="Calibri" w:eastAsia="Calibri" w:hAnsi="Calibri"/>
                <w:sz w:val="13"/>
                <w:szCs w:val="13"/>
                <w:b w:val="1"/>
                <w:bCs w:val="1"/>
                <w:color w:val="auto"/>
              </w:rPr>
              <w:t>Redeemable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Calibri" w:cs="Calibri" w:eastAsia="Calibri" w:hAnsi="Calibri"/>
                <w:sz w:val="13"/>
                <w:szCs w:val="13"/>
                <w:b w:val="1"/>
                <w:bCs w:val="1"/>
                <w:color w:val="auto"/>
              </w:rPr>
              <w:t>Additonal</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7"/>
              <w:spacing w:after="0" w:line="149" w:lineRule="exact"/>
              <w:rPr>
                <w:sz w:val="20"/>
                <w:szCs w:val="20"/>
                <w:color w:val="auto"/>
              </w:rPr>
            </w:pPr>
            <w:r>
              <w:rPr>
                <w:rFonts w:ascii="Calibri" w:cs="Calibri" w:eastAsia="Calibri" w:hAnsi="Calibri"/>
                <w:sz w:val="13"/>
                <w:szCs w:val="13"/>
                <w:b w:val="1"/>
                <w:bCs w:val="1"/>
                <w:color w:val="auto"/>
                <w:w w:val="94"/>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Calibri" w:cs="Calibri" w:eastAsia="Calibri" w:hAnsi="Calibri"/>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Calibri" w:cs="Calibri" w:eastAsia="Calibri" w:hAnsi="Calibri"/>
                <w:sz w:val="13"/>
                <w:szCs w:val="13"/>
                <w:b w:val="1"/>
                <w:bCs w:val="1"/>
                <w:color w:val="auto"/>
              </w:rPr>
              <w:t>noncontrolling</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3"/>
          </w:tcPr>
          <w:p>
            <w:pPr>
              <w:ind w:left="20"/>
              <w:spacing w:after="0" w:line="149" w:lineRule="exact"/>
              <w:rPr>
                <w:sz w:val="20"/>
                <w:szCs w:val="20"/>
                <w:color w:val="auto"/>
              </w:rPr>
            </w:pPr>
            <w:r>
              <w:rPr>
                <w:rFonts w:ascii="Calibri" w:cs="Calibri" w:eastAsia="Calibri" w:hAnsi="Calibri"/>
                <w:sz w:val="13"/>
                <w:szCs w:val="13"/>
                <w:b w:val="1"/>
                <w:bCs w:val="1"/>
                <w:color w:val="auto"/>
              </w:rPr>
              <w:t>Amou</w:t>
            </w:r>
          </w:p>
        </w:tc>
        <w:tc>
          <w:tcPr>
            <w:tcW w:w="8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Calibri" w:cs="Calibri" w:eastAsia="Calibri" w:hAnsi="Calibri"/>
                <w:sz w:val="13"/>
                <w:szCs w:val="13"/>
                <w:b w:val="1"/>
                <w:bCs w:val="1"/>
                <w:color w:val="auto"/>
                <w:w w:val="95"/>
              </w:rPr>
              <w:t>paid-in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Calibri" w:cs="Calibri" w:eastAsia="Calibri" w:hAnsi="Calibri"/>
                <w:sz w:val="13"/>
                <w:szCs w:val="13"/>
                <w:b w:val="1"/>
                <w:bCs w:val="1"/>
                <w:color w:val="auto"/>
              </w:rPr>
              <w:t>Accumulate</w:t>
            </w:r>
          </w:p>
        </w:tc>
        <w:tc>
          <w:tcPr>
            <w:tcW w:w="840" w:type="dxa"/>
            <w:vAlign w:val="bottom"/>
            <w:gridSpan w:val="2"/>
          </w:tcPr>
          <w:p>
            <w:pPr>
              <w:ind w:left="20"/>
              <w:spacing w:after="0" w:line="149" w:lineRule="exact"/>
              <w:rPr>
                <w:sz w:val="20"/>
                <w:szCs w:val="20"/>
                <w:color w:val="auto"/>
              </w:rPr>
            </w:pPr>
            <w:r>
              <w:rPr>
                <w:rFonts w:ascii="Calibri" w:cs="Calibri" w:eastAsia="Calibri" w:hAnsi="Calibri"/>
                <w:sz w:val="13"/>
                <w:szCs w:val="13"/>
                <w:b w:val="1"/>
                <w:bCs w:val="1"/>
                <w:color w:val="auto"/>
                <w:w w:val="96"/>
              </w:rPr>
              <w:t>comprehensive</w:t>
            </w:r>
          </w:p>
        </w:tc>
        <w:tc>
          <w:tcPr>
            <w:tcW w:w="22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Calibri" w:cs="Calibri" w:eastAsia="Calibri" w:hAnsi="Calibri"/>
                <w:sz w:val="13"/>
                <w:szCs w:val="13"/>
                <w:b w:val="1"/>
                <w:bCs w:val="1"/>
                <w:color w:val="auto"/>
              </w:rPr>
              <w:t>shareholde</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Calibri" w:cs="Calibri" w:eastAsia="Calibri" w:hAnsi="Calibri"/>
                <w:sz w:val="13"/>
                <w:szCs w:val="13"/>
                <w:b w:val="1"/>
                <w:bCs w:val="1"/>
                <w:color w:val="auto"/>
              </w:rPr>
              <w:t>interests</w:t>
            </w:r>
          </w:p>
        </w:tc>
        <w:tc>
          <w:tcPr>
            <w:tcW w:w="800" w:type="dxa"/>
            <w:vAlign w:val="bottom"/>
          </w:tcPr>
          <w:p>
            <w:pPr>
              <w:jc w:val="right"/>
              <w:ind w:right="157"/>
              <w:spacing w:after="0" w:line="149" w:lineRule="exact"/>
              <w:rPr>
                <w:sz w:val="20"/>
                <w:szCs w:val="20"/>
                <w:color w:val="auto"/>
              </w:rPr>
            </w:pPr>
            <w:r>
              <w:rPr>
                <w:rFonts w:ascii="Calibri" w:cs="Calibri" w:eastAsia="Calibri" w:hAnsi="Calibri"/>
                <w:sz w:val="13"/>
                <w:szCs w:val="13"/>
                <w:b w:val="1"/>
                <w:bCs w:val="1"/>
                <w:color w:val="auto"/>
              </w:rPr>
              <w:t>Shares</w:t>
            </w:r>
          </w:p>
        </w:tc>
        <w:tc>
          <w:tcPr>
            <w:tcW w:w="12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Calibri" w:cs="Calibri" w:eastAsia="Calibri" w:hAnsi="Calibri"/>
                <w:sz w:val="13"/>
                <w:szCs w:val="13"/>
                <w:b w:val="1"/>
                <w:bCs w:val="1"/>
                <w:color w:val="auto"/>
                <w:w w:val="95"/>
              </w:rPr>
              <w:t>Amount</w:t>
            </w:r>
          </w:p>
        </w:tc>
        <w:tc>
          <w:tcPr>
            <w:tcW w:w="12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Calibri" w:cs="Calibri" w:eastAsia="Calibri" w:hAnsi="Calibri"/>
                <w:sz w:val="13"/>
                <w:szCs w:val="13"/>
                <w:b w:val="1"/>
                <w:bCs w:val="1"/>
                <w:color w:val="auto"/>
              </w:rPr>
              <w:t>Shares</w:t>
            </w:r>
          </w:p>
        </w:tc>
        <w:tc>
          <w:tcPr>
            <w:tcW w:w="100" w:type="dxa"/>
            <w:vAlign w:val="bottom"/>
          </w:tcPr>
          <w:p>
            <w:pPr>
              <w:spacing w:after="0"/>
              <w:rPr>
                <w:sz w:val="12"/>
                <w:szCs w:val="12"/>
                <w:color w:val="auto"/>
              </w:rPr>
            </w:pPr>
          </w:p>
        </w:tc>
        <w:tc>
          <w:tcPr>
            <w:tcW w:w="3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b w:val="1"/>
                <w:bCs w:val="1"/>
                <w:color w:val="auto"/>
                <w:w w:val="86"/>
              </w:rPr>
              <w:t>nt</w:t>
            </w:r>
          </w:p>
        </w:tc>
        <w:tc>
          <w:tcPr>
            <w:tcW w:w="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Calibri" w:cs="Calibri" w:eastAsia="Calibri" w:hAnsi="Calibri"/>
                <w:sz w:val="13"/>
                <w:szCs w:val="13"/>
                <w:b w:val="1"/>
                <w:bCs w:val="1"/>
                <w:color w:val="auto"/>
                <w:w w:val="99"/>
              </w:rPr>
              <w:t>capital</w:t>
            </w:r>
          </w:p>
        </w:tc>
        <w:tc>
          <w:tcPr>
            <w:tcW w:w="1000" w:type="dxa"/>
            <w:vAlign w:val="bottom"/>
            <w:gridSpan w:val="2"/>
          </w:tcPr>
          <w:p>
            <w:pPr>
              <w:jc w:val="right"/>
              <w:ind w:right="380"/>
              <w:spacing w:after="0" w:line="149" w:lineRule="exact"/>
              <w:rPr>
                <w:sz w:val="20"/>
                <w:szCs w:val="20"/>
                <w:color w:val="auto"/>
              </w:rPr>
            </w:pPr>
            <w:r>
              <w:rPr>
                <w:rFonts w:ascii="Calibri" w:cs="Calibri" w:eastAsia="Calibri" w:hAnsi="Calibri"/>
                <w:sz w:val="13"/>
                <w:szCs w:val="13"/>
                <w:b w:val="1"/>
                <w:bCs w:val="1"/>
                <w:color w:val="auto"/>
              </w:rPr>
              <w:t>Shares</w:t>
            </w:r>
          </w:p>
        </w:tc>
        <w:tc>
          <w:tcPr>
            <w:tcW w:w="580" w:type="dxa"/>
            <w:vAlign w:val="bottom"/>
            <w:gridSpan w:val="3"/>
          </w:tcPr>
          <w:p>
            <w:pPr>
              <w:ind w:left="40"/>
              <w:spacing w:after="0" w:line="149" w:lineRule="exact"/>
              <w:rPr>
                <w:sz w:val="20"/>
                <w:szCs w:val="20"/>
                <w:color w:val="auto"/>
              </w:rPr>
            </w:pPr>
            <w:r>
              <w:rPr>
                <w:rFonts w:ascii="Calibri" w:cs="Calibri" w:eastAsia="Calibri" w:hAnsi="Calibri"/>
                <w:sz w:val="13"/>
                <w:szCs w:val="13"/>
                <w:b w:val="1"/>
                <w:bCs w:val="1"/>
                <w:color w:val="auto"/>
              </w:rPr>
              <w:t>Amount</w:t>
            </w:r>
          </w:p>
        </w:tc>
        <w:tc>
          <w:tcPr>
            <w:tcW w:w="12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b w:val="1"/>
                <w:bCs w:val="1"/>
                <w:color w:val="auto"/>
              </w:rPr>
              <w:t>d defcit</w:t>
            </w:r>
          </w:p>
        </w:tc>
        <w:tc>
          <w:tcPr>
            <w:tcW w:w="80" w:type="dxa"/>
            <w:vAlign w:val="bottom"/>
          </w:tcPr>
          <w:p>
            <w:pPr>
              <w:spacing w:after="0"/>
              <w:rPr>
                <w:sz w:val="12"/>
                <w:szCs w:val="12"/>
                <w:color w:val="auto"/>
              </w:rPr>
            </w:pPr>
          </w:p>
        </w:tc>
        <w:tc>
          <w:tcPr>
            <w:tcW w:w="760" w:type="dxa"/>
            <w:vAlign w:val="bottom"/>
          </w:tcPr>
          <w:p>
            <w:pPr>
              <w:jc w:val="center"/>
              <w:ind w:right="17"/>
              <w:spacing w:after="0" w:line="149" w:lineRule="exact"/>
              <w:rPr>
                <w:sz w:val="20"/>
                <w:szCs w:val="20"/>
                <w:color w:val="auto"/>
              </w:rPr>
            </w:pPr>
            <w:r>
              <w:rPr>
                <w:rFonts w:ascii="Calibri" w:cs="Calibri" w:eastAsia="Calibri" w:hAnsi="Calibri"/>
                <w:sz w:val="13"/>
                <w:szCs w:val="13"/>
                <w:b w:val="1"/>
                <w:bCs w:val="1"/>
                <w:color w:val="auto"/>
                <w:w w:val="97"/>
              </w:rPr>
              <w:t>loss</w:t>
            </w:r>
          </w:p>
        </w:tc>
        <w:tc>
          <w:tcPr>
            <w:tcW w:w="220" w:type="dxa"/>
            <w:vAlign w:val="bottom"/>
          </w:tcPr>
          <w:p>
            <w:pPr>
              <w:spacing w:after="0"/>
              <w:rPr>
                <w:sz w:val="12"/>
                <w:szCs w:val="12"/>
                <w:color w:val="auto"/>
              </w:rPr>
            </w:pPr>
          </w:p>
        </w:tc>
        <w:tc>
          <w:tcPr>
            <w:tcW w:w="720" w:type="dxa"/>
            <w:vAlign w:val="bottom"/>
            <w:gridSpan w:val="3"/>
          </w:tcPr>
          <w:p>
            <w:pPr>
              <w:jc w:val="right"/>
              <w:ind w:right="180"/>
              <w:spacing w:after="0" w:line="149" w:lineRule="exact"/>
              <w:rPr>
                <w:sz w:val="20"/>
                <w:szCs w:val="20"/>
                <w:color w:val="auto"/>
              </w:rPr>
            </w:pPr>
            <w:r>
              <w:rPr>
                <w:rFonts w:ascii="Calibri" w:cs="Calibri" w:eastAsia="Calibri" w:hAnsi="Calibri"/>
                <w:sz w:val="13"/>
                <w:szCs w:val="13"/>
                <w:b w:val="1"/>
                <w:bCs w:val="1"/>
                <w:color w:val="auto"/>
              </w:rPr>
              <w:t>rs' defcit</w:t>
            </w:r>
          </w:p>
        </w:tc>
        <w:tc>
          <w:tcPr>
            <w:tcW w:w="0" w:type="dxa"/>
            <w:vAlign w:val="bottom"/>
          </w:tcPr>
          <w:p>
            <w:pPr>
              <w:spacing w:after="0"/>
              <w:rPr>
                <w:sz w:val="1"/>
                <w:szCs w:val="1"/>
                <w:color w:val="auto"/>
              </w:rPr>
            </w:pPr>
          </w:p>
        </w:tc>
      </w:tr>
      <w:tr>
        <w:trPr>
          <w:trHeight w:val="24"/>
        </w:trPr>
        <w:tc>
          <w:tcPr>
            <w:tcW w:w="2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spacing w:after="0" w:line="145" w:lineRule="exact"/>
              <w:rPr>
                <w:sz w:val="20"/>
                <w:szCs w:val="20"/>
                <w:color w:val="auto"/>
              </w:rPr>
            </w:pPr>
            <w:r>
              <w:rPr>
                <w:rFonts w:ascii="Calibri" w:cs="Calibri" w:eastAsia="Calibri" w:hAnsi="Calibri"/>
                <w:sz w:val="13"/>
                <w:szCs w:val="13"/>
                <w:b w:val="1"/>
                <w:bCs w:val="1"/>
                <w:color w:val="auto"/>
              </w:rPr>
              <w:t>118,200,0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line="145" w:lineRule="exact"/>
              <w:rPr>
                <w:sz w:val="20"/>
                <w:szCs w:val="20"/>
                <w:color w:val="auto"/>
              </w:rPr>
            </w:pPr>
            <w:r>
              <w:rPr>
                <w:rFonts w:ascii="Calibri" w:cs="Calibri" w:eastAsia="Calibri" w:hAnsi="Calibri"/>
                <w:sz w:val="13"/>
                <w:szCs w:val="13"/>
                <w:b w:val="1"/>
                <w:bCs w:val="1"/>
                <w:color w:val="auto"/>
              </w:rPr>
              <w:t>(32,49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0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Balances at January 1, 2023</w:t>
            </w:r>
          </w:p>
        </w:tc>
        <w:tc>
          <w:tcPr>
            <w:tcW w:w="12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rPr>
              <w:t>$</w:t>
            </w:r>
          </w:p>
        </w:tc>
        <w:tc>
          <w:tcPr>
            <w:tcW w:w="6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862,860</w:t>
            </w: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82,410,774</w:t>
            </w:r>
          </w:p>
        </w:tc>
        <w:tc>
          <w:tcPr>
            <w:tcW w:w="320" w:type="dxa"/>
            <w:vAlign w:val="bottom"/>
            <w:tcBorders>
              <w:bottom w:val="single" w:sz="8" w:color="CFF0FC"/>
            </w:tcBorders>
            <w:gridSpan w:val="2"/>
            <w:shd w:val="clear" w:color="auto" w:fill="CFF0FC"/>
          </w:tcPr>
          <w:p>
            <w:pPr>
              <w:ind w:left="140"/>
              <w:spacing w:after="0" w:line="149" w:lineRule="exact"/>
              <w:rPr>
                <w:sz w:val="20"/>
                <w:szCs w:val="20"/>
                <w:color w:val="auto"/>
              </w:rPr>
            </w:pPr>
            <w:r>
              <w:rPr>
                <w:rFonts w:ascii="Calibri" w:cs="Calibri" w:eastAsia="Calibri" w:hAnsi="Calibri"/>
                <w:sz w:val="13"/>
                <w:szCs w:val="13"/>
                <w:b w:val="1"/>
                <w:bCs w:val="1"/>
                <w:color w:val="auto"/>
              </w:rPr>
              <w:t>$</w:t>
            </w:r>
          </w:p>
        </w:tc>
        <w:tc>
          <w:tcPr>
            <w:tcW w:w="2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8</w:t>
            </w:r>
          </w:p>
        </w:tc>
        <w:tc>
          <w:tcPr>
            <w:tcW w:w="84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00</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rPr>
              <w:t>$</w:t>
            </w:r>
          </w:p>
        </w:tc>
        <w:tc>
          <w:tcPr>
            <w:tcW w:w="2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12</w:t>
            </w: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6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663,908</w:t>
            </w:r>
          </w:p>
        </w:tc>
        <w:tc>
          <w:tcPr>
            <w:tcW w:w="1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gridSpan w:val="2"/>
            <w:shd w:val="clear" w:color="auto" w:fill="CFF0FC"/>
          </w:tcPr>
          <w:p>
            <w:pPr>
              <w:jc w:val="right"/>
              <w:ind w:right="40"/>
              <w:spacing w:after="0" w:line="149" w:lineRule="exact"/>
              <w:rPr>
                <w:sz w:val="20"/>
                <w:szCs w:val="20"/>
                <w:color w:val="auto"/>
              </w:rPr>
            </w:pPr>
            <w:r>
              <w:rPr>
                <w:rFonts w:ascii="Calibri" w:cs="Calibri" w:eastAsia="Calibri" w:hAnsi="Calibri"/>
                <w:sz w:val="13"/>
                <w:szCs w:val="13"/>
                <w:b w:val="1"/>
                <w:bCs w:val="1"/>
                <w:color w:val="auto"/>
              </w:rPr>
              <w:t>(4,342,477 )</w:t>
            </w:r>
          </w:p>
        </w:tc>
        <w:tc>
          <w:tcPr>
            <w:tcW w:w="12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460" w:type="dxa"/>
            <w:vAlign w:val="bottom"/>
            <w:tcBorders>
              <w:bottom w:val="single" w:sz="8" w:color="CFF0FC"/>
            </w:tcBorders>
            <w:gridSpan w:val="2"/>
            <w:shd w:val="clear" w:color="auto" w:fill="CFF0FC"/>
          </w:tcPr>
          <w:p>
            <w:pPr>
              <w:jc w:val="right"/>
              <w:ind w:right="40"/>
              <w:spacing w:after="0" w:line="149" w:lineRule="exact"/>
              <w:rPr>
                <w:sz w:val="20"/>
                <w:szCs w:val="20"/>
                <w:color w:val="auto"/>
              </w:rPr>
            </w:pPr>
            <w:r>
              <w:rPr>
                <w:rFonts w:ascii="Calibri" w:cs="Calibri" w:eastAsia="Calibri" w:hAnsi="Calibri"/>
                <w:sz w:val="13"/>
                <w:szCs w:val="13"/>
                <w:b w:val="1"/>
                <w:bCs w:val="1"/>
                <w:color w:val="auto"/>
              </w:rPr>
              <w:t>4 )</w:t>
            </w:r>
          </w:p>
        </w:tc>
        <w:tc>
          <w:tcPr>
            <w:tcW w:w="1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70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w w:val="96"/>
              </w:rPr>
              <w:t>(1,014,132 )</w:t>
            </w:r>
          </w:p>
        </w:tc>
        <w:tc>
          <w:tcPr>
            <w:tcW w:w="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0"/>
                <w:szCs w:val="10"/>
                <w:b w:val="1"/>
                <w:bCs w:val="1"/>
                <w:color w:val="auto"/>
                <w:w w:val="77"/>
              </w:rPr>
              <w:t>$</w:t>
            </w:r>
          </w:p>
        </w:tc>
        <w:tc>
          <w:tcPr>
            <w:tcW w:w="760" w:type="dxa"/>
            <w:vAlign w:val="bottom"/>
            <w:tcBorders>
              <w:bottom w:val="single" w:sz="8" w:color="CFF0FC"/>
            </w:tcBorders>
            <w:shd w:val="clear" w:color="auto" w:fill="CFF0FC"/>
          </w:tcPr>
          <w:p>
            <w:pPr>
              <w:ind w:left="620"/>
              <w:spacing w:after="0" w:line="149" w:lineRule="exact"/>
              <w:rPr>
                <w:sz w:val="20"/>
                <w:szCs w:val="20"/>
                <w:color w:val="auto"/>
              </w:rPr>
            </w:pPr>
            <w:r>
              <w:rPr>
                <w:rFonts w:ascii="Calibri" w:cs="Calibri" w:eastAsia="Calibri" w:hAnsi="Calibri"/>
                <w:sz w:val="13"/>
                <w:szCs w:val="13"/>
                <w:b w:val="1"/>
                <w:bCs w:val="1"/>
                <w:color w:val="auto"/>
              </w:rPr>
              <w:t>—</w:t>
            </w:r>
          </w:p>
        </w:tc>
        <w:tc>
          <w:tcPr>
            <w:tcW w:w="320" w:type="dxa"/>
            <w:vAlign w:val="bottom"/>
            <w:tcBorders>
              <w:bottom w:val="single" w:sz="8" w:color="CFF0FC"/>
            </w:tcBorders>
            <w:gridSpan w:val="2"/>
            <w:shd w:val="clear" w:color="auto" w:fill="CFF0FC"/>
          </w:tcPr>
          <w:p>
            <w:pPr>
              <w:ind w:left="220"/>
              <w:spacing w:after="0" w:line="149" w:lineRule="exact"/>
              <w:rPr>
                <w:sz w:val="20"/>
                <w:szCs w:val="20"/>
                <w:color w:val="auto"/>
              </w:rPr>
            </w:pPr>
            <w:r>
              <w:rPr>
                <w:rFonts w:ascii="Calibri" w:cs="Calibri" w:eastAsia="Calibri" w:hAnsi="Calibri"/>
                <w:sz w:val="13"/>
                <w:szCs w:val="13"/>
                <w:b w:val="1"/>
                <w:bCs w:val="1"/>
                <w:color w:val="auto"/>
              </w:rPr>
              <w:t>$</w:t>
            </w:r>
          </w:p>
        </w:tc>
        <w:tc>
          <w:tcPr>
            <w:tcW w:w="62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rPr>
              <w:t>(382,698 )</w:t>
            </w:r>
          </w:p>
        </w:tc>
        <w:tc>
          <w:tcPr>
            <w:tcW w:w="0" w:type="dxa"/>
            <w:vAlign w:val="bottom"/>
          </w:tcPr>
          <w:p>
            <w:pPr>
              <w:spacing w:after="0"/>
              <w:rPr>
                <w:sz w:val="1"/>
                <w:szCs w:val="1"/>
                <w:color w:val="auto"/>
              </w:rPr>
            </w:pPr>
          </w:p>
        </w:tc>
      </w:tr>
      <w:tr>
        <w:trPr>
          <w:trHeight w:val="152"/>
        </w:trPr>
        <w:tc>
          <w:tcPr>
            <w:tcW w:w="2500" w:type="dxa"/>
            <w:vAlign w:val="bottom"/>
          </w:tcPr>
          <w:p>
            <w:pPr>
              <w:ind w:left="20"/>
              <w:spacing w:after="0" w:line="152" w:lineRule="exact"/>
              <w:rPr>
                <w:sz w:val="20"/>
                <w:szCs w:val="20"/>
                <w:color w:val="auto"/>
              </w:rPr>
            </w:pPr>
            <w:r>
              <w:rPr>
                <w:rFonts w:ascii="Calibri" w:cs="Calibri" w:eastAsia="Calibri" w:hAnsi="Calibri"/>
                <w:sz w:val="13"/>
                <w:szCs w:val="13"/>
                <w:color w:val="auto"/>
              </w:rPr>
              <w:t>Net income</w:t>
            </w:r>
          </w:p>
        </w:tc>
        <w:tc>
          <w:tcPr>
            <w:tcW w:w="120" w:type="dxa"/>
            <w:vAlign w:val="bottom"/>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Calibri" w:cs="Calibri" w:eastAsia="Calibri" w:hAnsi="Calibri"/>
                <w:sz w:val="13"/>
                <w:szCs w:val="13"/>
                <w:color w:val="auto"/>
              </w:rPr>
              <w:t>18,090</w:t>
            </w:r>
          </w:p>
        </w:tc>
        <w:tc>
          <w:tcPr>
            <w:tcW w:w="120" w:type="dxa"/>
            <w:vAlign w:val="bottom"/>
          </w:tcPr>
          <w:p>
            <w:pPr>
              <w:spacing w:after="0"/>
              <w:rPr>
                <w:sz w:val="13"/>
                <w:szCs w:val="13"/>
                <w:color w:val="auto"/>
              </w:rPr>
            </w:pPr>
          </w:p>
        </w:tc>
        <w:tc>
          <w:tcPr>
            <w:tcW w:w="80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3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00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4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line="152" w:lineRule="exact"/>
              <w:rPr>
                <w:sz w:val="20"/>
                <w:szCs w:val="20"/>
                <w:color w:val="auto"/>
              </w:rPr>
            </w:pPr>
            <w:r>
              <w:rPr>
                <w:rFonts w:ascii="Calibri" w:cs="Calibri" w:eastAsia="Calibri" w:hAnsi="Calibri"/>
                <w:sz w:val="13"/>
                <w:szCs w:val="13"/>
                <w:color w:val="auto"/>
              </w:rPr>
              <w:t>12,182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ind w:left="620"/>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2" w:lineRule="exact"/>
              <w:rPr>
                <w:sz w:val="20"/>
                <w:szCs w:val="20"/>
                <w:color w:val="auto"/>
              </w:rPr>
            </w:pPr>
            <w:r>
              <w:rPr>
                <w:rFonts w:ascii="Calibri" w:cs="Calibri" w:eastAsia="Calibri" w:hAnsi="Calibri"/>
                <w:sz w:val="13"/>
                <w:szCs w:val="13"/>
                <w:color w:val="auto"/>
              </w:rPr>
              <w:t>12,182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500" w:type="dxa"/>
            <w:vAlign w:val="bottom"/>
            <w:tcBorders>
              <w:bottom w:val="single" w:sz="8" w:color="CFF0FC"/>
            </w:tcBorders>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Issuance of shares</w:t>
            </w: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491,502</w:t>
            </w: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1</w:t>
            </w: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00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ind w:left="620"/>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1</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500" w:type="dxa"/>
            <w:vAlign w:val="bottom"/>
          </w:tcPr>
          <w:p>
            <w:pPr>
              <w:ind w:left="20"/>
              <w:spacing w:after="0" w:line="152" w:lineRule="exact"/>
              <w:rPr>
                <w:sz w:val="20"/>
                <w:szCs w:val="20"/>
                <w:color w:val="auto"/>
              </w:rPr>
            </w:pPr>
            <w:r>
              <w:rPr>
                <w:rFonts w:ascii="Calibri" w:cs="Calibri" w:eastAsia="Calibri" w:hAnsi="Calibri"/>
                <w:sz w:val="13"/>
                <w:szCs w:val="13"/>
                <w:color w:val="auto"/>
              </w:rPr>
              <w:t>Deemed contributon from former parent</w:t>
            </w:r>
          </w:p>
        </w:tc>
        <w:tc>
          <w:tcPr>
            <w:tcW w:w="120" w:type="dxa"/>
            <w:vAlign w:val="bottom"/>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Calibri" w:cs="Calibri" w:eastAsia="Calibri" w:hAnsi="Calibri"/>
                <w:sz w:val="13"/>
                <w:szCs w:val="13"/>
                <w:color w:val="auto"/>
              </w:rPr>
              <w:t>577</w:t>
            </w:r>
          </w:p>
        </w:tc>
        <w:tc>
          <w:tcPr>
            <w:tcW w:w="120" w:type="dxa"/>
            <w:vAlign w:val="bottom"/>
          </w:tcPr>
          <w:p>
            <w:pPr>
              <w:spacing w:after="0"/>
              <w:rPr>
                <w:sz w:val="13"/>
                <w:szCs w:val="13"/>
                <w:color w:val="auto"/>
              </w:rPr>
            </w:pPr>
          </w:p>
        </w:tc>
        <w:tc>
          <w:tcPr>
            <w:tcW w:w="80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3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Calibri" w:cs="Calibri" w:eastAsia="Calibri" w:hAnsi="Calibri"/>
                <w:sz w:val="13"/>
                <w:szCs w:val="13"/>
                <w:color w:val="auto"/>
              </w:rPr>
              <w:t>391</w:t>
            </w:r>
          </w:p>
        </w:tc>
        <w:tc>
          <w:tcPr>
            <w:tcW w:w="120" w:type="dxa"/>
            <w:vAlign w:val="bottom"/>
          </w:tcPr>
          <w:p>
            <w:pPr>
              <w:spacing w:after="0"/>
              <w:rPr>
                <w:sz w:val="13"/>
                <w:szCs w:val="13"/>
                <w:color w:val="auto"/>
              </w:rPr>
            </w:pPr>
          </w:p>
        </w:tc>
        <w:tc>
          <w:tcPr>
            <w:tcW w:w="100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4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60" w:type="dxa"/>
            <w:vAlign w:val="bottom"/>
          </w:tcPr>
          <w:p>
            <w:pPr>
              <w:ind w:left="620"/>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2" w:lineRule="exact"/>
              <w:rPr>
                <w:sz w:val="20"/>
                <w:szCs w:val="20"/>
                <w:color w:val="auto"/>
              </w:rPr>
            </w:pPr>
            <w:r>
              <w:rPr>
                <w:rFonts w:ascii="Calibri" w:cs="Calibri" w:eastAsia="Calibri" w:hAnsi="Calibri"/>
                <w:sz w:val="13"/>
                <w:szCs w:val="13"/>
                <w:color w:val="auto"/>
              </w:rPr>
              <w:t>391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500" w:type="dxa"/>
            <w:vAlign w:val="bottom"/>
            <w:tcBorders>
              <w:bottom w:val="single" w:sz="8" w:color="CFF0FC"/>
            </w:tcBorders>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Equity-based compensaton</w:t>
            </w: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4,615</w:t>
            </w:r>
          </w:p>
        </w:tc>
        <w:tc>
          <w:tcPr>
            <w:tcW w:w="1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ind w:left="620"/>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4,615</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500" w:type="dxa"/>
            <w:vAlign w:val="bottom"/>
          </w:tcPr>
          <w:p>
            <w:pPr>
              <w:ind w:left="20"/>
              <w:spacing w:after="0" w:line="152" w:lineRule="exact"/>
              <w:rPr>
                <w:sz w:val="20"/>
                <w:szCs w:val="20"/>
                <w:color w:val="auto"/>
              </w:rPr>
            </w:pPr>
            <w:r>
              <w:rPr>
                <w:rFonts w:ascii="Calibri" w:cs="Calibri" w:eastAsia="Calibri" w:hAnsi="Calibri"/>
                <w:sz w:val="13"/>
                <w:szCs w:val="13"/>
                <w:color w:val="auto"/>
              </w:rPr>
              <w:t>Repurchases of common stock</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3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000" w:type="dxa"/>
            <w:vAlign w:val="bottom"/>
            <w:gridSpan w:val="2"/>
          </w:tcPr>
          <w:p>
            <w:pPr>
              <w:jc w:val="right"/>
              <w:ind w:right="40"/>
              <w:spacing w:after="0" w:line="152" w:lineRule="exact"/>
              <w:rPr>
                <w:sz w:val="20"/>
                <w:szCs w:val="20"/>
                <w:color w:val="auto"/>
              </w:rPr>
            </w:pPr>
            <w:r>
              <w:rPr>
                <w:rFonts w:ascii="Calibri" w:cs="Calibri" w:eastAsia="Calibri" w:hAnsi="Calibri"/>
                <w:sz w:val="13"/>
                <w:szCs w:val="13"/>
                <w:color w:val="auto"/>
              </w:rPr>
              <w:t>(949,020 )</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line="152" w:lineRule="exact"/>
              <w:rPr>
                <w:sz w:val="20"/>
                <w:szCs w:val="20"/>
                <w:color w:val="auto"/>
              </w:rPr>
            </w:pPr>
            <w:r>
              <w:rPr>
                <w:rFonts w:ascii="Calibri" w:cs="Calibri" w:eastAsia="Calibri" w:hAnsi="Calibri"/>
                <w:sz w:val="13"/>
                <w:szCs w:val="13"/>
                <w:color w:val="auto"/>
                <w:w w:val="98"/>
              </w:rPr>
              <w:t>(7,612 )</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60" w:type="dxa"/>
            <w:vAlign w:val="bottom"/>
          </w:tcPr>
          <w:p>
            <w:pPr>
              <w:ind w:left="620"/>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60"/>
              <w:spacing w:after="0" w:line="152" w:lineRule="exact"/>
              <w:rPr>
                <w:sz w:val="20"/>
                <w:szCs w:val="20"/>
                <w:color w:val="auto"/>
              </w:rPr>
            </w:pPr>
            <w:r>
              <w:rPr>
                <w:rFonts w:ascii="Calibri" w:cs="Calibri" w:eastAsia="Calibri" w:hAnsi="Calibri"/>
                <w:sz w:val="13"/>
                <w:szCs w:val="13"/>
                <w:color w:val="auto"/>
              </w:rPr>
              <w:t>(7,612 )</w:t>
            </w:r>
          </w:p>
        </w:tc>
        <w:tc>
          <w:tcPr>
            <w:tcW w:w="0" w:type="dxa"/>
            <w:vAlign w:val="bottom"/>
          </w:tcPr>
          <w:p>
            <w:pPr>
              <w:spacing w:after="0"/>
              <w:rPr>
                <w:sz w:val="1"/>
                <w:szCs w:val="1"/>
                <w:color w:val="auto"/>
              </w:rPr>
            </w:pPr>
          </w:p>
        </w:tc>
      </w:tr>
      <w:tr>
        <w:trPr>
          <w:trHeight w:val="24"/>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500" w:type="dxa"/>
            <w:vAlign w:val="bottom"/>
            <w:tcBorders>
              <w:bottom w:val="single" w:sz="8" w:color="CFF0FC"/>
            </w:tcBorders>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Distributons to non-controlling interests</w:t>
            </w: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60"/>
              <w:spacing w:after="0" w:line="152" w:lineRule="exact"/>
              <w:rPr>
                <w:sz w:val="20"/>
                <w:szCs w:val="20"/>
                <w:color w:val="auto"/>
              </w:rPr>
            </w:pPr>
            <w:r>
              <w:rPr>
                <w:rFonts w:ascii="Calibri" w:cs="Calibri" w:eastAsia="Calibri" w:hAnsi="Calibri"/>
                <w:sz w:val="13"/>
                <w:szCs w:val="13"/>
                <w:color w:val="auto"/>
              </w:rPr>
              <w:t>(3,816 )</w:t>
            </w:r>
          </w:p>
        </w:tc>
        <w:tc>
          <w:tcPr>
            <w:tcW w:w="8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00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ind w:left="620"/>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52"/>
        </w:trPr>
        <w:tc>
          <w:tcPr>
            <w:tcW w:w="2500" w:type="dxa"/>
            <w:vAlign w:val="bottom"/>
          </w:tcPr>
          <w:p>
            <w:pPr>
              <w:ind w:left="20"/>
              <w:spacing w:after="0" w:line="152" w:lineRule="exact"/>
              <w:rPr>
                <w:sz w:val="20"/>
                <w:szCs w:val="20"/>
                <w:color w:val="auto"/>
              </w:rPr>
            </w:pPr>
            <w:r>
              <w:rPr>
                <w:rFonts w:ascii="Calibri" w:cs="Calibri" w:eastAsia="Calibri" w:hAnsi="Calibri"/>
                <w:sz w:val="13"/>
                <w:szCs w:val="13"/>
                <w:color w:val="auto"/>
              </w:rPr>
              <w:t>Subsequent remeasurement of Redeemable</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Calibri" w:cs="Calibri" w:eastAsia="Calibri" w:hAnsi="Calibri"/>
                <w:sz w:val="13"/>
                <w:szCs w:val="13"/>
                <w:color w:val="auto"/>
              </w:rPr>
              <w:t>24,155</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restart"/>
          </w:tcPr>
          <w:p>
            <w:pPr>
              <w:jc w:val="right"/>
              <w:ind w:right="60"/>
              <w:spacing w:after="0"/>
              <w:rPr>
                <w:sz w:val="20"/>
                <w:szCs w:val="20"/>
                <w:color w:val="auto"/>
              </w:rPr>
            </w:pPr>
            <w:r>
              <w:rPr>
                <w:rFonts w:ascii="Calibri" w:cs="Calibri" w:eastAsia="Calibri" w:hAnsi="Calibri"/>
                <w:sz w:val="13"/>
                <w:szCs w:val="13"/>
                <w:color w:val="auto"/>
              </w:rPr>
              <w:t>(24,155 )</w:t>
            </w:r>
          </w:p>
        </w:tc>
        <w:tc>
          <w:tcPr>
            <w:tcW w:w="1000" w:type="dxa"/>
            <w:vAlign w:val="bottom"/>
            <w:gridSpan w:val="2"/>
            <w:vMerge w:val="restart"/>
          </w:tcPr>
          <w:p>
            <w:pPr>
              <w:jc w:val="right"/>
              <w:ind w:right="120"/>
              <w:spacing w:after="0"/>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460" w:type="dxa"/>
            <w:vAlign w:val="bottom"/>
            <w:gridSpan w:val="2"/>
            <w:vMerge w:val="restart"/>
          </w:tcPr>
          <w:p>
            <w:pPr>
              <w:jc w:val="right"/>
              <w:ind w:right="120"/>
              <w:spacing w:after="0"/>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20"/>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60" w:type="dxa"/>
            <w:vAlign w:val="bottom"/>
            <w:vMerge w:val="restart"/>
          </w:tcPr>
          <w:p>
            <w:pPr>
              <w:ind w:left="620"/>
              <w:spacing w:after="0"/>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restart"/>
          </w:tcPr>
          <w:p>
            <w:pPr>
              <w:jc w:val="right"/>
              <w:ind w:right="60"/>
              <w:spacing w:after="0"/>
              <w:rPr>
                <w:sz w:val="20"/>
                <w:szCs w:val="20"/>
                <w:color w:val="auto"/>
              </w:rPr>
            </w:pPr>
            <w:r>
              <w:rPr>
                <w:rFonts w:ascii="Calibri" w:cs="Calibri" w:eastAsia="Calibri" w:hAnsi="Calibri"/>
                <w:sz w:val="13"/>
                <w:szCs w:val="13"/>
                <w:color w:val="auto"/>
              </w:rPr>
              <w:t>(24,155 )</w:t>
            </w:r>
          </w:p>
        </w:tc>
        <w:tc>
          <w:tcPr>
            <w:tcW w:w="0" w:type="dxa"/>
            <w:vAlign w:val="bottom"/>
          </w:tcPr>
          <w:p>
            <w:pPr>
              <w:spacing w:after="0"/>
              <w:rPr>
                <w:sz w:val="1"/>
                <w:szCs w:val="1"/>
                <w:color w:val="auto"/>
              </w:rPr>
            </w:pPr>
          </w:p>
        </w:tc>
      </w:tr>
      <w:tr>
        <w:trPr>
          <w:trHeight w:val="154"/>
        </w:trPr>
        <w:tc>
          <w:tcPr>
            <w:tcW w:w="2500" w:type="dxa"/>
            <w:vAlign w:val="bottom"/>
          </w:tcPr>
          <w:p>
            <w:pPr>
              <w:ind w:left="20"/>
              <w:spacing w:after="0" w:line="149" w:lineRule="exact"/>
              <w:rPr>
                <w:sz w:val="20"/>
                <w:szCs w:val="20"/>
                <w:color w:val="auto"/>
              </w:rPr>
            </w:pPr>
            <w:r>
              <w:rPr>
                <w:rFonts w:ascii="Calibri" w:cs="Calibri" w:eastAsia="Calibri" w:hAnsi="Calibri"/>
                <w:sz w:val="13"/>
                <w:szCs w:val="13"/>
                <w:color w:val="auto"/>
              </w:rPr>
              <w:t>noncontrolling interests</w:t>
            </w: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5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118,200,0</w:t>
            </w: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(40,10</w:t>
            </w: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5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b w:val="1"/>
                <w:bCs w:val="1"/>
                <w:color w:val="auto"/>
              </w:rPr>
              <w:t>Balances at March 31, 2023</w:t>
            </w:r>
          </w:p>
        </w:tc>
        <w:tc>
          <w:tcPr>
            <w:tcW w:w="12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rPr>
              <w:t>$</w:t>
            </w:r>
          </w:p>
        </w:tc>
        <w:tc>
          <w:tcPr>
            <w:tcW w:w="6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901,866</w:t>
            </w: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82,902,276</w:t>
            </w:r>
          </w:p>
        </w:tc>
        <w:tc>
          <w:tcPr>
            <w:tcW w:w="320" w:type="dxa"/>
            <w:vAlign w:val="bottom"/>
            <w:tcBorders>
              <w:bottom w:val="single" w:sz="8" w:color="CFF0FC"/>
            </w:tcBorders>
            <w:gridSpan w:val="2"/>
            <w:shd w:val="clear" w:color="auto" w:fill="CFF0FC"/>
          </w:tcPr>
          <w:p>
            <w:pPr>
              <w:ind w:left="140"/>
              <w:spacing w:after="0" w:line="149" w:lineRule="exact"/>
              <w:rPr>
                <w:sz w:val="20"/>
                <w:szCs w:val="20"/>
                <w:color w:val="auto"/>
              </w:rPr>
            </w:pPr>
            <w:r>
              <w:rPr>
                <w:rFonts w:ascii="Calibri" w:cs="Calibri" w:eastAsia="Calibri" w:hAnsi="Calibri"/>
                <w:sz w:val="13"/>
                <w:szCs w:val="13"/>
                <w:b w:val="1"/>
                <w:bCs w:val="1"/>
                <w:color w:val="auto"/>
              </w:rPr>
              <w:t>$</w:t>
            </w:r>
          </w:p>
        </w:tc>
        <w:tc>
          <w:tcPr>
            <w:tcW w:w="2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9</w:t>
            </w:r>
          </w:p>
        </w:tc>
        <w:tc>
          <w:tcPr>
            <w:tcW w:w="84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rPr>
              <w:t>$</w:t>
            </w:r>
          </w:p>
        </w:tc>
        <w:tc>
          <w:tcPr>
            <w:tcW w:w="2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12</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6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644,759</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gridSpan w:val="2"/>
            <w:shd w:val="clear" w:color="auto" w:fill="CFF0FC"/>
          </w:tcPr>
          <w:p>
            <w:pPr>
              <w:jc w:val="right"/>
              <w:ind w:right="40"/>
              <w:spacing w:after="0" w:line="149" w:lineRule="exact"/>
              <w:rPr>
                <w:sz w:val="20"/>
                <w:szCs w:val="20"/>
                <w:color w:val="auto"/>
              </w:rPr>
            </w:pPr>
            <w:r>
              <w:rPr>
                <w:rFonts w:ascii="Calibri" w:cs="Calibri" w:eastAsia="Calibri" w:hAnsi="Calibri"/>
                <w:sz w:val="13"/>
                <w:szCs w:val="13"/>
                <w:b w:val="1"/>
                <w:bCs w:val="1"/>
                <w:color w:val="auto"/>
              </w:rPr>
              <w:t>(5,291,497 )</w:t>
            </w:r>
          </w:p>
        </w:tc>
        <w:tc>
          <w:tcPr>
            <w:tcW w:w="12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460" w:type="dxa"/>
            <w:vAlign w:val="bottom"/>
            <w:tcBorders>
              <w:bottom w:val="single" w:sz="8" w:color="CFF0FC"/>
            </w:tcBorders>
            <w:gridSpan w:val="2"/>
            <w:shd w:val="clear" w:color="auto" w:fill="CFF0FC"/>
          </w:tcPr>
          <w:p>
            <w:pPr>
              <w:jc w:val="right"/>
              <w:ind w:right="40"/>
              <w:spacing w:after="0" w:line="149" w:lineRule="exact"/>
              <w:rPr>
                <w:sz w:val="20"/>
                <w:szCs w:val="20"/>
                <w:color w:val="auto"/>
              </w:rPr>
            </w:pPr>
            <w:r>
              <w:rPr>
                <w:rFonts w:ascii="Calibri" w:cs="Calibri" w:eastAsia="Calibri" w:hAnsi="Calibri"/>
                <w:sz w:val="13"/>
                <w:szCs w:val="13"/>
                <w:b w:val="1"/>
                <w:bCs w:val="1"/>
                <w:color w:val="auto"/>
              </w:rPr>
              <w:t>6 )</w:t>
            </w:r>
          </w:p>
        </w:tc>
        <w:tc>
          <w:tcPr>
            <w:tcW w:w="1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70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w w:val="96"/>
              </w:rPr>
              <w:t>(1,001,950 )</w:t>
            </w:r>
          </w:p>
        </w:tc>
        <w:tc>
          <w:tcPr>
            <w:tcW w:w="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0"/>
                <w:szCs w:val="10"/>
                <w:b w:val="1"/>
                <w:bCs w:val="1"/>
                <w:color w:val="auto"/>
                <w:w w:val="77"/>
              </w:rPr>
              <w:t>$</w:t>
            </w:r>
          </w:p>
        </w:tc>
        <w:tc>
          <w:tcPr>
            <w:tcW w:w="760" w:type="dxa"/>
            <w:vAlign w:val="bottom"/>
            <w:tcBorders>
              <w:bottom w:val="single" w:sz="8" w:color="CFF0FC"/>
            </w:tcBorders>
            <w:shd w:val="clear" w:color="auto" w:fill="CFF0FC"/>
          </w:tcPr>
          <w:p>
            <w:pPr>
              <w:ind w:left="620"/>
              <w:spacing w:after="0" w:line="149" w:lineRule="exact"/>
              <w:rPr>
                <w:sz w:val="20"/>
                <w:szCs w:val="20"/>
                <w:color w:val="auto"/>
              </w:rPr>
            </w:pPr>
            <w:r>
              <w:rPr>
                <w:rFonts w:ascii="Calibri" w:cs="Calibri" w:eastAsia="Calibri" w:hAnsi="Calibri"/>
                <w:sz w:val="13"/>
                <w:szCs w:val="13"/>
                <w:b w:val="1"/>
                <w:bCs w:val="1"/>
                <w:color w:val="auto"/>
              </w:rPr>
              <w:t>—</w:t>
            </w:r>
          </w:p>
        </w:tc>
        <w:tc>
          <w:tcPr>
            <w:tcW w:w="320" w:type="dxa"/>
            <w:vAlign w:val="bottom"/>
            <w:tcBorders>
              <w:bottom w:val="single" w:sz="8" w:color="CFF0FC"/>
            </w:tcBorders>
            <w:gridSpan w:val="2"/>
            <w:shd w:val="clear" w:color="auto" w:fill="CFF0FC"/>
          </w:tcPr>
          <w:p>
            <w:pPr>
              <w:ind w:left="220"/>
              <w:spacing w:after="0" w:line="149" w:lineRule="exact"/>
              <w:rPr>
                <w:sz w:val="20"/>
                <w:szCs w:val="20"/>
                <w:color w:val="auto"/>
              </w:rPr>
            </w:pPr>
            <w:r>
              <w:rPr>
                <w:rFonts w:ascii="Calibri" w:cs="Calibri" w:eastAsia="Calibri" w:hAnsi="Calibri"/>
                <w:sz w:val="13"/>
                <w:szCs w:val="13"/>
                <w:b w:val="1"/>
                <w:bCs w:val="1"/>
                <w:color w:val="auto"/>
              </w:rPr>
              <w:t>$</w:t>
            </w:r>
          </w:p>
        </w:tc>
        <w:tc>
          <w:tcPr>
            <w:tcW w:w="62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rPr>
              <w:t>(397,276 )</w:t>
            </w:r>
          </w:p>
        </w:tc>
        <w:tc>
          <w:tcPr>
            <w:tcW w:w="0" w:type="dxa"/>
            <w:vAlign w:val="bottom"/>
          </w:tcPr>
          <w:p>
            <w:pPr>
              <w:spacing w:after="0"/>
              <w:rPr>
                <w:sz w:val="1"/>
                <w:szCs w:val="1"/>
                <w:color w:val="auto"/>
              </w:rPr>
            </w:pPr>
          </w:p>
        </w:tc>
      </w:tr>
      <w:tr>
        <w:trPr>
          <w:trHeight w:val="132"/>
        </w:trPr>
        <w:tc>
          <w:tcPr>
            <w:tcW w:w="2500" w:type="dxa"/>
            <w:vAlign w:val="bottom"/>
            <w:tcBorders>
              <w:top w:val="single" w:sz="8" w:color="CFF0FC"/>
            </w:tcBorders>
          </w:tcPr>
          <w:p>
            <w:pPr>
              <w:ind w:left="20"/>
              <w:spacing w:after="0" w:line="132" w:lineRule="exact"/>
              <w:rPr>
                <w:sz w:val="20"/>
                <w:szCs w:val="20"/>
                <w:color w:val="auto"/>
              </w:rPr>
            </w:pPr>
            <w:r>
              <w:rPr>
                <w:rFonts w:ascii="Calibri" w:cs="Calibri" w:eastAsia="Calibri" w:hAnsi="Calibri"/>
                <w:sz w:val="13"/>
                <w:szCs w:val="13"/>
                <w:color w:val="auto"/>
              </w:rPr>
              <w:t>Net income</w:t>
            </w: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7,614</w:t>
            </w:r>
          </w:p>
        </w:tc>
        <w:tc>
          <w:tcPr>
            <w:tcW w:w="12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1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12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120" w:type="dxa"/>
            <w:vAlign w:val="bottom"/>
            <w:tcBorders>
              <w:top w:val="single" w:sz="8" w:color="CFF0FC"/>
            </w:tcBorders>
          </w:tcPr>
          <w:p>
            <w:pPr>
              <w:spacing w:after="0"/>
              <w:rPr>
                <w:sz w:val="11"/>
                <w:szCs w:val="11"/>
                <w:color w:val="auto"/>
              </w:rPr>
            </w:pPr>
          </w:p>
        </w:tc>
        <w:tc>
          <w:tcPr>
            <w:tcW w:w="90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30,712</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ind w:left="620"/>
              <w:spacing w:after="0" w:line="132" w:lineRule="exact"/>
              <w:rPr>
                <w:sz w:val="20"/>
                <w:szCs w:val="20"/>
                <w:color w:val="auto"/>
              </w:rPr>
            </w:pPr>
            <w:r>
              <w:rPr>
                <w:rFonts w:ascii="Calibri" w:cs="Calibri" w:eastAsia="Calibri" w:hAnsi="Calibri"/>
                <w:sz w:val="13"/>
                <w:szCs w:val="13"/>
                <w:color w:val="auto"/>
              </w:rPr>
              <w:t>—</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30,712</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500" w:type="dxa"/>
            <w:vAlign w:val="bottom"/>
            <w:tcBorders>
              <w:bottom w:val="single" w:sz="8" w:color="CFF0FC"/>
            </w:tcBorders>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Issuance of shares</w:t>
            </w: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309,529</w:t>
            </w: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00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ind w:left="620"/>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51"/>
        </w:trPr>
        <w:tc>
          <w:tcPr>
            <w:tcW w:w="2500" w:type="dxa"/>
            <w:vAlign w:val="bottom"/>
          </w:tcPr>
          <w:p>
            <w:pPr>
              <w:ind w:left="20"/>
              <w:spacing w:after="0" w:line="152" w:lineRule="exact"/>
              <w:rPr>
                <w:sz w:val="20"/>
                <w:szCs w:val="20"/>
                <w:color w:val="auto"/>
              </w:rPr>
            </w:pPr>
            <w:r>
              <w:rPr>
                <w:rFonts w:ascii="Calibri" w:cs="Calibri" w:eastAsia="Calibri" w:hAnsi="Calibri"/>
                <w:sz w:val="13"/>
                <w:szCs w:val="13"/>
                <w:color w:val="auto"/>
              </w:rPr>
              <w:t>Deemed contributon from former parent</w:t>
            </w:r>
          </w:p>
        </w:tc>
        <w:tc>
          <w:tcPr>
            <w:tcW w:w="120" w:type="dxa"/>
            <w:vAlign w:val="bottom"/>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Calibri" w:cs="Calibri" w:eastAsia="Calibri" w:hAnsi="Calibri"/>
                <w:sz w:val="13"/>
                <w:szCs w:val="13"/>
                <w:color w:val="auto"/>
              </w:rPr>
              <w:t>544</w:t>
            </w:r>
          </w:p>
        </w:tc>
        <w:tc>
          <w:tcPr>
            <w:tcW w:w="120" w:type="dxa"/>
            <w:vAlign w:val="bottom"/>
          </w:tcPr>
          <w:p>
            <w:pPr>
              <w:spacing w:after="0"/>
              <w:rPr>
                <w:sz w:val="13"/>
                <w:szCs w:val="13"/>
                <w:color w:val="auto"/>
              </w:rPr>
            </w:pPr>
          </w:p>
        </w:tc>
        <w:tc>
          <w:tcPr>
            <w:tcW w:w="80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3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Calibri" w:cs="Calibri" w:eastAsia="Calibri" w:hAnsi="Calibri"/>
                <w:sz w:val="13"/>
                <w:szCs w:val="13"/>
                <w:color w:val="auto"/>
              </w:rPr>
              <w:t>431</w:t>
            </w:r>
          </w:p>
        </w:tc>
        <w:tc>
          <w:tcPr>
            <w:tcW w:w="120" w:type="dxa"/>
            <w:vAlign w:val="bottom"/>
          </w:tcPr>
          <w:p>
            <w:pPr>
              <w:spacing w:after="0"/>
              <w:rPr>
                <w:sz w:val="13"/>
                <w:szCs w:val="13"/>
                <w:color w:val="auto"/>
              </w:rPr>
            </w:pPr>
          </w:p>
        </w:tc>
        <w:tc>
          <w:tcPr>
            <w:tcW w:w="100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4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60" w:type="dxa"/>
            <w:vAlign w:val="bottom"/>
          </w:tcPr>
          <w:p>
            <w:pPr>
              <w:ind w:left="620"/>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2" w:lineRule="exact"/>
              <w:rPr>
                <w:sz w:val="20"/>
                <w:szCs w:val="20"/>
                <w:color w:val="auto"/>
              </w:rPr>
            </w:pPr>
            <w:r>
              <w:rPr>
                <w:rFonts w:ascii="Calibri" w:cs="Calibri" w:eastAsia="Calibri" w:hAnsi="Calibri"/>
                <w:sz w:val="13"/>
                <w:szCs w:val="13"/>
                <w:color w:val="auto"/>
              </w:rPr>
              <w:t>431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(18,400,00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0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Secondary Ofering of Class A common stock</w:t>
            </w: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(145,064 )</w:t>
            </w:r>
          </w:p>
        </w:tc>
        <w:tc>
          <w:tcPr>
            <w:tcW w:w="8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18,400,000</w:t>
            </w: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2</w:t>
            </w:r>
          </w:p>
        </w:tc>
        <w:tc>
          <w:tcPr>
            <w:tcW w:w="960" w:type="dxa"/>
            <w:vAlign w:val="bottom"/>
            <w:tcBorders>
              <w:bottom w:val="single" w:sz="8" w:color="CFF0FC"/>
            </w:tcBorders>
            <w:gridSpan w:val="3"/>
            <w:shd w:val="clear" w:color="auto" w:fill="CFF0FC"/>
          </w:tcPr>
          <w:p>
            <w:pPr>
              <w:jc w:val="right"/>
              <w:ind w:right="80"/>
              <w:spacing w:after="0" w:line="149" w:lineRule="exact"/>
              <w:rPr>
                <w:sz w:val="20"/>
                <w:szCs w:val="20"/>
                <w:color w:val="auto"/>
              </w:rPr>
            </w:pPr>
            <w:r>
              <w:rPr>
                <w:rFonts w:ascii="Calibri" w:cs="Calibri" w:eastAsia="Calibri" w:hAnsi="Calibri"/>
                <w:sz w:val="13"/>
                <w:szCs w:val="13"/>
                <w:color w:val="auto"/>
              </w:rPr>
              <w:t>0 )</w:t>
            </w:r>
          </w:p>
        </w:tc>
        <w:tc>
          <w:tcPr>
            <w:tcW w:w="10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(2 )</w:t>
            </w:r>
          </w:p>
        </w:tc>
        <w:tc>
          <w:tcPr>
            <w:tcW w:w="8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145,064</w:t>
            </w:r>
          </w:p>
        </w:tc>
        <w:tc>
          <w:tcPr>
            <w:tcW w:w="1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ind w:left="620"/>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145,064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500" w:type="dxa"/>
            <w:vAlign w:val="bottom"/>
          </w:tcPr>
          <w:p>
            <w:pPr>
              <w:ind w:left="20"/>
              <w:spacing w:after="0" w:line="152" w:lineRule="exact"/>
              <w:rPr>
                <w:sz w:val="20"/>
                <w:szCs w:val="20"/>
                <w:color w:val="auto"/>
              </w:rPr>
            </w:pPr>
            <w:r>
              <w:rPr>
                <w:rFonts w:ascii="Calibri" w:cs="Calibri" w:eastAsia="Calibri" w:hAnsi="Calibri"/>
                <w:sz w:val="13"/>
                <w:szCs w:val="13"/>
                <w:color w:val="auto"/>
              </w:rPr>
              <w:t>Equity-based compensaton</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3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Calibri" w:cs="Calibri" w:eastAsia="Calibri" w:hAnsi="Calibri"/>
                <w:sz w:val="13"/>
                <w:szCs w:val="13"/>
                <w:color w:val="auto"/>
              </w:rPr>
              <w:t>6,524</w:t>
            </w:r>
          </w:p>
        </w:tc>
        <w:tc>
          <w:tcPr>
            <w:tcW w:w="120" w:type="dxa"/>
            <w:vAlign w:val="bottom"/>
          </w:tcPr>
          <w:p>
            <w:pPr>
              <w:spacing w:after="0"/>
              <w:rPr>
                <w:sz w:val="13"/>
                <w:szCs w:val="13"/>
                <w:color w:val="auto"/>
              </w:rPr>
            </w:pPr>
          </w:p>
        </w:tc>
        <w:tc>
          <w:tcPr>
            <w:tcW w:w="100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4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60" w:type="dxa"/>
            <w:vAlign w:val="bottom"/>
          </w:tcPr>
          <w:p>
            <w:pPr>
              <w:ind w:left="620"/>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2" w:lineRule="exact"/>
              <w:rPr>
                <w:sz w:val="20"/>
                <w:szCs w:val="20"/>
                <w:color w:val="auto"/>
              </w:rPr>
            </w:pPr>
            <w:r>
              <w:rPr>
                <w:rFonts w:ascii="Calibri" w:cs="Calibri" w:eastAsia="Calibri" w:hAnsi="Calibri"/>
                <w:sz w:val="13"/>
                <w:szCs w:val="13"/>
                <w:color w:val="auto"/>
              </w:rPr>
              <w:t>6,524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500" w:type="dxa"/>
            <w:vAlign w:val="bottom"/>
            <w:tcBorders>
              <w:bottom w:val="single" w:sz="8" w:color="CFF0FC"/>
            </w:tcBorders>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Distributons to non-controlling interests</w:t>
            </w: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60"/>
              <w:spacing w:after="0" w:line="152" w:lineRule="exact"/>
              <w:rPr>
                <w:sz w:val="20"/>
                <w:szCs w:val="20"/>
                <w:color w:val="auto"/>
              </w:rPr>
            </w:pPr>
            <w:r>
              <w:rPr>
                <w:rFonts w:ascii="Calibri" w:cs="Calibri" w:eastAsia="Calibri" w:hAnsi="Calibri"/>
                <w:sz w:val="13"/>
                <w:szCs w:val="13"/>
                <w:color w:val="auto"/>
              </w:rPr>
              <w:t>(7,200 )</w:t>
            </w:r>
          </w:p>
        </w:tc>
        <w:tc>
          <w:tcPr>
            <w:tcW w:w="8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00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ind w:left="620"/>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52"/>
        </w:trPr>
        <w:tc>
          <w:tcPr>
            <w:tcW w:w="2500" w:type="dxa"/>
            <w:vAlign w:val="bottom"/>
          </w:tcPr>
          <w:p>
            <w:pPr>
              <w:ind w:left="20"/>
              <w:spacing w:after="0" w:line="152" w:lineRule="exact"/>
              <w:rPr>
                <w:sz w:val="20"/>
                <w:szCs w:val="20"/>
                <w:color w:val="auto"/>
              </w:rPr>
            </w:pPr>
            <w:r>
              <w:rPr>
                <w:rFonts w:ascii="Calibri" w:cs="Calibri" w:eastAsia="Calibri" w:hAnsi="Calibri"/>
                <w:sz w:val="13"/>
                <w:szCs w:val="13"/>
                <w:color w:val="auto"/>
              </w:rPr>
              <w:t>Subsequent remeasurement of Redeemable</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00" w:type="dxa"/>
            <w:vAlign w:val="bottom"/>
          </w:tcPr>
          <w:p>
            <w:pPr>
              <w:ind w:left="20"/>
              <w:spacing w:after="0" w:line="149" w:lineRule="exact"/>
              <w:rPr>
                <w:sz w:val="20"/>
                <w:szCs w:val="20"/>
                <w:color w:val="auto"/>
              </w:rPr>
            </w:pPr>
            <w:r>
              <w:rPr>
                <w:rFonts w:ascii="Calibri" w:cs="Calibri" w:eastAsia="Calibri" w:hAnsi="Calibri"/>
                <w:sz w:val="13"/>
                <w:szCs w:val="13"/>
                <w:color w:val="auto"/>
              </w:rPr>
              <w:t>noncontrolling interests</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Calibri" w:cs="Calibri" w:eastAsia="Calibri" w:hAnsi="Calibri"/>
                <w:sz w:val="13"/>
                <w:szCs w:val="13"/>
                <w:color w:val="auto"/>
              </w:rPr>
              <w:t>32,656</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(32,656 )</w:t>
            </w:r>
          </w:p>
        </w:tc>
        <w:tc>
          <w:tcPr>
            <w:tcW w:w="100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760" w:type="dxa"/>
            <w:vAlign w:val="bottom"/>
          </w:tcPr>
          <w:p>
            <w:pPr>
              <w:ind w:left="620"/>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(32,656 )</w:t>
            </w:r>
          </w:p>
        </w:tc>
        <w:tc>
          <w:tcPr>
            <w:tcW w:w="0" w:type="dxa"/>
            <w:vAlign w:val="bottom"/>
          </w:tcPr>
          <w:p>
            <w:pPr>
              <w:spacing w:after="0"/>
              <w:rPr>
                <w:sz w:val="1"/>
                <w:szCs w:val="1"/>
                <w:color w:val="auto"/>
              </w:rPr>
            </w:pPr>
          </w:p>
        </w:tc>
      </w:tr>
      <w:tr>
        <w:trPr>
          <w:trHeight w:val="24"/>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500" w:type="dxa"/>
            <w:vAlign w:val="bottom"/>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Establishment of liabilites under the Tax</w:t>
            </w:r>
          </w:p>
        </w:tc>
        <w:tc>
          <w:tcPr>
            <w:tcW w:w="12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Calibri" w:cs="Calibri" w:eastAsia="Calibri" w:hAnsi="Calibri"/>
                <w:sz w:val="13"/>
                <w:szCs w:val="13"/>
                <w:color w:val="auto"/>
              </w:rPr>
              <w:t>—</w:t>
            </w:r>
          </w:p>
        </w:tc>
        <w:tc>
          <w:tcPr>
            <w:tcW w:w="80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vMerge w:val="restart"/>
            <w:shd w:val="clear" w:color="auto" w:fill="CFF0FC"/>
          </w:tcPr>
          <w:p>
            <w:pPr>
              <w:jc w:val="right"/>
              <w:ind w:right="140"/>
              <w:spacing w:after="0"/>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360" w:type="dxa"/>
            <w:vAlign w:val="bottom"/>
            <w:gridSpan w:val="2"/>
            <w:vMerge w:val="restart"/>
            <w:shd w:val="clear" w:color="auto" w:fill="CFF0FC"/>
          </w:tcPr>
          <w:p>
            <w:pPr>
              <w:jc w:val="right"/>
              <w:ind w:right="120"/>
              <w:spacing w:after="0"/>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60"/>
              <w:spacing w:after="0"/>
              <w:rPr>
                <w:sz w:val="20"/>
                <w:szCs w:val="20"/>
                <w:color w:val="auto"/>
              </w:rPr>
            </w:pPr>
            <w:r>
              <w:rPr>
                <w:rFonts w:ascii="Calibri" w:cs="Calibri" w:eastAsia="Calibri" w:hAnsi="Calibri"/>
                <w:sz w:val="13"/>
                <w:szCs w:val="13"/>
                <w:color w:val="auto"/>
              </w:rPr>
              <w:t>(46,132 )</w:t>
            </w:r>
          </w:p>
        </w:tc>
        <w:tc>
          <w:tcPr>
            <w:tcW w:w="1000" w:type="dxa"/>
            <w:vAlign w:val="bottom"/>
            <w:gridSpan w:val="2"/>
            <w:vMerge w:val="restart"/>
            <w:shd w:val="clear" w:color="auto" w:fill="CFF0FC"/>
          </w:tcPr>
          <w:p>
            <w:pPr>
              <w:jc w:val="right"/>
              <w:ind w:right="120"/>
              <w:spacing w:after="0"/>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3"/>
                <w:szCs w:val="13"/>
                <w:color w:val="auto"/>
              </w:rPr>
            </w:pPr>
          </w:p>
        </w:tc>
        <w:tc>
          <w:tcPr>
            <w:tcW w:w="460" w:type="dxa"/>
            <w:vAlign w:val="bottom"/>
            <w:gridSpan w:val="2"/>
            <w:vMerge w:val="restart"/>
            <w:shd w:val="clear" w:color="auto" w:fill="CFF0FC"/>
          </w:tcPr>
          <w:p>
            <w:pPr>
              <w:jc w:val="right"/>
              <w:ind w:right="120"/>
              <w:spacing w:after="0"/>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3"/>
                <w:szCs w:val="13"/>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ind w:left="620"/>
              <w:spacing w:after="0"/>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gridSpan w:val="2"/>
            <w:vMerge w:val="restart"/>
            <w:shd w:val="clear" w:color="auto" w:fill="CFF0FC"/>
          </w:tcPr>
          <w:p>
            <w:pPr>
              <w:jc w:val="right"/>
              <w:ind w:right="60"/>
              <w:spacing w:after="0"/>
              <w:rPr>
                <w:sz w:val="20"/>
                <w:szCs w:val="20"/>
                <w:color w:val="auto"/>
              </w:rPr>
            </w:pPr>
            <w:r>
              <w:rPr>
                <w:rFonts w:ascii="Calibri" w:cs="Calibri" w:eastAsia="Calibri" w:hAnsi="Calibri"/>
                <w:sz w:val="13"/>
                <w:szCs w:val="13"/>
                <w:color w:val="auto"/>
              </w:rPr>
              <w:t>(46,132 )</w:t>
            </w: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w w:val="98"/>
              </w:rPr>
              <w:t>Receivable Agreement, net of tax and other tax</w:t>
            </w:r>
          </w:p>
        </w:tc>
        <w:tc>
          <w:tcPr>
            <w:tcW w:w="120" w:type="dxa"/>
            <w:vAlign w:val="bottom"/>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80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50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impact of the Secondary Ofering (Note 17)</w:t>
            </w:r>
          </w:p>
        </w:tc>
        <w:tc>
          <w:tcPr>
            <w:tcW w:w="12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tcPr>
          <w:p>
            <w:pPr>
              <w:jc w:val="right"/>
              <w:spacing w:after="0" w:line="151" w:lineRule="exact"/>
              <w:rPr>
                <w:sz w:val="20"/>
                <w:szCs w:val="20"/>
                <w:color w:val="auto"/>
              </w:rPr>
            </w:pPr>
            <w:r>
              <w:rPr>
                <w:rFonts w:ascii="Calibri" w:cs="Calibri" w:eastAsia="Calibri" w:hAnsi="Calibri"/>
                <w:sz w:val="13"/>
                <w:szCs w:val="13"/>
                <w:b w:val="1"/>
                <w:bCs w:val="1"/>
                <w:color w:val="auto"/>
              </w:rPr>
              <w:t>99,800,00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line="151" w:lineRule="exact"/>
              <w:rPr>
                <w:sz w:val="20"/>
                <w:szCs w:val="20"/>
                <w:color w:val="auto"/>
              </w:rPr>
            </w:pPr>
            <w:r>
              <w:rPr>
                <w:rFonts w:ascii="Calibri" w:cs="Calibri" w:eastAsia="Calibri" w:hAnsi="Calibri"/>
                <w:sz w:val="13"/>
                <w:szCs w:val="13"/>
                <w:b w:val="1"/>
                <w:bCs w:val="1"/>
                <w:color w:val="auto"/>
              </w:rPr>
              <w:t>(40,10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Calibri" w:cs="Calibri" w:eastAsia="Calibri" w:hAnsi="Calibri"/>
                <w:sz w:val="13"/>
                <w:szCs w:val="13"/>
                <w:b w:val="1"/>
                <w:bCs w:val="1"/>
                <w:color w:val="auto"/>
              </w:rPr>
              <w:t>Balances at June 30, 2023</w:t>
            </w:r>
          </w:p>
        </w:tc>
        <w:tc>
          <w:tcPr>
            <w:tcW w:w="120" w:type="dxa"/>
            <w:vAlign w:val="bottom"/>
          </w:tcPr>
          <w:p>
            <w:pPr>
              <w:spacing w:after="0" w:line="149" w:lineRule="exact"/>
              <w:rPr>
                <w:sz w:val="20"/>
                <w:szCs w:val="20"/>
                <w:color w:val="auto"/>
              </w:rPr>
            </w:pPr>
            <w:r>
              <w:rPr>
                <w:rFonts w:ascii="Calibri" w:cs="Calibri" w:eastAsia="Calibri" w:hAnsi="Calibri"/>
                <w:sz w:val="13"/>
                <w:szCs w:val="13"/>
                <w:b w:val="1"/>
                <w:bCs w:val="1"/>
                <w:color w:val="auto"/>
              </w:rPr>
              <w:t>$</w:t>
            </w:r>
          </w:p>
        </w:tc>
        <w:tc>
          <w:tcPr>
            <w:tcW w:w="66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790,416</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101,611,805</w:t>
            </w:r>
          </w:p>
        </w:tc>
        <w:tc>
          <w:tcPr>
            <w:tcW w:w="320" w:type="dxa"/>
            <w:vAlign w:val="bottom"/>
            <w:gridSpan w:val="2"/>
          </w:tcPr>
          <w:p>
            <w:pPr>
              <w:ind w:left="140"/>
              <w:spacing w:after="0" w:line="149" w:lineRule="exact"/>
              <w:rPr>
                <w:sz w:val="20"/>
                <w:szCs w:val="20"/>
                <w:color w:val="auto"/>
              </w:rPr>
            </w:pPr>
            <w:r>
              <w:rPr>
                <w:rFonts w:ascii="Calibri" w:cs="Calibri" w:eastAsia="Calibri" w:hAnsi="Calibri"/>
                <w:sz w:val="13"/>
                <w:szCs w:val="13"/>
                <w:b w:val="1"/>
                <w:bCs w:val="1"/>
                <w:color w:val="auto"/>
              </w:rPr>
              <w:t>$</w:t>
            </w:r>
          </w:p>
        </w:tc>
        <w:tc>
          <w:tcPr>
            <w:tcW w:w="26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11</w:t>
            </w:r>
          </w:p>
        </w:tc>
        <w:tc>
          <w:tcPr>
            <w:tcW w:w="840" w:type="dxa"/>
            <w:vAlign w:val="bottom"/>
            <w:gridSpan w:val="2"/>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1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Calibri" w:cs="Calibri" w:eastAsia="Calibri" w:hAnsi="Calibri"/>
                <w:sz w:val="13"/>
                <w:szCs w:val="13"/>
                <w:b w:val="1"/>
                <w:bCs w:val="1"/>
                <w:color w:val="auto"/>
              </w:rPr>
              <w:t>$</w:t>
            </w:r>
          </w:p>
        </w:tc>
        <w:tc>
          <w:tcPr>
            <w:tcW w:w="26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10</w:t>
            </w:r>
          </w:p>
        </w:tc>
        <w:tc>
          <w:tcPr>
            <w:tcW w:w="1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66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717,990</w:t>
            </w:r>
          </w:p>
        </w:tc>
        <w:tc>
          <w:tcPr>
            <w:tcW w:w="12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Calibri" w:cs="Calibri" w:eastAsia="Calibri" w:hAnsi="Calibri"/>
                <w:sz w:val="13"/>
                <w:szCs w:val="13"/>
                <w:b w:val="1"/>
                <w:bCs w:val="1"/>
                <w:color w:val="auto"/>
              </w:rPr>
              <w:t>(5,291,497 )</w:t>
            </w:r>
          </w:p>
        </w:tc>
        <w:tc>
          <w:tcPr>
            <w:tcW w:w="120" w:type="dxa"/>
            <w:vAlign w:val="bottom"/>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460" w:type="dxa"/>
            <w:vAlign w:val="bottom"/>
            <w:gridSpan w:val="2"/>
          </w:tcPr>
          <w:p>
            <w:pPr>
              <w:jc w:val="right"/>
              <w:ind w:right="40"/>
              <w:spacing w:after="0" w:line="149" w:lineRule="exact"/>
              <w:rPr>
                <w:sz w:val="20"/>
                <w:szCs w:val="20"/>
                <w:color w:val="auto"/>
              </w:rPr>
            </w:pPr>
            <w:r>
              <w:rPr>
                <w:rFonts w:ascii="Calibri" w:cs="Calibri" w:eastAsia="Calibri" w:hAnsi="Calibri"/>
                <w:sz w:val="13"/>
                <w:szCs w:val="13"/>
                <w:b w:val="1"/>
                <w:bCs w:val="1"/>
                <w:color w:val="auto"/>
              </w:rPr>
              <w:t>6 )</w:t>
            </w:r>
          </w:p>
        </w:tc>
        <w:tc>
          <w:tcPr>
            <w:tcW w:w="12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7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b w:val="1"/>
                <w:bCs w:val="1"/>
                <w:color w:val="auto"/>
              </w:rPr>
              <w:t>(971,238 )</w:t>
            </w:r>
          </w:p>
        </w:tc>
        <w:tc>
          <w:tcPr>
            <w:tcW w:w="80" w:type="dxa"/>
            <w:vAlign w:val="bottom"/>
          </w:tcPr>
          <w:p>
            <w:pPr>
              <w:ind w:left="20"/>
              <w:spacing w:after="0"/>
              <w:rPr>
                <w:sz w:val="20"/>
                <w:szCs w:val="20"/>
                <w:color w:val="auto"/>
              </w:rPr>
            </w:pPr>
            <w:r>
              <w:rPr>
                <w:rFonts w:ascii="Calibri" w:cs="Calibri" w:eastAsia="Calibri" w:hAnsi="Calibri"/>
                <w:sz w:val="10"/>
                <w:szCs w:val="10"/>
                <w:b w:val="1"/>
                <w:bCs w:val="1"/>
                <w:color w:val="auto"/>
                <w:w w:val="77"/>
              </w:rPr>
              <w:t>$</w:t>
            </w:r>
          </w:p>
        </w:tc>
        <w:tc>
          <w:tcPr>
            <w:tcW w:w="760" w:type="dxa"/>
            <w:vAlign w:val="bottom"/>
          </w:tcPr>
          <w:p>
            <w:pPr>
              <w:ind w:left="620"/>
              <w:spacing w:after="0" w:line="149" w:lineRule="exact"/>
              <w:rPr>
                <w:sz w:val="20"/>
                <w:szCs w:val="20"/>
                <w:color w:val="auto"/>
              </w:rPr>
            </w:pPr>
            <w:r>
              <w:rPr>
                <w:rFonts w:ascii="Calibri" w:cs="Calibri" w:eastAsia="Calibri" w:hAnsi="Calibri"/>
                <w:sz w:val="13"/>
                <w:szCs w:val="13"/>
                <w:b w:val="1"/>
                <w:bCs w:val="1"/>
                <w:color w:val="auto"/>
              </w:rPr>
              <w:t>—</w:t>
            </w:r>
          </w:p>
        </w:tc>
        <w:tc>
          <w:tcPr>
            <w:tcW w:w="320" w:type="dxa"/>
            <w:vAlign w:val="bottom"/>
            <w:gridSpan w:val="2"/>
          </w:tcPr>
          <w:p>
            <w:pPr>
              <w:ind w:left="220"/>
              <w:spacing w:after="0" w:line="149" w:lineRule="exact"/>
              <w:rPr>
                <w:sz w:val="20"/>
                <w:szCs w:val="20"/>
                <w:color w:val="auto"/>
              </w:rPr>
            </w:pPr>
            <w:r>
              <w:rPr>
                <w:rFonts w:ascii="Calibri" w:cs="Calibri" w:eastAsia="Calibri" w:hAnsi="Calibri"/>
                <w:sz w:val="13"/>
                <w:szCs w:val="13"/>
                <w:b w:val="1"/>
                <w:bCs w:val="1"/>
                <w:color w:val="auto"/>
              </w:rPr>
              <w:t>$</w:t>
            </w:r>
          </w:p>
        </w:tc>
        <w:tc>
          <w:tcPr>
            <w:tcW w:w="62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b w:val="1"/>
                <w:bCs w:val="1"/>
                <w:color w:val="auto"/>
              </w:rPr>
              <w:t>(293,333 )</w:t>
            </w:r>
          </w:p>
        </w:tc>
        <w:tc>
          <w:tcPr>
            <w:tcW w:w="0" w:type="dxa"/>
            <w:vAlign w:val="bottom"/>
          </w:tcPr>
          <w:p>
            <w:pPr>
              <w:spacing w:after="0"/>
              <w:rPr>
                <w:sz w:val="1"/>
                <w:szCs w:val="1"/>
                <w:color w:val="auto"/>
              </w:rPr>
            </w:pPr>
          </w:p>
        </w:tc>
      </w:tr>
      <w:tr>
        <w:trPr>
          <w:trHeight w:val="24"/>
        </w:trPr>
        <w:tc>
          <w:tcPr>
            <w:tcW w:w="2500" w:type="dxa"/>
            <w:vAlign w:val="bottom"/>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-1525270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-1508125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-1525270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-1508125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-1525270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-1508125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-1525270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-1508125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-1525270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-1508125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-1525270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-1508125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-1525270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-1508125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-1525270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-1508125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-1525270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-1508125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-1525270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-1508125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-239395</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-239395</wp:posOffset>
            </wp:positionV>
            <wp:extent cx="768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-239395</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-239395</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-239395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-239395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-239395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-239395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-239395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-239395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 w:name="page8"/>
    <w:bookmarkEnd w:id="7"/>
    <w:p>
      <w:pPr>
        <w:jc w:val="center"/>
        <w:ind w:right="20"/>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CONDENSED CONSOLIDATED STATEMENTS OF EQUITY (DEFICIT)</w:t>
      </w:r>
    </w:p>
    <w:p>
      <w:pPr>
        <w:jc w:val="center"/>
        <w:ind w:right="20"/>
        <w:spacing w:after="0" w:line="236" w:lineRule="auto"/>
        <w:rPr>
          <w:sz w:val="20"/>
          <w:szCs w:val="20"/>
          <w:color w:val="auto"/>
        </w:rPr>
      </w:pPr>
      <w:r>
        <w:rPr>
          <w:rFonts w:ascii="Calibri" w:cs="Calibri" w:eastAsia="Calibri" w:hAnsi="Calibri"/>
          <w:sz w:val="18"/>
          <w:szCs w:val="18"/>
          <w:b w:val="1"/>
          <w:bCs w:val="1"/>
          <w:color w:val="auto"/>
        </w:rPr>
        <w:t>(in thousands, except share data)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4"/>
          </w:tcPr>
          <w:p>
            <w:pPr>
              <w:jc w:val="right"/>
              <w:spacing w:after="0"/>
              <w:rPr>
                <w:sz w:val="20"/>
                <w:szCs w:val="20"/>
                <w:color w:val="auto"/>
              </w:rPr>
            </w:pPr>
            <w:r>
              <w:rPr>
                <w:rFonts w:ascii="Calibri" w:cs="Calibri" w:eastAsia="Calibri" w:hAnsi="Calibri"/>
                <w:sz w:val="13"/>
                <w:szCs w:val="13"/>
                <w:b w:val="1"/>
                <w:bCs w:val="1"/>
                <w:color w:val="auto"/>
                <w:w w:val="98"/>
              </w:rPr>
              <w:t>Class A Common Stock</w:t>
            </w:r>
          </w:p>
        </w:tc>
        <w:tc>
          <w:tcPr>
            <w:tcW w:w="120" w:type="dxa"/>
            <w:vAlign w:val="bottom"/>
          </w:tcPr>
          <w:p>
            <w:pPr>
              <w:spacing w:after="0"/>
              <w:rPr>
                <w:sz w:val="13"/>
                <w:szCs w:val="13"/>
                <w:color w:val="auto"/>
              </w:rPr>
            </w:pPr>
          </w:p>
        </w:tc>
        <w:tc>
          <w:tcPr>
            <w:tcW w:w="1220" w:type="dxa"/>
            <w:vAlign w:val="bottom"/>
            <w:gridSpan w:val="4"/>
          </w:tcPr>
          <w:p>
            <w:pPr>
              <w:jc w:val="right"/>
              <w:spacing w:after="0"/>
              <w:rPr>
                <w:sz w:val="20"/>
                <w:szCs w:val="20"/>
                <w:color w:val="auto"/>
              </w:rPr>
            </w:pPr>
            <w:r>
              <w:rPr>
                <w:rFonts w:ascii="Calibri" w:cs="Calibri" w:eastAsia="Calibri" w:hAnsi="Calibri"/>
                <w:sz w:val="13"/>
                <w:szCs w:val="13"/>
                <w:b w:val="1"/>
                <w:bCs w:val="1"/>
                <w:color w:val="auto"/>
                <w:w w:val="97"/>
              </w:rPr>
              <w:t>Class B Common Stock</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tcPr>
          <w:p>
            <w:pPr>
              <w:jc w:val="right"/>
              <w:ind w:right="400"/>
              <w:spacing w:after="0"/>
              <w:rPr>
                <w:sz w:val="20"/>
                <w:szCs w:val="20"/>
                <w:color w:val="auto"/>
              </w:rPr>
            </w:pPr>
            <w:r>
              <w:rPr>
                <w:rFonts w:ascii="Calibri" w:cs="Calibri" w:eastAsia="Calibri" w:hAnsi="Calibri"/>
                <w:sz w:val="13"/>
                <w:szCs w:val="13"/>
                <w:b w:val="1"/>
                <w:bCs w:val="1"/>
                <w:color w:val="auto"/>
              </w:rPr>
              <w:t>Treasury Stock</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3"/>
            <w:vMerge w:val="restart"/>
          </w:tcPr>
          <w:p>
            <w:pPr>
              <w:ind w:left="60"/>
              <w:spacing w:after="0"/>
              <w:rPr>
                <w:sz w:val="20"/>
                <w:szCs w:val="20"/>
                <w:color w:val="auto"/>
              </w:rPr>
            </w:pPr>
            <w:r>
              <w:rPr>
                <w:rFonts w:ascii="Calibri" w:cs="Calibri" w:eastAsia="Calibri" w:hAnsi="Calibri"/>
                <w:sz w:val="13"/>
                <w:szCs w:val="13"/>
                <w:b w:val="1"/>
                <w:bCs w:val="1"/>
                <w:color w:val="auto"/>
              </w:rPr>
              <w:t>Accumulated</w:t>
            </w: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Calibri" w:cs="Calibri" w:eastAsia="Calibri" w:hAnsi="Calibri"/>
                <w:sz w:val="13"/>
                <w:szCs w:val="13"/>
                <w:b w:val="1"/>
                <w:bCs w:val="1"/>
                <w:color w:val="auto"/>
              </w:rPr>
              <w:t>Redeemable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180"/>
              <w:spacing w:after="0" w:line="149" w:lineRule="exact"/>
              <w:rPr>
                <w:sz w:val="20"/>
                <w:szCs w:val="20"/>
                <w:color w:val="auto"/>
              </w:rPr>
            </w:pPr>
            <w:r>
              <w:rPr>
                <w:rFonts w:ascii="Calibri" w:cs="Calibri" w:eastAsia="Calibri" w:hAnsi="Calibri"/>
                <w:sz w:val="13"/>
                <w:szCs w:val="13"/>
                <w:b w:val="1"/>
                <w:bCs w:val="1"/>
                <w:color w:val="auto"/>
              </w:rPr>
              <w:t>Additonal</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60"/>
              <w:spacing w:after="0" w:line="149" w:lineRule="exact"/>
              <w:rPr>
                <w:sz w:val="20"/>
                <w:szCs w:val="20"/>
                <w:color w:val="auto"/>
              </w:rPr>
            </w:pPr>
            <w:r>
              <w:rPr>
                <w:rFonts w:ascii="Calibri" w:cs="Calibri" w:eastAsia="Calibri" w:hAnsi="Calibri"/>
                <w:sz w:val="13"/>
                <w:szCs w:val="13"/>
                <w:b w:val="1"/>
                <w:bCs w:val="1"/>
                <w:color w:val="auto"/>
              </w:rPr>
              <w:t>other</w:t>
            </w:r>
          </w:p>
        </w:tc>
        <w:tc>
          <w:tcPr>
            <w:tcW w:w="8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Calibri" w:cs="Calibri" w:eastAsia="Calibri" w:hAnsi="Calibri"/>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Calibri" w:cs="Calibri" w:eastAsia="Calibri" w:hAnsi="Calibri"/>
                <w:sz w:val="13"/>
                <w:szCs w:val="13"/>
                <w:b w:val="1"/>
                <w:bCs w:val="1"/>
                <w:color w:val="auto"/>
              </w:rPr>
              <w:t>noncontrolli</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ind w:left="40"/>
              <w:spacing w:after="0" w:line="149" w:lineRule="exact"/>
              <w:rPr>
                <w:sz w:val="20"/>
                <w:szCs w:val="20"/>
                <w:color w:val="auto"/>
              </w:rPr>
            </w:pPr>
            <w:r>
              <w:rPr>
                <w:rFonts w:ascii="Calibri" w:cs="Calibri" w:eastAsia="Calibri" w:hAnsi="Calibri"/>
                <w:sz w:val="13"/>
                <w:szCs w:val="13"/>
                <w:b w:val="1"/>
                <w:bCs w:val="1"/>
                <w:color w:val="auto"/>
                <w:w w:val="96"/>
              </w:rPr>
              <w:t>Amoun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b w:val="1"/>
                <w:bCs w:val="1"/>
                <w:color w:val="auto"/>
              </w:rPr>
              <w:t>paid-in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Calibri" w:cs="Calibri" w:eastAsia="Calibri" w:hAnsi="Calibri"/>
                <w:sz w:val="13"/>
                <w:szCs w:val="13"/>
                <w:b w:val="1"/>
                <w:bCs w:val="1"/>
                <w:color w:val="auto"/>
              </w:rPr>
              <w:t>Accumulate</w:t>
            </w:r>
          </w:p>
        </w:tc>
        <w:tc>
          <w:tcPr>
            <w:tcW w:w="1000" w:type="dxa"/>
            <w:vAlign w:val="bottom"/>
            <w:gridSpan w:val="3"/>
          </w:tcPr>
          <w:p>
            <w:pPr>
              <w:ind w:left="20"/>
              <w:spacing w:after="0" w:line="149" w:lineRule="exact"/>
              <w:rPr>
                <w:sz w:val="20"/>
                <w:szCs w:val="20"/>
                <w:color w:val="auto"/>
              </w:rPr>
            </w:pPr>
            <w:r>
              <w:rPr>
                <w:rFonts w:ascii="Calibri" w:cs="Calibri" w:eastAsia="Calibri" w:hAnsi="Calibri"/>
                <w:sz w:val="13"/>
                <w:szCs w:val="13"/>
                <w:b w:val="1"/>
                <w:bCs w:val="1"/>
                <w:color w:val="auto"/>
              </w:rPr>
              <w:t>comprehensiv</w:t>
            </w:r>
          </w:p>
        </w:tc>
        <w:tc>
          <w:tcPr>
            <w:tcW w:w="8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Calibri" w:cs="Calibri" w:eastAsia="Calibri" w:hAnsi="Calibri"/>
                <w:sz w:val="13"/>
                <w:szCs w:val="13"/>
                <w:b w:val="1"/>
                <w:bCs w:val="1"/>
                <w:color w:val="auto"/>
                <w:w w:val="95"/>
              </w:rPr>
              <w:t>shareholders'</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820" w:type="dxa"/>
            <w:vAlign w:val="bottom"/>
            <w:gridSpan w:val="3"/>
          </w:tcPr>
          <w:p>
            <w:pPr>
              <w:ind w:left="40"/>
              <w:spacing w:after="0" w:line="149" w:lineRule="exact"/>
              <w:rPr>
                <w:sz w:val="20"/>
                <w:szCs w:val="20"/>
                <w:color w:val="auto"/>
              </w:rPr>
            </w:pPr>
            <w:r>
              <w:rPr>
                <w:rFonts w:ascii="Calibri" w:cs="Calibri" w:eastAsia="Calibri" w:hAnsi="Calibri"/>
                <w:sz w:val="13"/>
                <w:szCs w:val="13"/>
                <w:b w:val="1"/>
                <w:bCs w:val="1"/>
                <w:color w:val="auto"/>
              </w:rPr>
              <w:t>ng interests</w:t>
            </w:r>
          </w:p>
        </w:tc>
        <w:tc>
          <w:tcPr>
            <w:tcW w:w="800" w:type="dxa"/>
            <w:vAlign w:val="bottom"/>
            <w:gridSpan w:val="2"/>
          </w:tcPr>
          <w:p>
            <w:pPr>
              <w:jc w:val="right"/>
              <w:ind w:right="300"/>
              <w:spacing w:after="0" w:line="149" w:lineRule="exact"/>
              <w:rPr>
                <w:sz w:val="20"/>
                <w:szCs w:val="20"/>
                <w:color w:val="auto"/>
              </w:rPr>
            </w:pPr>
            <w:r>
              <w:rPr>
                <w:rFonts w:ascii="Calibri" w:cs="Calibri" w:eastAsia="Calibri" w:hAnsi="Calibri"/>
                <w:sz w:val="13"/>
                <w:szCs w:val="13"/>
                <w:b w:val="1"/>
                <w:bCs w:val="1"/>
                <w:color w:val="auto"/>
              </w:rPr>
              <w:t>Shares</w:t>
            </w:r>
          </w:p>
        </w:tc>
        <w:tc>
          <w:tcPr>
            <w:tcW w:w="480" w:type="dxa"/>
            <w:vAlign w:val="bottom"/>
            <w:gridSpan w:val="2"/>
          </w:tcPr>
          <w:p>
            <w:pPr>
              <w:ind w:left="20"/>
              <w:spacing w:after="0" w:line="149" w:lineRule="exact"/>
              <w:rPr>
                <w:sz w:val="20"/>
                <w:szCs w:val="20"/>
                <w:color w:val="auto"/>
              </w:rPr>
            </w:pPr>
            <w:r>
              <w:rPr>
                <w:rFonts w:ascii="Calibri" w:cs="Calibri" w:eastAsia="Calibri" w:hAnsi="Calibri"/>
                <w:sz w:val="13"/>
                <w:szCs w:val="13"/>
                <w:b w:val="1"/>
                <w:bCs w:val="1"/>
                <w:color w:val="auto"/>
              </w:rPr>
              <w:t>Amount</w:t>
            </w:r>
          </w:p>
        </w:tc>
        <w:tc>
          <w:tcPr>
            <w:tcW w:w="120" w:type="dxa"/>
            <w:vAlign w:val="bottom"/>
          </w:tcPr>
          <w:p>
            <w:pPr>
              <w:spacing w:after="0"/>
              <w:rPr>
                <w:sz w:val="12"/>
                <w:szCs w:val="12"/>
                <w:color w:val="auto"/>
              </w:rPr>
            </w:pPr>
          </w:p>
        </w:tc>
        <w:tc>
          <w:tcPr>
            <w:tcW w:w="680" w:type="dxa"/>
            <w:vAlign w:val="bottom"/>
          </w:tcPr>
          <w:p>
            <w:pPr>
              <w:jc w:val="right"/>
              <w:ind w:right="117"/>
              <w:spacing w:after="0" w:line="149" w:lineRule="exact"/>
              <w:rPr>
                <w:sz w:val="20"/>
                <w:szCs w:val="20"/>
                <w:color w:val="auto"/>
              </w:rPr>
            </w:pPr>
            <w:r>
              <w:rPr>
                <w:rFonts w:ascii="Calibri" w:cs="Calibri" w:eastAsia="Calibri" w:hAnsi="Calibri"/>
                <w:sz w:val="13"/>
                <w:szCs w:val="13"/>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jc w:val="right"/>
              <w:ind w:right="137"/>
              <w:spacing w:after="0" w:line="149" w:lineRule="exact"/>
              <w:rPr>
                <w:sz w:val="20"/>
                <w:szCs w:val="20"/>
                <w:color w:val="auto"/>
              </w:rPr>
            </w:pPr>
            <w:r>
              <w:rPr>
                <w:rFonts w:ascii="Calibri" w:cs="Calibri" w:eastAsia="Calibri" w:hAnsi="Calibri"/>
                <w:sz w:val="13"/>
                <w:szCs w:val="13"/>
                <w:b w:val="1"/>
                <w:bCs w:val="1"/>
                <w:color w:val="auto"/>
              </w:rPr>
              <w:t>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b w:val="1"/>
                <w:bCs w:val="1"/>
                <w:color w:val="auto"/>
              </w:rPr>
              <w:t>capital</w:t>
            </w:r>
          </w:p>
        </w:tc>
        <w:tc>
          <w:tcPr>
            <w:tcW w:w="780" w:type="dxa"/>
            <w:vAlign w:val="bottom"/>
            <w:gridSpan w:val="2"/>
          </w:tcPr>
          <w:p>
            <w:pPr>
              <w:jc w:val="right"/>
              <w:ind w:right="280"/>
              <w:spacing w:after="0" w:line="149" w:lineRule="exact"/>
              <w:rPr>
                <w:sz w:val="20"/>
                <w:szCs w:val="20"/>
                <w:color w:val="auto"/>
              </w:rPr>
            </w:pPr>
            <w:r>
              <w:rPr>
                <w:rFonts w:ascii="Calibri" w:cs="Calibri" w:eastAsia="Calibri" w:hAnsi="Calibri"/>
                <w:sz w:val="13"/>
                <w:szCs w:val="13"/>
                <w:b w:val="1"/>
                <w:bCs w:val="1"/>
                <w:color w:val="auto"/>
              </w:rPr>
              <w:t>Shares</w:t>
            </w:r>
          </w:p>
        </w:tc>
        <w:tc>
          <w:tcPr>
            <w:tcW w:w="660" w:type="dxa"/>
            <w:vAlign w:val="bottom"/>
            <w:gridSpan w:val="3"/>
          </w:tcPr>
          <w:p>
            <w:pPr>
              <w:jc w:val="right"/>
              <w:ind w:right="180"/>
              <w:spacing w:after="0" w:line="149" w:lineRule="exact"/>
              <w:rPr>
                <w:sz w:val="20"/>
                <w:szCs w:val="20"/>
                <w:color w:val="auto"/>
              </w:rPr>
            </w:pPr>
            <w:r>
              <w:rPr>
                <w:rFonts w:ascii="Calibri" w:cs="Calibri" w:eastAsia="Calibri" w:hAnsi="Calibri"/>
                <w:sz w:val="13"/>
                <w:szCs w:val="13"/>
                <w:b w:val="1"/>
                <w:bCs w:val="1"/>
                <w:color w:val="auto"/>
              </w:rPr>
              <w:t>Amount</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b w:val="1"/>
                <w:bCs w:val="1"/>
                <w:color w:val="auto"/>
              </w:rPr>
              <w:t>d defcit</w:t>
            </w:r>
          </w:p>
        </w:tc>
        <w:tc>
          <w:tcPr>
            <w:tcW w:w="160" w:type="dxa"/>
            <w:vAlign w:val="bottom"/>
          </w:tcPr>
          <w:p>
            <w:pPr>
              <w:spacing w:after="0"/>
              <w:rPr>
                <w:sz w:val="12"/>
                <w:szCs w:val="12"/>
                <w:color w:val="auto"/>
              </w:rPr>
            </w:pPr>
          </w:p>
        </w:tc>
        <w:tc>
          <w:tcPr>
            <w:tcW w:w="840" w:type="dxa"/>
            <w:vAlign w:val="bottom"/>
            <w:gridSpan w:val="2"/>
          </w:tcPr>
          <w:p>
            <w:pPr>
              <w:jc w:val="right"/>
              <w:ind w:right="460"/>
              <w:spacing w:after="0" w:line="149" w:lineRule="exact"/>
              <w:rPr>
                <w:sz w:val="20"/>
                <w:szCs w:val="20"/>
                <w:color w:val="auto"/>
              </w:rPr>
            </w:pPr>
            <w:r>
              <w:rPr>
                <w:rFonts w:ascii="Calibri" w:cs="Calibri" w:eastAsia="Calibri" w:hAnsi="Calibri"/>
                <w:sz w:val="13"/>
                <w:szCs w:val="13"/>
                <w:b w:val="1"/>
                <w:bCs w:val="1"/>
                <w:color w:val="auto"/>
              </w:rPr>
              <w:t>e loss</w:t>
            </w: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Calibri" w:cs="Calibri" w:eastAsia="Calibri" w:hAnsi="Calibri"/>
                <w:sz w:val="13"/>
                <w:szCs w:val="13"/>
                <w:b w:val="1"/>
                <w:bCs w:val="1"/>
                <w:color w:val="auto"/>
                <w:w w:val="98"/>
              </w:rPr>
              <w:t>equity</w:t>
            </w: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5" w:lineRule="exact"/>
              <w:rPr>
                <w:sz w:val="20"/>
                <w:szCs w:val="20"/>
                <w:color w:val="auto"/>
              </w:rPr>
            </w:pPr>
            <w:r>
              <w:rPr>
                <w:rFonts w:ascii="Calibri" w:cs="Calibri" w:eastAsia="Calibri" w:hAnsi="Calibri"/>
                <w:sz w:val="13"/>
                <w:szCs w:val="13"/>
                <w:b w:val="1"/>
                <w:bCs w:val="1"/>
                <w:color w:val="auto"/>
              </w:rPr>
              <w:t>141,167,3</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line="145" w:lineRule="exact"/>
              <w:rPr>
                <w:sz w:val="20"/>
                <w:szCs w:val="20"/>
                <w:color w:val="auto"/>
              </w:rPr>
            </w:pPr>
            <w:r>
              <w:rPr>
                <w:rFonts w:ascii="Calibri" w:cs="Calibri" w:eastAsia="Calibri" w:hAnsi="Calibri"/>
                <w:sz w:val="13"/>
                <w:szCs w:val="13"/>
                <w:b w:val="1"/>
                <w:bCs w:val="1"/>
                <w:color w:val="auto"/>
              </w:rPr>
              <w:t>76,225,00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5" w:lineRule="exact"/>
              <w:rPr>
                <w:sz w:val="20"/>
                <w:szCs w:val="20"/>
                <w:color w:val="auto"/>
              </w:rPr>
            </w:pPr>
            <w:r>
              <w:rPr>
                <w:rFonts w:ascii="Calibri" w:cs="Calibri" w:eastAsia="Calibri" w:hAnsi="Calibri"/>
                <w:sz w:val="13"/>
                <w:szCs w:val="13"/>
                <w:b w:val="1"/>
                <w:bCs w:val="1"/>
                <w:color w:val="auto"/>
              </w:rPr>
              <w:t>(7,291,49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8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rPr>
              <w:t>Balances at January 1, 2024</w:t>
            </w:r>
          </w:p>
        </w:tc>
        <w:tc>
          <w:tcPr>
            <w:tcW w:w="16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481,742</w:t>
            </w:r>
          </w:p>
        </w:tc>
        <w:tc>
          <w:tcPr>
            <w:tcW w:w="12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11</w:t>
            </w: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2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14</w:t>
            </w:r>
          </w:p>
        </w:tc>
        <w:tc>
          <w:tcPr>
            <w:tcW w:w="80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240" w:type="dxa"/>
            <w:vAlign w:val="bottom"/>
            <w:tcBorders>
              <w:bottom w:val="single" w:sz="8" w:color="CFF0FC"/>
            </w:tcBorders>
            <w:gridSpan w:val="2"/>
            <w:shd w:val="clear" w:color="auto" w:fill="CFF0FC"/>
          </w:tcPr>
          <w:p>
            <w:pPr>
              <w:ind w:left="120"/>
              <w:spacing w:after="0" w:line="149" w:lineRule="exact"/>
              <w:rPr>
                <w:sz w:val="20"/>
                <w:szCs w:val="20"/>
                <w:color w:val="auto"/>
              </w:rPr>
            </w:pPr>
            <w:r>
              <w:rPr>
                <w:rFonts w:ascii="Calibri" w:cs="Calibri" w:eastAsia="Calibri" w:hAnsi="Calibri"/>
                <w:sz w:val="13"/>
                <w:szCs w:val="13"/>
                <w:b w:val="1"/>
                <w:bCs w:val="1"/>
                <w:color w:val="auto"/>
              </w:rPr>
              <w:t>$</w:t>
            </w:r>
          </w:p>
        </w:tc>
        <w:tc>
          <w:tcPr>
            <w:tcW w:w="3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8</w:t>
            </w:r>
          </w:p>
        </w:tc>
        <w:tc>
          <w:tcPr>
            <w:tcW w:w="22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w:t>
            </w:r>
          </w:p>
        </w:tc>
        <w:tc>
          <w:tcPr>
            <w:tcW w:w="5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8"/>
              </w:rPr>
              <w:t>1,096,430</w:t>
            </w:r>
          </w:p>
        </w:tc>
        <w:tc>
          <w:tcPr>
            <w:tcW w:w="10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gridSpan w:val="3"/>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7 ) $</w:t>
            </w:r>
          </w:p>
        </w:tc>
        <w:tc>
          <w:tcPr>
            <w:tcW w:w="56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rPr>
              <w:t>(52,586 )</w:t>
            </w:r>
          </w:p>
        </w:tc>
        <w:tc>
          <w:tcPr>
            <w:tcW w:w="10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rPr>
              <w:t>$</w:t>
            </w:r>
          </w:p>
        </w:tc>
        <w:tc>
          <w:tcPr>
            <w:tcW w:w="66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rPr>
              <w:t>(939,596 )</w:t>
            </w:r>
          </w:p>
        </w:tc>
        <w:tc>
          <w:tcPr>
            <w:tcW w:w="16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6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747</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8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105,017</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580" w:type="dxa"/>
            <w:vAlign w:val="bottom"/>
          </w:tcPr>
          <w:p>
            <w:pPr>
              <w:spacing w:after="0" w:line="152" w:lineRule="exact"/>
              <w:rPr>
                <w:sz w:val="20"/>
                <w:szCs w:val="20"/>
                <w:color w:val="auto"/>
              </w:rPr>
            </w:pPr>
            <w:r>
              <w:rPr>
                <w:rFonts w:ascii="Calibri" w:cs="Calibri" w:eastAsia="Calibri" w:hAnsi="Calibri"/>
                <w:sz w:val="13"/>
                <w:szCs w:val="13"/>
                <w:color w:val="auto"/>
              </w:rPr>
              <w:t>Net income</w:t>
            </w:r>
          </w:p>
        </w:tc>
        <w:tc>
          <w:tcPr>
            <w:tcW w:w="16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Calibri" w:cs="Calibri" w:eastAsia="Calibri" w:hAnsi="Calibri"/>
                <w:sz w:val="13"/>
                <w:szCs w:val="13"/>
                <w:color w:val="auto"/>
              </w:rPr>
              <w:t>4,665</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Pr>
          <w:p>
            <w:pPr>
              <w:spacing w:after="0"/>
              <w:rPr>
                <w:sz w:val="13"/>
                <w:szCs w:val="13"/>
                <w:color w:val="auto"/>
              </w:rPr>
            </w:pPr>
          </w:p>
        </w:tc>
        <w:tc>
          <w:tcPr>
            <w:tcW w:w="2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78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spacing w:after="0" w:line="152" w:lineRule="exact"/>
              <w:rPr>
                <w:sz w:val="20"/>
                <w:szCs w:val="20"/>
                <w:color w:val="auto"/>
              </w:rPr>
            </w:pPr>
            <w:r>
              <w:rPr>
                <w:rFonts w:ascii="Calibri" w:cs="Calibri" w:eastAsia="Calibri" w:hAnsi="Calibri"/>
                <w:sz w:val="13"/>
                <w:szCs w:val="13"/>
                <w:color w:val="auto"/>
              </w:rPr>
              <w:t>6,077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820" w:type="dxa"/>
            <w:vAlign w:val="bottom"/>
          </w:tcPr>
          <w:p>
            <w:pPr>
              <w:jc w:val="right"/>
              <w:spacing w:after="0" w:line="152" w:lineRule="exact"/>
              <w:rPr>
                <w:sz w:val="20"/>
                <w:szCs w:val="20"/>
                <w:color w:val="auto"/>
              </w:rPr>
            </w:pPr>
            <w:r>
              <w:rPr>
                <w:rFonts w:ascii="Calibri" w:cs="Calibri" w:eastAsia="Calibri" w:hAnsi="Calibri"/>
                <w:sz w:val="13"/>
                <w:szCs w:val="13"/>
                <w:color w:val="auto"/>
              </w:rPr>
              <w:t>6,077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Borders>
              <w:bottom w:val="single" w:sz="8" w:color="CFF0FC"/>
            </w:tcBorders>
            <w:shd w:val="clear" w:color="auto" w:fill="CFF0FC"/>
          </w:tcPr>
          <w:p>
            <w:pPr>
              <w:spacing w:after="0" w:line="152" w:lineRule="exact"/>
              <w:rPr>
                <w:sz w:val="20"/>
                <w:szCs w:val="20"/>
                <w:color w:val="auto"/>
              </w:rPr>
            </w:pPr>
            <w:r>
              <w:rPr>
                <w:rFonts w:ascii="Calibri" w:cs="Calibri" w:eastAsia="Calibri" w:hAnsi="Calibri"/>
                <w:sz w:val="13"/>
                <w:szCs w:val="13"/>
                <w:color w:val="auto"/>
              </w:rPr>
              <w:t>Issuance of shares</w:t>
            </w:r>
          </w:p>
        </w:tc>
        <w:tc>
          <w:tcPr>
            <w:tcW w:w="16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961,573</w:t>
            </w: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780" w:type="dxa"/>
            <w:vAlign w:val="bottom"/>
            <w:tcBorders>
              <w:bottom w:val="single" w:sz="8" w:color="CFF0FC"/>
            </w:tcBorders>
            <w:gridSpan w:val="2"/>
            <w:shd w:val="clear" w:color="auto" w:fill="CFF0FC"/>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52"/>
        </w:trPr>
        <w:tc>
          <w:tcPr>
            <w:tcW w:w="2580" w:type="dxa"/>
            <w:vAlign w:val="bottom"/>
          </w:tcPr>
          <w:p>
            <w:pPr>
              <w:spacing w:after="0" w:line="152" w:lineRule="exact"/>
              <w:rPr>
                <w:sz w:val="20"/>
                <w:szCs w:val="20"/>
                <w:color w:val="auto"/>
              </w:rPr>
            </w:pPr>
            <w:r>
              <w:rPr>
                <w:rFonts w:ascii="Calibri" w:cs="Calibri" w:eastAsia="Calibri" w:hAnsi="Calibri"/>
                <w:sz w:val="13"/>
                <w:szCs w:val="13"/>
                <w:color w:val="auto"/>
              </w:rPr>
              <w:t>Net setlement of equity incentve awards</w:t>
            </w:r>
          </w:p>
        </w:tc>
        <w:tc>
          <w:tcPr>
            <w:tcW w:w="160" w:type="dxa"/>
            <w:vAlign w:val="bottom"/>
          </w:tcPr>
          <w:p>
            <w:pPr>
              <w:spacing w:after="0"/>
              <w:rPr>
                <w:sz w:val="13"/>
                <w:szCs w:val="13"/>
                <w:color w:val="auto"/>
              </w:rPr>
            </w:pPr>
          </w:p>
        </w:tc>
        <w:tc>
          <w:tcPr>
            <w:tcW w:w="66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60"/>
              <w:spacing w:after="0" w:line="152" w:lineRule="exact"/>
              <w:rPr>
                <w:sz w:val="20"/>
                <w:szCs w:val="20"/>
                <w:color w:val="auto"/>
              </w:rPr>
            </w:pPr>
            <w:r>
              <w:rPr>
                <w:rFonts w:ascii="Calibri" w:cs="Calibri" w:eastAsia="Calibri" w:hAnsi="Calibri"/>
                <w:sz w:val="13"/>
                <w:szCs w:val="13"/>
                <w:color w:val="auto"/>
              </w:rPr>
              <w:t>(79,905 )</w:t>
            </w:r>
          </w:p>
        </w:tc>
        <w:tc>
          <w:tcPr>
            <w:tcW w:w="200" w:type="dxa"/>
            <w:vAlign w:val="bottom"/>
          </w:tcPr>
          <w:p>
            <w:pPr>
              <w:spacing w:after="0"/>
              <w:rPr>
                <w:sz w:val="13"/>
                <w:szCs w:val="13"/>
                <w:color w:val="auto"/>
              </w:rPr>
            </w:pPr>
          </w:p>
        </w:tc>
        <w:tc>
          <w:tcPr>
            <w:tcW w:w="2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60"/>
              <w:spacing w:after="0" w:line="152" w:lineRule="exact"/>
              <w:rPr>
                <w:sz w:val="20"/>
                <w:szCs w:val="20"/>
                <w:color w:val="auto"/>
              </w:rPr>
            </w:pPr>
            <w:r>
              <w:rPr>
                <w:rFonts w:ascii="Calibri" w:cs="Calibri" w:eastAsia="Calibri" w:hAnsi="Calibri"/>
                <w:sz w:val="13"/>
                <w:szCs w:val="13"/>
                <w:color w:val="auto"/>
              </w:rPr>
              <w:t>(462 )</w:t>
            </w:r>
          </w:p>
        </w:tc>
        <w:tc>
          <w:tcPr>
            <w:tcW w:w="78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60"/>
              <w:spacing w:after="0" w:line="152" w:lineRule="exact"/>
              <w:rPr>
                <w:sz w:val="20"/>
                <w:szCs w:val="20"/>
                <w:color w:val="auto"/>
              </w:rPr>
            </w:pPr>
            <w:r>
              <w:rPr>
                <w:rFonts w:ascii="Calibri" w:cs="Calibri" w:eastAsia="Calibri" w:hAnsi="Calibri"/>
                <w:sz w:val="13"/>
                <w:szCs w:val="13"/>
                <w:color w:val="auto"/>
              </w:rPr>
              <w:t>(462 )</w:t>
            </w: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Borders>
              <w:bottom w:val="single" w:sz="8" w:color="CFF0FC"/>
            </w:tcBorders>
            <w:shd w:val="clear" w:color="auto" w:fill="CFF0FC"/>
          </w:tcPr>
          <w:p>
            <w:pPr>
              <w:spacing w:after="0" w:line="152" w:lineRule="exact"/>
              <w:rPr>
                <w:sz w:val="20"/>
                <w:szCs w:val="20"/>
                <w:color w:val="auto"/>
              </w:rPr>
            </w:pPr>
            <w:r>
              <w:rPr>
                <w:rFonts w:ascii="Calibri" w:cs="Calibri" w:eastAsia="Calibri" w:hAnsi="Calibri"/>
                <w:sz w:val="13"/>
                <w:szCs w:val="13"/>
                <w:color w:val="auto"/>
              </w:rPr>
              <w:t>Deemed contributon from former parent</w:t>
            </w:r>
          </w:p>
        </w:tc>
        <w:tc>
          <w:tcPr>
            <w:tcW w:w="16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75</w:t>
            </w: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gridSpan w:val="2"/>
            <w:shd w:val="clear" w:color="auto" w:fill="CFF0FC"/>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133</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133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580" w:type="dxa"/>
            <w:vAlign w:val="bottom"/>
          </w:tcPr>
          <w:p>
            <w:pPr>
              <w:spacing w:after="0" w:line="152" w:lineRule="exact"/>
              <w:rPr>
                <w:sz w:val="20"/>
                <w:szCs w:val="20"/>
                <w:color w:val="auto"/>
              </w:rPr>
            </w:pPr>
            <w:r>
              <w:rPr>
                <w:rFonts w:ascii="Calibri" w:cs="Calibri" w:eastAsia="Calibri" w:hAnsi="Calibri"/>
                <w:sz w:val="13"/>
                <w:szCs w:val="13"/>
                <w:color w:val="auto"/>
              </w:rPr>
              <w:t>Equity-based compensaton</w:t>
            </w:r>
          </w:p>
        </w:tc>
        <w:tc>
          <w:tcPr>
            <w:tcW w:w="160" w:type="dxa"/>
            <w:vAlign w:val="bottom"/>
          </w:tcPr>
          <w:p>
            <w:pPr>
              <w:spacing w:after="0"/>
              <w:rPr>
                <w:sz w:val="13"/>
                <w:szCs w:val="13"/>
                <w:color w:val="auto"/>
              </w:rPr>
            </w:pPr>
          </w:p>
        </w:tc>
        <w:tc>
          <w:tcPr>
            <w:tcW w:w="66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Pr>
          <w:p>
            <w:pPr>
              <w:spacing w:after="0"/>
              <w:rPr>
                <w:sz w:val="13"/>
                <w:szCs w:val="13"/>
                <w:color w:val="auto"/>
              </w:rPr>
            </w:pPr>
          </w:p>
        </w:tc>
        <w:tc>
          <w:tcPr>
            <w:tcW w:w="2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2" w:lineRule="exact"/>
              <w:rPr>
                <w:sz w:val="20"/>
                <w:szCs w:val="20"/>
                <w:color w:val="auto"/>
              </w:rPr>
            </w:pPr>
            <w:r>
              <w:rPr>
                <w:rFonts w:ascii="Calibri" w:cs="Calibri" w:eastAsia="Calibri" w:hAnsi="Calibri"/>
                <w:sz w:val="13"/>
                <w:szCs w:val="13"/>
                <w:color w:val="auto"/>
              </w:rPr>
              <w:t>8,439</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820" w:type="dxa"/>
            <w:vAlign w:val="bottom"/>
          </w:tcPr>
          <w:p>
            <w:pPr>
              <w:jc w:val="right"/>
              <w:spacing w:after="0" w:line="152" w:lineRule="exact"/>
              <w:rPr>
                <w:sz w:val="20"/>
                <w:szCs w:val="20"/>
                <w:color w:val="auto"/>
              </w:rPr>
            </w:pPr>
            <w:r>
              <w:rPr>
                <w:rFonts w:ascii="Calibri" w:cs="Calibri" w:eastAsia="Calibri" w:hAnsi="Calibri"/>
                <w:sz w:val="13"/>
                <w:szCs w:val="13"/>
                <w:color w:val="auto"/>
              </w:rPr>
              <w:t>8,439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580" w:type="dxa"/>
            <w:vAlign w:val="bottom"/>
            <w:tcBorders>
              <w:bottom w:val="single" w:sz="8" w:color="CFF0FC"/>
            </w:tcBorders>
            <w:shd w:val="clear" w:color="auto" w:fill="CFF0FC"/>
          </w:tcPr>
          <w:p>
            <w:pPr>
              <w:spacing w:after="0" w:line="152" w:lineRule="exact"/>
              <w:rPr>
                <w:sz w:val="20"/>
                <w:szCs w:val="20"/>
                <w:color w:val="auto"/>
              </w:rPr>
            </w:pPr>
            <w:r>
              <w:rPr>
                <w:rFonts w:ascii="Calibri" w:cs="Calibri" w:eastAsia="Calibri" w:hAnsi="Calibri"/>
                <w:sz w:val="13"/>
                <w:szCs w:val="13"/>
                <w:color w:val="auto"/>
              </w:rPr>
              <w:t>Repurchases of common stock</w:t>
            </w:r>
          </w:p>
        </w:tc>
        <w:tc>
          <w:tcPr>
            <w:tcW w:w="16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800" w:type="dxa"/>
            <w:vAlign w:val="bottom"/>
            <w:tcBorders>
              <w:bottom w:val="single" w:sz="8" w:color="CFF0FC"/>
            </w:tcBorders>
            <w:gridSpan w:val="2"/>
            <w:shd w:val="clear" w:color="auto" w:fill="CFF0FC"/>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780" w:type="dxa"/>
            <w:vAlign w:val="bottom"/>
            <w:tcBorders>
              <w:bottom w:val="single" w:sz="8" w:color="CFF0FC"/>
            </w:tcBorders>
            <w:gridSpan w:val="2"/>
            <w:shd w:val="clear" w:color="auto" w:fill="CFF0FC"/>
          </w:tcPr>
          <w:p>
            <w:pPr>
              <w:jc w:val="right"/>
              <w:ind w:right="60"/>
              <w:spacing w:after="0" w:line="152" w:lineRule="exact"/>
              <w:rPr>
                <w:sz w:val="20"/>
                <w:szCs w:val="20"/>
                <w:color w:val="auto"/>
              </w:rPr>
            </w:pPr>
            <w:r>
              <w:rPr>
                <w:rFonts w:ascii="Calibri" w:cs="Calibri" w:eastAsia="Calibri" w:hAnsi="Calibri"/>
                <w:sz w:val="13"/>
                <w:szCs w:val="13"/>
                <w:color w:val="auto"/>
              </w:rPr>
              <w:t>(715,000 )</w:t>
            </w:r>
          </w:p>
        </w:tc>
        <w:tc>
          <w:tcPr>
            <w:tcW w:w="10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CFF0FC"/>
            </w:tcBorders>
            <w:gridSpan w:val="2"/>
            <w:shd w:val="clear" w:color="auto" w:fill="CFF0FC"/>
          </w:tcPr>
          <w:p>
            <w:pPr>
              <w:jc w:val="right"/>
              <w:ind w:right="60"/>
              <w:spacing w:after="0" w:line="152" w:lineRule="exact"/>
              <w:rPr>
                <w:sz w:val="20"/>
                <w:szCs w:val="20"/>
                <w:color w:val="auto"/>
              </w:rPr>
            </w:pPr>
            <w:r>
              <w:rPr>
                <w:rFonts w:ascii="Calibri" w:cs="Calibri" w:eastAsia="Calibri" w:hAnsi="Calibri"/>
                <w:sz w:val="13"/>
                <w:szCs w:val="13"/>
                <w:color w:val="auto"/>
              </w:rPr>
              <w:t>(4,120 )</w:t>
            </w:r>
          </w:p>
        </w:tc>
        <w:tc>
          <w:tcPr>
            <w:tcW w:w="10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gridSpan w:val="2"/>
            <w:shd w:val="clear" w:color="auto" w:fill="CFF0FC"/>
          </w:tcPr>
          <w:p>
            <w:pPr>
              <w:jc w:val="right"/>
              <w:ind w:right="60"/>
              <w:spacing w:after="0" w:line="152" w:lineRule="exact"/>
              <w:rPr>
                <w:sz w:val="20"/>
                <w:szCs w:val="20"/>
                <w:color w:val="auto"/>
              </w:rPr>
            </w:pPr>
            <w:r>
              <w:rPr>
                <w:rFonts w:ascii="Calibri" w:cs="Calibri" w:eastAsia="Calibri" w:hAnsi="Calibri"/>
                <w:sz w:val="13"/>
                <w:szCs w:val="13"/>
                <w:color w:val="auto"/>
              </w:rPr>
              <w:t>(4,120 )</w:t>
            </w:r>
          </w:p>
        </w:tc>
        <w:tc>
          <w:tcPr>
            <w:tcW w:w="0" w:type="dxa"/>
            <w:vAlign w:val="bottom"/>
          </w:tcPr>
          <w:p>
            <w:pPr>
              <w:spacing w:after="0"/>
              <w:rPr>
                <w:sz w:val="1"/>
                <w:szCs w:val="1"/>
                <w:color w:val="auto"/>
              </w:rPr>
            </w:pPr>
          </w:p>
        </w:tc>
      </w:tr>
      <w:tr>
        <w:trPr>
          <w:trHeight w:val="152"/>
        </w:trPr>
        <w:tc>
          <w:tcPr>
            <w:tcW w:w="2580" w:type="dxa"/>
            <w:vAlign w:val="bottom"/>
          </w:tcPr>
          <w:p>
            <w:pPr>
              <w:spacing w:after="0" w:line="152" w:lineRule="exact"/>
              <w:rPr>
                <w:sz w:val="20"/>
                <w:szCs w:val="20"/>
                <w:color w:val="auto"/>
              </w:rPr>
            </w:pPr>
            <w:r>
              <w:rPr>
                <w:rFonts w:ascii="Calibri" w:cs="Calibri" w:eastAsia="Calibri" w:hAnsi="Calibri"/>
                <w:sz w:val="13"/>
                <w:szCs w:val="13"/>
                <w:color w:val="auto"/>
              </w:rPr>
              <w:t>Distributons to non-controlling interest</w:t>
            </w:r>
          </w:p>
        </w:tc>
        <w:tc>
          <w:tcPr>
            <w:tcW w:w="160" w:type="dxa"/>
            <w:vAlign w:val="bottom"/>
          </w:tcPr>
          <w:p>
            <w:pPr>
              <w:spacing w:after="0"/>
              <w:rPr>
                <w:sz w:val="13"/>
                <w:szCs w:val="13"/>
                <w:color w:val="auto"/>
              </w:rPr>
            </w:pPr>
          </w:p>
        </w:tc>
        <w:tc>
          <w:tcPr>
            <w:tcW w:w="660" w:type="dxa"/>
            <w:vAlign w:val="bottom"/>
            <w:gridSpan w:val="2"/>
          </w:tcPr>
          <w:p>
            <w:pPr>
              <w:jc w:val="right"/>
              <w:ind w:right="80"/>
              <w:spacing w:after="0" w:line="152" w:lineRule="exact"/>
              <w:rPr>
                <w:sz w:val="20"/>
                <w:szCs w:val="20"/>
                <w:color w:val="auto"/>
              </w:rPr>
            </w:pPr>
            <w:r>
              <w:rPr>
                <w:rFonts w:ascii="Calibri" w:cs="Calibri" w:eastAsia="Calibri" w:hAnsi="Calibri"/>
                <w:sz w:val="13"/>
                <w:szCs w:val="13"/>
                <w:color w:val="auto"/>
              </w:rPr>
              <w:t>(3,654 )</w:t>
            </w:r>
          </w:p>
        </w:tc>
        <w:tc>
          <w:tcPr>
            <w:tcW w:w="80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Pr>
          <w:p>
            <w:pPr>
              <w:spacing w:after="0"/>
              <w:rPr>
                <w:sz w:val="13"/>
                <w:szCs w:val="13"/>
                <w:color w:val="auto"/>
              </w:rPr>
            </w:pPr>
          </w:p>
        </w:tc>
        <w:tc>
          <w:tcPr>
            <w:tcW w:w="2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78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580" w:type="dxa"/>
            <w:vAlign w:val="bottom"/>
            <w:tcBorders>
              <w:bottom w:val="single" w:sz="8" w:color="CFF0FC"/>
            </w:tcBorders>
            <w:shd w:val="clear" w:color="auto" w:fill="CFF0FC"/>
          </w:tcPr>
          <w:p>
            <w:pPr>
              <w:spacing w:after="0" w:line="152" w:lineRule="exact"/>
              <w:rPr>
                <w:sz w:val="20"/>
                <w:szCs w:val="20"/>
                <w:color w:val="auto"/>
              </w:rPr>
            </w:pPr>
            <w:r>
              <w:rPr>
                <w:rFonts w:ascii="Calibri" w:cs="Calibri" w:eastAsia="Calibri" w:hAnsi="Calibri"/>
                <w:sz w:val="13"/>
                <w:szCs w:val="13"/>
                <w:color w:val="auto"/>
              </w:rPr>
              <w:t>Other comprehensive loss</w:t>
            </w:r>
          </w:p>
        </w:tc>
        <w:tc>
          <w:tcPr>
            <w:tcW w:w="16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80"/>
              <w:spacing w:after="0" w:line="152" w:lineRule="exact"/>
              <w:rPr>
                <w:sz w:val="20"/>
                <w:szCs w:val="20"/>
                <w:color w:val="auto"/>
              </w:rPr>
            </w:pPr>
            <w:r>
              <w:rPr>
                <w:rFonts w:ascii="Calibri" w:cs="Calibri" w:eastAsia="Calibri" w:hAnsi="Calibri"/>
                <w:sz w:val="13"/>
                <w:szCs w:val="13"/>
                <w:color w:val="auto"/>
              </w:rPr>
              <w:t>(643 )</w:t>
            </w:r>
          </w:p>
        </w:tc>
        <w:tc>
          <w:tcPr>
            <w:tcW w:w="800" w:type="dxa"/>
            <w:vAlign w:val="bottom"/>
            <w:tcBorders>
              <w:bottom w:val="single" w:sz="8" w:color="CFF0FC"/>
            </w:tcBorders>
            <w:gridSpan w:val="2"/>
            <w:shd w:val="clear" w:color="auto" w:fill="CFF0FC"/>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780" w:type="dxa"/>
            <w:vAlign w:val="bottom"/>
            <w:tcBorders>
              <w:bottom w:val="single" w:sz="8" w:color="CFF0FC"/>
            </w:tcBorders>
            <w:gridSpan w:val="2"/>
            <w:shd w:val="clear" w:color="auto" w:fill="CFF0FC"/>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(1,130 )</w:t>
            </w:r>
          </w:p>
        </w:tc>
        <w:tc>
          <w:tcPr>
            <w:tcW w:w="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gridSpan w:val="2"/>
            <w:shd w:val="clear" w:color="auto" w:fill="CFF0FC"/>
          </w:tcPr>
          <w:p>
            <w:pPr>
              <w:jc w:val="right"/>
              <w:ind w:right="60"/>
              <w:spacing w:after="0" w:line="152" w:lineRule="exact"/>
              <w:rPr>
                <w:sz w:val="20"/>
                <w:szCs w:val="20"/>
                <w:color w:val="auto"/>
              </w:rPr>
            </w:pPr>
            <w:r>
              <w:rPr>
                <w:rFonts w:ascii="Calibri" w:cs="Calibri" w:eastAsia="Calibri" w:hAnsi="Calibri"/>
                <w:sz w:val="13"/>
                <w:szCs w:val="13"/>
                <w:color w:val="auto"/>
              </w:rPr>
              <w:t>(1,130 )</w:t>
            </w:r>
          </w:p>
        </w:tc>
        <w:tc>
          <w:tcPr>
            <w:tcW w:w="0" w:type="dxa"/>
            <w:vAlign w:val="bottom"/>
          </w:tcPr>
          <w:p>
            <w:pPr>
              <w:spacing w:after="0"/>
              <w:rPr>
                <w:sz w:val="1"/>
                <w:szCs w:val="1"/>
                <w:color w:val="auto"/>
              </w:rPr>
            </w:pPr>
          </w:p>
        </w:tc>
      </w:tr>
      <w:tr>
        <w:trPr>
          <w:trHeight w:val="152"/>
        </w:trPr>
        <w:tc>
          <w:tcPr>
            <w:tcW w:w="2580" w:type="dxa"/>
            <w:vAlign w:val="bottom"/>
          </w:tcPr>
          <w:p>
            <w:pPr>
              <w:spacing w:after="0" w:line="152" w:lineRule="exact"/>
              <w:rPr>
                <w:sz w:val="20"/>
                <w:szCs w:val="20"/>
                <w:color w:val="auto"/>
              </w:rPr>
            </w:pPr>
            <w:r>
              <w:rPr>
                <w:rFonts w:ascii="Calibri" w:cs="Calibri" w:eastAsia="Calibri" w:hAnsi="Calibri"/>
                <w:sz w:val="13"/>
                <w:szCs w:val="13"/>
                <w:color w:val="auto"/>
              </w:rPr>
              <w:t>Subsequent remeasurement of Redeemable</w:t>
            </w:r>
          </w:p>
        </w:tc>
        <w:tc>
          <w:tcPr>
            <w:tcW w:w="160" w:type="dxa"/>
            <w:vAlign w:val="bottom"/>
          </w:tcPr>
          <w:p>
            <w:pPr>
              <w:spacing w:after="0"/>
              <w:rPr>
                <w:sz w:val="13"/>
                <w:szCs w:val="13"/>
                <w:color w:val="auto"/>
              </w:rPr>
            </w:pPr>
          </w:p>
        </w:tc>
        <w:tc>
          <w:tcPr>
            <w:tcW w:w="660" w:type="dxa"/>
            <w:vAlign w:val="bottom"/>
            <w:gridSpan w:val="2"/>
            <w:vMerge w:val="restart"/>
          </w:tcPr>
          <w:p>
            <w:pPr>
              <w:jc w:val="right"/>
              <w:ind w:right="80"/>
              <w:spacing w:after="0"/>
              <w:rPr>
                <w:sz w:val="20"/>
                <w:szCs w:val="20"/>
                <w:color w:val="auto"/>
              </w:rPr>
            </w:pPr>
            <w:r>
              <w:rPr>
                <w:rFonts w:ascii="Calibri" w:cs="Calibri" w:eastAsia="Calibri" w:hAnsi="Calibri"/>
                <w:sz w:val="13"/>
                <w:szCs w:val="13"/>
                <w:color w:val="auto"/>
              </w:rPr>
              <w:t>(25,597 )</w:t>
            </w:r>
          </w:p>
        </w:tc>
        <w:tc>
          <w:tcPr>
            <w:tcW w:w="800" w:type="dxa"/>
            <w:vAlign w:val="bottom"/>
            <w:gridSpan w:val="2"/>
            <w:vMerge w:val="restart"/>
          </w:tcPr>
          <w:p>
            <w:pPr>
              <w:jc w:val="right"/>
              <w:ind w:right="140"/>
              <w:spacing w:after="0"/>
              <w:rPr>
                <w:sz w:val="20"/>
                <w:szCs w:val="20"/>
                <w:color w:val="auto"/>
              </w:rPr>
            </w:pPr>
            <w:r>
              <w:rPr>
                <w:rFonts w:ascii="Calibri" w:cs="Calibri" w:eastAsia="Calibri" w:hAnsi="Calibri"/>
                <w:sz w:val="13"/>
                <w:szCs w:val="13"/>
                <w:color w:val="auto"/>
              </w:rPr>
              <w:t>—</w:t>
            </w:r>
          </w:p>
        </w:tc>
        <w:tc>
          <w:tcPr>
            <w:tcW w:w="200" w:type="dxa"/>
            <w:vAlign w:val="bottom"/>
          </w:tcPr>
          <w:p>
            <w:pPr>
              <w:spacing w:after="0"/>
              <w:rPr>
                <w:sz w:val="13"/>
                <w:szCs w:val="13"/>
                <w:color w:val="auto"/>
              </w:rPr>
            </w:pPr>
          </w:p>
        </w:tc>
        <w:tc>
          <w:tcPr>
            <w:tcW w:w="28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Calibri" w:cs="Calibri" w:eastAsia="Calibri" w:hAnsi="Calibri"/>
                <w:sz w:val="13"/>
                <w:szCs w:val="13"/>
                <w:color w:val="auto"/>
              </w:rPr>
              <w:t>25,597</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560" w:type="dxa"/>
            <w:vAlign w:val="bottom"/>
            <w:gridSpan w:val="2"/>
            <w:vMerge w:val="restart"/>
          </w:tcPr>
          <w:p>
            <w:pPr>
              <w:jc w:val="right"/>
              <w:ind w:right="120"/>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20"/>
              <w:spacing w:after="0"/>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3"/>
                <w:szCs w:val="13"/>
                <w:color w:val="auto"/>
              </w:rPr>
            </w:pPr>
          </w:p>
        </w:tc>
        <w:tc>
          <w:tcPr>
            <w:tcW w:w="840" w:type="dxa"/>
            <w:vAlign w:val="bottom"/>
            <w:gridSpan w:val="2"/>
            <w:vMerge w:val="restart"/>
          </w:tcPr>
          <w:p>
            <w:pPr>
              <w:jc w:val="right"/>
              <w:ind w:right="220"/>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Calibri" w:cs="Calibri" w:eastAsia="Calibri" w:hAnsi="Calibri"/>
                <w:sz w:val="13"/>
                <w:szCs w:val="13"/>
                <w:color w:val="auto"/>
              </w:rPr>
              <w:t>25,597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80" w:type="dxa"/>
            <w:vAlign w:val="bottom"/>
          </w:tcPr>
          <w:p>
            <w:pPr>
              <w:spacing w:after="0" w:line="149" w:lineRule="exact"/>
              <w:rPr>
                <w:sz w:val="20"/>
                <w:szCs w:val="20"/>
                <w:color w:val="auto"/>
              </w:rPr>
            </w:pPr>
            <w:r>
              <w:rPr>
                <w:rFonts w:ascii="Calibri" w:cs="Calibri" w:eastAsia="Calibri" w:hAnsi="Calibri"/>
                <w:sz w:val="13"/>
                <w:szCs w:val="13"/>
                <w:color w:val="auto"/>
              </w:rPr>
              <w:t>noncontrolling interests, net of tax impacts</w:t>
            </w:r>
          </w:p>
        </w:tc>
        <w:tc>
          <w:tcPr>
            <w:tcW w:w="1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58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142,048,9</w:t>
            </w:r>
          </w:p>
        </w:tc>
        <w:tc>
          <w:tcPr>
            <w:tcW w:w="12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76,225,00</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(8,006,49</w:t>
            </w: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58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3"/>
                <w:szCs w:val="13"/>
                <w:b w:val="1"/>
                <w:bCs w:val="1"/>
                <w:color w:val="auto"/>
              </w:rPr>
              <w:t>Balances at March 31, 2024</w:t>
            </w:r>
          </w:p>
        </w:tc>
        <w:tc>
          <w:tcPr>
            <w:tcW w:w="16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456,588</w:t>
            </w:r>
          </w:p>
        </w:tc>
        <w:tc>
          <w:tcPr>
            <w:tcW w:w="12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79</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2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14</w:t>
            </w:r>
          </w:p>
        </w:tc>
        <w:tc>
          <w:tcPr>
            <w:tcW w:w="80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240" w:type="dxa"/>
            <w:vAlign w:val="bottom"/>
            <w:tcBorders>
              <w:bottom w:val="single" w:sz="8" w:color="CFF0FC"/>
            </w:tcBorders>
            <w:gridSpan w:val="2"/>
            <w:shd w:val="clear" w:color="auto" w:fill="CFF0FC"/>
          </w:tcPr>
          <w:p>
            <w:pPr>
              <w:ind w:left="120"/>
              <w:spacing w:after="0" w:line="149" w:lineRule="exact"/>
              <w:rPr>
                <w:sz w:val="20"/>
                <w:szCs w:val="20"/>
                <w:color w:val="auto"/>
              </w:rPr>
            </w:pPr>
            <w:r>
              <w:rPr>
                <w:rFonts w:ascii="Calibri" w:cs="Calibri" w:eastAsia="Calibri" w:hAnsi="Calibri"/>
                <w:sz w:val="13"/>
                <w:szCs w:val="13"/>
                <w:b w:val="1"/>
                <w:bCs w:val="1"/>
                <w:color w:val="auto"/>
              </w:rPr>
              <w:t>$</w:t>
            </w:r>
          </w:p>
        </w:tc>
        <w:tc>
          <w:tcPr>
            <w:tcW w:w="3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8</w:t>
            </w:r>
          </w:p>
        </w:tc>
        <w:tc>
          <w:tcPr>
            <w:tcW w:w="22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w:t>
            </w:r>
          </w:p>
        </w:tc>
        <w:tc>
          <w:tcPr>
            <w:tcW w:w="5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8"/>
              </w:rPr>
              <w:t>1,130,137</w:t>
            </w:r>
          </w:p>
        </w:tc>
        <w:tc>
          <w:tcPr>
            <w:tcW w:w="10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rPr>
              <w:t>7 )</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0"/>
                <w:szCs w:val="10"/>
                <w:b w:val="1"/>
                <w:bCs w:val="1"/>
                <w:color w:val="auto"/>
                <w:w w:val="77"/>
              </w:rPr>
              <w:t>$</w:t>
            </w:r>
          </w:p>
        </w:tc>
        <w:tc>
          <w:tcPr>
            <w:tcW w:w="56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rPr>
              <w:t>(56,706 )</w:t>
            </w:r>
          </w:p>
        </w:tc>
        <w:tc>
          <w:tcPr>
            <w:tcW w:w="10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rPr>
              <w:t>$</w:t>
            </w:r>
          </w:p>
        </w:tc>
        <w:tc>
          <w:tcPr>
            <w:tcW w:w="66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rPr>
              <w:t>(933,519 )</w:t>
            </w:r>
          </w:p>
        </w:tc>
        <w:tc>
          <w:tcPr>
            <w:tcW w:w="16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84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b w:val="1"/>
                <w:bCs w:val="1"/>
                <w:color w:val="auto"/>
              </w:rPr>
              <w:t>(383 )</w:t>
            </w:r>
          </w:p>
        </w:tc>
        <w:tc>
          <w:tcPr>
            <w:tcW w:w="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8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139,551</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580" w:type="dxa"/>
            <w:vAlign w:val="bottom"/>
          </w:tcPr>
          <w:p>
            <w:pPr>
              <w:spacing w:after="0" w:line="132" w:lineRule="exact"/>
              <w:rPr>
                <w:sz w:val="20"/>
                <w:szCs w:val="20"/>
                <w:color w:val="auto"/>
              </w:rPr>
            </w:pPr>
            <w:r>
              <w:rPr>
                <w:rFonts w:ascii="Calibri" w:cs="Calibri" w:eastAsia="Calibri" w:hAnsi="Calibri"/>
                <w:sz w:val="13"/>
                <w:szCs w:val="13"/>
                <w:color w:val="auto"/>
              </w:rPr>
              <w:t>Net loss</w:t>
            </w: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32" w:lineRule="exact"/>
              <w:rPr>
                <w:sz w:val="20"/>
                <w:szCs w:val="20"/>
                <w:color w:val="auto"/>
              </w:rPr>
            </w:pPr>
            <w:r>
              <w:rPr>
                <w:rFonts w:ascii="Calibri" w:cs="Calibri" w:eastAsia="Calibri" w:hAnsi="Calibri"/>
                <w:sz w:val="13"/>
                <w:szCs w:val="13"/>
                <w:color w:val="auto"/>
              </w:rPr>
              <w:t>(160 )</w:t>
            </w:r>
          </w:p>
        </w:tc>
        <w:tc>
          <w:tcPr>
            <w:tcW w:w="800" w:type="dxa"/>
            <w:vAlign w:val="bottom"/>
            <w:gridSpan w:val="2"/>
          </w:tcPr>
          <w:p>
            <w:pPr>
              <w:jc w:val="right"/>
              <w:ind w:right="140"/>
              <w:spacing w:after="0" w:line="132" w:lineRule="exact"/>
              <w:rPr>
                <w:sz w:val="20"/>
                <w:szCs w:val="20"/>
                <w:color w:val="auto"/>
              </w:rPr>
            </w:pPr>
            <w:r>
              <w:rPr>
                <w:rFonts w:ascii="Calibri" w:cs="Calibri" w:eastAsia="Calibri" w:hAnsi="Calibri"/>
                <w:sz w:val="13"/>
                <w:szCs w:val="13"/>
                <w:color w:val="auto"/>
              </w:rPr>
              <w:t>—</w:t>
            </w:r>
          </w:p>
        </w:tc>
        <w:tc>
          <w:tcPr>
            <w:tcW w:w="200" w:type="dxa"/>
            <w:vAlign w:val="bottom"/>
          </w:tcPr>
          <w:p>
            <w:pPr>
              <w:spacing w:after="0"/>
              <w:rPr>
                <w:sz w:val="11"/>
                <w:szCs w:val="11"/>
                <w:color w:val="auto"/>
              </w:rPr>
            </w:pPr>
          </w:p>
        </w:tc>
        <w:tc>
          <w:tcPr>
            <w:tcW w:w="280" w:type="dxa"/>
            <w:vAlign w:val="bottom"/>
          </w:tcPr>
          <w:p>
            <w:pPr>
              <w:jc w:val="right"/>
              <w:spacing w:after="0" w:line="13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jc w:val="right"/>
              <w:spacing w:after="0" w:line="13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20"/>
              <w:spacing w:after="0" w:line="132" w:lineRule="exact"/>
              <w:rPr>
                <w:sz w:val="20"/>
                <w:szCs w:val="20"/>
                <w:color w:val="auto"/>
              </w:rPr>
            </w:pPr>
            <w:r>
              <w:rPr>
                <w:rFonts w:ascii="Calibri" w:cs="Calibri" w:eastAsia="Calibri" w:hAnsi="Calibri"/>
                <w:sz w:val="13"/>
                <w:szCs w:val="13"/>
                <w:color w:val="auto"/>
              </w:rPr>
              <w:t>—</w:t>
            </w:r>
          </w:p>
        </w:tc>
        <w:tc>
          <w:tcPr>
            <w:tcW w:w="780" w:type="dxa"/>
            <w:vAlign w:val="bottom"/>
            <w:gridSpan w:val="2"/>
          </w:tcPr>
          <w:p>
            <w:pPr>
              <w:jc w:val="right"/>
              <w:ind w:right="140"/>
              <w:spacing w:after="0" w:line="13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20"/>
              <w:spacing w:after="0" w:line="13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60"/>
              <w:spacing w:after="0" w:line="132" w:lineRule="exact"/>
              <w:rPr>
                <w:sz w:val="20"/>
                <w:szCs w:val="20"/>
                <w:color w:val="auto"/>
              </w:rPr>
            </w:pPr>
            <w:r>
              <w:rPr>
                <w:rFonts w:ascii="Calibri" w:cs="Calibri" w:eastAsia="Calibri" w:hAnsi="Calibri"/>
                <w:sz w:val="13"/>
                <w:szCs w:val="13"/>
                <w:color w:val="auto"/>
              </w:rPr>
              <w:t>(1,061 )</w:t>
            </w:r>
          </w:p>
        </w:tc>
        <w:tc>
          <w:tcPr>
            <w:tcW w:w="160" w:type="dxa"/>
            <w:vAlign w:val="bottom"/>
          </w:tcPr>
          <w:p>
            <w:pPr>
              <w:spacing w:after="0"/>
              <w:rPr>
                <w:sz w:val="11"/>
                <w:szCs w:val="11"/>
                <w:color w:val="auto"/>
              </w:rPr>
            </w:pPr>
          </w:p>
        </w:tc>
        <w:tc>
          <w:tcPr>
            <w:tcW w:w="840" w:type="dxa"/>
            <w:vAlign w:val="bottom"/>
            <w:gridSpan w:val="2"/>
          </w:tcPr>
          <w:p>
            <w:pPr>
              <w:jc w:val="right"/>
              <w:ind w:right="220"/>
              <w:spacing w:after="0" w:line="13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60"/>
              <w:spacing w:after="0" w:line="132" w:lineRule="exact"/>
              <w:rPr>
                <w:sz w:val="20"/>
                <w:szCs w:val="20"/>
                <w:color w:val="auto"/>
              </w:rPr>
            </w:pPr>
            <w:r>
              <w:rPr>
                <w:rFonts w:ascii="Calibri" w:cs="Calibri" w:eastAsia="Calibri" w:hAnsi="Calibri"/>
                <w:sz w:val="13"/>
                <w:szCs w:val="13"/>
                <w:color w:val="auto"/>
              </w:rPr>
              <w:t>(1,061 )</w:t>
            </w: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Borders>
              <w:bottom w:val="single" w:sz="8" w:color="CFF0FC"/>
            </w:tcBorders>
            <w:shd w:val="clear" w:color="auto" w:fill="CFF0FC"/>
          </w:tcPr>
          <w:p>
            <w:pPr>
              <w:spacing w:after="0" w:line="152" w:lineRule="exact"/>
              <w:rPr>
                <w:sz w:val="20"/>
                <w:szCs w:val="20"/>
                <w:color w:val="auto"/>
              </w:rPr>
            </w:pPr>
            <w:r>
              <w:rPr>
                <w:rFonts w:ascii="Calibri" w:cs="Calibri" w:eastAsia="Calibri" w:hAnsi="Calibri"/>
                <w:sz w:val="13"/>
                <w:szCs w:val="13"/>
                <w:color w:val="auto"/>
              </w:rPr>
              <w:t>Issuance of shares</w:t>
            </w:r>
          </w:p>
        </w:tc>
        <w:tc>
          <w:tcPr>
            <w:tcW w:w="16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524,906</w:t>
            </w: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780" w:type="dxa"/>
            <w:vAlign w:val="bottom"/>
            <w:tcBorders>
              <w:bottom w:val="single" w:sz="8" w:color="CFF0FC"/>
            </w:tcBorders>
            <w:gridSpan w:val="2"/>
            <w:shd w:val="clear" w:color="auto" w:fill="CFF0FC"/>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51"/>
        </w:trPr>
        <w:tc>
          <w:tcPr>
            <w:tcW w:w="2580" w:type="dxa"/>
            <w:vAlign w:val="bottom"/>
          </w:tcPr>
          <w:p>
            <w:pPr>
              <w:spacing w:after="0" w:line="152" w:lineRule="exact"/>
              <w:rPr>
                <w:sz w:val="20"/>
                <w:szCs w:val="20"/>
                <w:color w:val="auto"/>
              </w:rPr>
            </w:pPr>
            <w:r>
              <w:rPr>
                <w:rFonts w:ascii="Calibri" w:cs="Calibri" w:eastAsia="Calibri" w:hAnsi="Calibri"/>
                <w:sz w:val="13"/>
                <w:szCs w:val="13"/>
                <w:color w:val="auto"/>
              </w:rPr>
              <w:t>Net setlement of equity incentve awards</w:t>
            </w:r>
          </w:p>
        </w:tc>
        <w:tc>
          <w:tcPr>
            <w:tcW w:w="160" w:type="dxa"/>
            <w:vAlign w:val="bottom"/>
          </w:tcPr>
          <w:p>
            <w:pPr>
              <w:spacing w:after="0"/>
              <w:rPr>
                <w:sz w:val="13"/>
                <w:szCs w:val="13"/>
                <w:color w:val="auto"/>
              </w:rPr>
            </w:pPr>
          </w:p>
        </w:tc>
        <w:tc>
          <w:tcPr>
            <w:tcW w:w="66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60"/>
              <w:spacing w:after="0" w:line="152" w:lineRule="exact"/>
              <w:rPr>
                <w:sz w:val="20"/>
                <w:szCs w:val="20"/>
                <w:color w:val="auto"/>
              </w:rPr>
            </w:pPr>
            <w:r>
              <w:rPr>
                <w:rFonts w:ascii="Calibri" w:cs="Calibri" w:eastAsia="Calibri" w:hAnsi="Calibri"/>
                <w:sz w:val="13"/>
                <w:szCs w:val="13"/>
                <w:color w:val="auto"/>
              </w:rPr>
              <w:t>(19,182 )</w:t>
            </w:r>
          </w:p>
        </w:tc>
        <w:tc>
          <w:tcPr>
            <w:tcW w:w="200" w:type="dxa"/>
            <w:vAlign w:val="bottom"/>
          </w:tcPr>
          <w:p>
            <w:pPr>
              <w:spacing w:after="0"/>
              <w:rPr>
                <w:sz w:val="13"/>
                <w:szCs w:val="13"/>
                <w:color w:val="auto"/>
              </w:rPr>
            </w:pPr>
          </w:p>
        </w:tc>
        <w:tc>
          <w:tcPr>
            <w:tcW w:w="2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60"/>
              <w:spacing w:after="0" w:line="152" w:lineRule="exact"/>
              <w:rPr>
                <w:sz w:val="20"/>
                <w:szCs w:val="20"/>
                <w:color w:val="auto"/>
              </w:rPr>
            </w:pPr>
            <w:r>
              <w:rPr>
                <w:rFonts w:ascii="Calibri" w:cs="Calibri" w:eastAsia="Calibri" w:hAnsi="Calibri"/>
                <w:sz w:val="13"/>
                <w:szCs w:val="13"/>
                <w:color w:val="auto"/>
              </w:rPr>
              <w:t>(104 )</w:t>
            </w:r>
          </w:p>
        </w:tc>
        <w:tc>
          <w:tcPr>
            <w:tcW w:w="78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60"/>
              <w:spacing w:after="0" w:line="152" w:lineRule="exact"/>
              <w:rPr>
                <w:sz w:val="20"/>
                <w:szCs w:val="20"/>
                <w:color w:val="auto"/>
              </w:rPr>
            </w:pPr>
            <w:r>
              <w:rPr>
                <w:rFonts w:ascii="Calibri" w:cs="Calibri" w:eastAsia="Calibri" w:hAnsi="Calibri"/>
                <w:sz w:val="13"/>
                <w:szCs w:val="13"/>
                <w:color w:val="auto"/>
              </w:rPr>
              <w:t>(104 )</w:t>
            </w: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Borders>
              <w:bottom w:val="single" w:sz="8" w:color="CFF0FC"/>
            </w:tcBorders>
            <w:shd w:val="clear" w:color="auto" w:fill="CFF0FC"/>
          </w:tcPr>
          <w:p>
            <w:pPr>
              <w:spacing w:after="0" w:line="152" w:lineRule="exact"/>
              <w:rPr>
                <w:sz w:val="20"/>
                <w:szCs w:val="20"/>
                <w:color w:val="auto"/>
              </w:rPr>
            </w:pPr>
            <w:r>
              <w:rPr>
                <w:rFonts w:ascii="Calibri" w:cs="Calibri" w:eastAsia="Calibri" w:hAnsi="Calibri"/>
                <w:sz w:val="13"/>
                <w:szCs w:val="13"/>
                <w:color w:val="auto"/>
              </w:rPr>
              <w:t>Deemed contributon from former parent</w:t>
            </w:r>
          </w:p>
        </w:tc>
        <w:tc>
          <w:tcPr>
            <w:tcW w:w="16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2,959</w:t>
            </w: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gridSpan w:val="2"/>
            <w:shd w:val="clear" w:color="auto" w:fill="CFF0FC"/>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5,113</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5,113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580" w:type="dxa"/>
            <w:vAlign w:val="bottom"/>
          </w:tcPr>
          <w:p>
            <w:pPr>
              <w:spacing w:after="0" w:line="152" w:lineRule="exact"/>
              <w:rPr>
                <w:sz w:val="20"/>
                <w:szCs w:val="20"/>
                <w:color w:val="auto"/>
              </w:rPr>
            </w:pPr>
            <w:r>
              <w:rPr>
                <w:rFonts w:ascii="Calibri" w:cs="Calibri" w:eastAsia="Calibri" w:hAnsi="Calibri"/>
                <w:sz w:val="13"/>
                <w:szCs w:val="13"/>
                <w:color w:val="auto"/>
              </w:rPr>
              <w:t>Equity-based compensaton</w:t>
            </w:r>
          </w:p>
        </w:tc>
        <w:tc>
          <w:tcPr>
            <w:tcW w:w="160" w:type="dxa"/>
            <w:vAlign w:val="bottom"/>
          </w:tcPr>
          <w:p>
            <w:pPr>
              <w:spacing w:after="0"/>
              <w:rPr>
                <w:sz w:val="13"/>
                <w:szCs w:val="13"/>
                <w:color w:val="auto"/>
              </w:rPr>
            </w:pPr>
          </w:p>
        </w:tc>
        <w:tc>
          <w:tcPr>
            <w:tcW w:w="66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Pr>
          <w:p>
            <w:pPr>
              <w:spacing w:after="0"/>
              <w:rPr>
                <w:sz w:val="13"/>
                <w:szCs w:val="13"/>
                <w:color w:val="auto"/>
              </w:rPr>
            </w:pPr>
          </w:p>
        </w:tc>
        <w:tc>
          <w:tcPr>
            <w:tcW w:w="2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2" w:lineRule="exact"/>
              <w:rPr>
                <w:sz w:val="20"/>
                <w:szCs w:val="20"/>
                <w:color w:val="auto"/>
              </w:rPr>
            </w:pPr>
            <w:r>
              <w:rPr>
                <w:rFonts w:ascii="Calibri" w:cs="Calibri" w:eastAsia="Calibri" w:hAnsi="Calibri"/>
                <w:sz w:val="13"/>
                <w:szCs w:val="13"/>
                <w:color w:val="auto"/>
              </w:rPr>
              <w:t>11,237</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820" w:type="dxa"/>
            <w:vAlign w:val="bottom"/>
          </w:tcPr>
          <w:p>
            <w:pPr>
              <w:jc w:val="right"/>
              <w:spacing w:after="0" w:line="152" w:lineRule="exact"/>
              <w:rPr>
                <w:sz w:val="20"/>
                <w:szCs w:val="20"/>
                <w:color w:val="auto"/>
              </w:rPr>
            </w:pPr>
            <w:r>
              <w:rPr>
                <w:rFonts w:ascii="Calibri" w:cs="Calibri" w:eastAsia="Calibri" w:hAnsi="Calibri"/>
                <w:sz w:val="13"/>
                <w:szCs w:val="13"/>
                <w:color w:val="auto"/>
              </w:rPr>
              <w:t>11,237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580" w:type="dxa"/>
            <w:vAlign w:val="bottom"/>
            <w:shd w:val="clear" w:color="auto" w:fill="CFF0FC"/>
          </w:tcPr>
          <w:p>
            <w:pPr>
              <w:spacing w:after="0"/>
              <w:rPr>
                <w:sz w:val="20"/>
                <w:szCs w:val="20"/>
                <w:color w:val="auto"/>
              </w:rPr>
            </w:pPr>
            <w:r>
              <w:rPr>
                <w:rFonts w:ascii="Calibri" w:cs="Calibri" w:eastAsia="Calibri" w:hAnsi="Calibri"/>
                <w:sz w:val="13"/>
                <w:szCs w:val="13"/>
                <w:color w:val="auto"/>
              </w:rPr>
              <w:t>Repurchases of common stock</w:t>
            </w:r>
          </w:p>
        </w:tc>
        <w:tc>
          <w:tcPr>
            <w:tcW w:w="16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3"/>
                <w:szCs w:val="13"/>
                <w:color w:val="auto"/>
              </w:rPr>
              <w:t>—</w:t>
            </w:r>
          </w:p>
        </w:tc>
        <w:tc>
          <w:tcPr>
            <w:tcW w:w="80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3"/>
                <w:szCs w:val="13"/>
                <w:color w:val="auto"/>
              </w:rPr>
              <w:t>—</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3"/>
                <w:szCs w:val="13"/>
                <w:color w:val="auto"/>
              </w:rPr>
              <w:t>—</w:t>
            </w:r>
          </w:p>
        </w:tc>
        <w:tc>
          <w:tcPr>
            <w:tcW w:w="780" w:type="dxa"/>
            <w:vAlign w:val="bottom"/>
            <w:gridSpan w:val="2"/>
            <w:shd w:val="clear" w:color="auto" w:fill="CFF0FC"/>
          </w:tcPr>
          <w:p>
            <w:pPr>
              <w:jc w:val="right"/>
              <w:ind w:right="60"/>
              <w:spacing w:after="0" w:line="189" w:lineRule="exact"/>
              <w:rPr>
                <w:sz w:val="20"/>
                <w:szCs w:val="20"/>
                <w:color w:val="auto"/>
              </w:rPr>
            </w:pPr>
            <w:r>
              <w:rPr>
                <w:rFonts w:ascii="Calibri" w:cs="Calibri" w:eastAsia="Calibri" w:hAnsi="Calibri"/>
                <w:sz w:val="11"/>
                <w:szCs w:val="11"/>
                <w:color w:val="auto"/>
              </w:rPr>
              <w:t xml:space="preserve">(2,743,65 </w:t>
            </w:r>
            <w:r>
              <w:rPr>
                <w:rFonts w:ascii="Calibri" w:cs="Calibri" w:eastAsia="Calibri" w:hAnsi="Calibri"/>
                <w:sz w:val="20"/>
                <w:szCs w:val="20"/>
                <w:color w:val="auto"/>
                <w:vertAlign w:val="subscript"/>
              </w:rPr>
              <w:t>)</w:t>
            </w:r>
          </w:p>
        </w:tc>
        <w:tc>
          <w:tcPr>
            <w:tcW w:w="1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60"/>
              <w:spacing w:after="0"/>
              <w:rPr>
                <w:sz w:val="20"/>
                <w:szCs w:val="20"/>
                <w:color w:val="auto"/>
              </w:rPr>
            </w:pPr>
            <w:r>
              <w:rPr>
                <w:rFonts w:ascii="Calibri" w:cs="Calibri" w:eastAsia="Calibri" w:hAnsi="Calibri"/>
                <w:sz w:val="13"/>
                <w:szCs w:val="13"/>
                <w:color w:val="auto"/>
              </w:rPr>
              <w:t>(15,949 )</w:t>
            </w:r>
          </w:p>
        </w:tc>
        <w:tc>
          <w:tcPr>
            <w:tcW w:w="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3"/>
                <w:szCs w:val="13"/>
                <w:color w:val="auto"/>
              </w:rPr>
              <w:t>—</w:t>
            </w: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60"/>
              <w:spacing w:after="0"/>
              <w:rPr>
                <w:sz w:val="20"/>
                <w:szCs w:val="20"/>
                <w:color w:val="auto"/>
              </w:rPr>
            </w:pPr>
            <w:r>
              <w:rPr>
                <w:rFonts w:ascii="Calibri" w:cs="Calibri" w:eastAsia="Calibri" w:hAnsi="Calibri"/>
                <w:sz w:val="13"/>
                <w:szCs w:val="13"/>
                <w:color w:val="auto"/>
              </w:rPr>
              <w:t>(15,949 )</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Calibri" w:cs="Calibri" w:eastAsia="Calibri" w:hAnsi="Calibri"/>
                <w:sz w:val="13"/>
                <w:szCs w:val="13"/>
                <w:color w:val="auto"/>
              </w:rPr>
              <w:t>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580" w:type="dxa"/>
            <w:vAlign w:val="bottom"/>
          </w:tcPr>
          <w:p>
            <w:pPr>
              <w:spacing w:after="0" w:line="152" w:lineRule="exact"/>
              <w:rPr>
                <w:sz w:val="20"/>
                <w:szCs w:val="20"/>
                <w:color w:val="auto"/>
              </w:rPr>
            </w:pPr>
            <w:r>
              <w:rPr>
                <w:rFonts w:ascii="Calibri" w:cs="Calibri" w:eastAsia="Calibri" w:hAnsi="Calibri"/>
                <w:sz w:val="13"/>
                <w:szCs w:val="13"/>
                <w:color w:val="auto"/>
              </w:rPr>
              <w:t>Distributons to non-controlling interest</w:t>
            </w:r>
          </w:p>
        </w:tc>
        <w:tc>
          <w:tcPr>
            <w:tcW w:w="160" w:type="dxa"/>
            <w:vAlign w:val="bottom"/>
          </w:tcPr>
          <w:p>
            <w:pPr>
              <w:spacing w:after="0"/>
              <w:rPr>
                <w:sz w:val="13"/>
                <w:szCs w:val="13"/>
                <w:color w:val="auto"/>
              </w:rPr>
            </w:pPr>
          </w:p>
        </w:tc>
        <w:tc>
          <w:tcPr>
            <w:tcW w:w="660" w:type="dxa"/>
            <w:vAlign w:val="bottom"/>
            <w:gridSpan w:val="2"/>
          </w:tcPr>
          <w:p>
            <w:pPr>
              <w:jc w:val="right"/>
              <w:ind w:right="80"/>
              <w:spacing w:after="0" w:line="152" w:lineRule="exact"/>
              <w:rPr>
                <w:sz w:val="20"/>
                <w:szCs w:val="20"/>
                <w:color w:val="auto"/>
              </w:rPr>
            </w:pPr>
            <w:r>
              <w:rPr>
                <w:rFonts w:ascii="Calibri" w:cs="Calibri" w:eastAsia="Calibri" w:hAnsi="Calibri"/>
                <w:sz w:val="13"/>
                <w:szCs w:val="13"/>
                <w:color w:val="auto"/>
              </w:rPr>
              <w:t>(2,760 )</w:t>
            </w:r>
          </w:p>
        </w:tc>
        <w:tc>
          <w:tcPr>
            <w:tcW w:w="80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Pr>
          <w:p>
            <w:pPr>
              <w:spacing w:after="0"/>
              <w:rPr>
                <w:sz w:val="13"/>
                <w:szCs w:val="13"/>
                <w:color w:val="auto"/>
              </w:rPr>
            </w:pPr>
          </w:p>
        </w:tc>
        <w:tc>
          <w:tcPr>
            <w:tcW w:w="2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780" w:type="dxa"/>
            <w:vAlign w:val="bottom"/>
            <w:gridSpan w:val="2"/>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580" w:type="dxa"/>
            <w:vAlign w:val="bottom"/>
            <w:tcBorders>
              <w:bottom w:val="single" w:sz="8" w:color="CFF0FC"/>
            </w:tcBorders>
            <w:shd w:val="clear" w:color="auto" w:fill="CFF0FC"/>
          </w:tcPr>
          <w:p>
            <w:pPr>
              <w:spacing w:after="0" w:line="152" w:lineRule="exact"/>
              <w:rPr>
                <w:sz w:val="20"/>
                <w:szCs w:val="20"/>
                <w:color w:val="auto"/>
              </w:rPr>
            </w:pPr>
            <w:r>
              <w:rPr>
                <w:rFonts w:ascii="Calibri" w:cs="Calibri" w:eastAsia="Calibri" w:hAnsi="Calibri"/>
                <w:sz w:val="13"/>
                <w:szCs w:val="13"/>
                <w:color w:val="auto"/>
              </w:rPr>
              <w:t>Other comprehensive loss</w:t>
            </w:r>
          </w:p>
        </w:tc>
        <w:tc>
          <w:tcPr>
            <w:tcW w:w="16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80"/>
              <w:spacing w:after="0" w:line="152" w:lineRule="exact"/>
              <w:rPr>
                <w:sz w:val="20"/>
                <w:szCs w:val="20"/>
                <w:color w:val="auto"/>
              </w:rPr>
            </w:pPr>
            <w:r>
              <w:rPr>
                <w:rFonts w:ascii="Calibri" w:cs="Calibri" w:eastAsia="Calibri" w:hAnsi="Calibri"/>
                <w:sz w:val="13"/>
                <w:szCs w:val="13"/>
                <w:color w:val="auto"/>
              </w:rPr>
              <w:t>(476 )</w:t>
            </w:r>
          </w:p>
        </w:tc>
        <w:tc>
          <w:tcPr>
            <w:tcW w:w="800" w:type="dxa"/>
            <w:vAlign w:val="bottom"/>
            <w:tcBorders>
              <w:bottom w:val="single" w:sz="8" w:color="CFF0FC"/>
            </w:tcBorders>
            <w:gridSpan w:val="2"/>
            <w:shd w:val="clear" w:color="auto" w:fill="CFF0FC"/>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780" w:type="dxa"/>
            <w:vAlign w:val="bottom"/>
            <w:tcBorders>
              <w:bottom w:val="single" w:sz="8" w:color="CFF0FC"/>
            </w:tcBorders>
            <w:gridSpan w:val="2"/>
            <w:shd w:val="clear" w:color="auto" w:fill="CFF0FC"/>
          </w:tcPr>
          <w:p>
            <w:pPr>
              <w:jc w:val="right"/>
              <w:ind w:right="1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(833 )</w:t>
            </w:r>
          </w:p>
        </w:tc>
        <w:tc>
          <w:tcPr>
            <w:tcW w:w="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gridSpan w:val="2"/>
            <w:shd w:val="clear" w:color="auto" w:fill="CFF0FC"/>
          </w:tcPr>
          <w:p>
            <w:pPr>
              <w:jc w:val="right"/>
              <w:ind w:right="60"/>
              <w:spacing w:after="0" w:line="152" w:lineRule="exact"/>
              <w:rPr>
                <w:sz w:val="20"/>
                <w:szCs w:val="20"/>
                <w:color w:val="auto"/>
              </w:rPr>
            </w:pPr>
            <w:r>
              <w:rPr>
                <w:rFonts w:ascii="Calibri" w:cs="Calibri" w:eastAsia="Calibri" w:hAnsi="Calibri"/>
                <w:sz w:val="13"/>
                <w:szCs w:val="13"/>
                <w:color w:val="auto"/>
              </w:rPr>
              <w:t>(833 )</w:t>
            </w:r>
          </w:p>
        </w:tc>
        <w:tc>
          <w:tcPr>
            <w:tcW w:w="0" w:type="dxa"/>
            <w:vAlign w:val="bottom"/>
          </w:tcPr>
          <w:p>
            <w:pPr>
              <w:spacing w:after="0"/>
              <w:rPr>
                <w:sz w:val="1"/>
                <w:szCs w:val="1"/>
                <w:color w:val="auto"/>
              </w:rPr>
            </w:pPr>
          </w:p>
        </w:tc>
      </w:tr>
      <w:tr>
        <w:trPr>
          <w:trHeight w:val="152"/>
        </w:trPr>
        <w:tc>
          <w:tcPr>
            <w:tcW w:w="2580" w:type="dxa"/>
            <w:vAlign w:val="bottom"/>
          </w:tcPr>
          <w:p>
            <w:pPr>
              <w:spacing w:after="0" w:line="152" w:lineRule="exact"/>
              <w:rPr>
                <w:sz w:val="20"/>
                <w:szCs w:val="20"/>
                <w:color w:val="auto"/>
              </w:rPr>
            </w:pPr>
            <w:r>
              <w:rPr>
                <w:rFonts w:ascii="Calibri" w:cs="Calibri" w:eastAsia="Calibri" w:hAnsi="Calibri"/>
                <w:sz w:val="13"/>
                <w:szCs w:val="13"/>
                <w:color w:val="auto"/>
              </w:rPr>
              <w:t>Subsequent remeasurement of Redeemable</w:t>
            </w:r>
          </w:p>
        </w:tc>
        <w:tc>
          <w:tcPr>
            <w:tcW w:w="160" w:type="dxa"/>
            <w:vAlign w:val="bottom"/>
          </w:tcPr>
          <w:p>
            <w:pPr>
              <w:spacing w:after="0"/>
              <w:rPr>
                <w:sz w:val="13"/>
                <w:szCs w:val="13"/>
                <w:color w:val="auto"/>
              </w:rPr>
            </w:pPr>
          </w:p>
        </w:tc>
        <w:tc>
          <w:tcPr>
            <w:tcW w:w="660" w:type="dxa"/>
            <w:vAlign w:val="bottom"/>
            <w:gridSpan w:val="2"/>
            <w:vMerge w:val="restart"/>
          </w:tcPr>
          <w:p>
            <w:pPr>
              <w:jc w:val="right"/>
              <w:ind w:right="80"/>
              <w:spacing w:after="0"/>
              <w:rPr>
                <w:sz w:val="20"/>
                <w:szCs w:val="20"/>
                <w:color w:val="auto"/>
              </w:rPr>
            </w:pPr>
            <w:r>
              <w:rPr>
                <w:rFonts w:ascii="Calibri" w:cs="Calibri" w:eastAsia="Calibri" w:hAnsi="Calibri"/>
                <w:sz w:val="13"/>
                <w:szCs w:val="13"/>
                <w:color w:val="auto"/>
              </w:rPr>
              <w:t>(17,857 )</w:t>
            </w:r>
          </w:p>
        </w:tc>
        <w:tc>
          <w:tcPr>
            <w:tcW w:w="800" w:type="dxa"/>
            <w:vAlign w:val="bottom"/>
            <w:gridSpan w:val="2"/>
            <w:vMerge w:val="restart"/>
          </w:tcPr>
          <w:p>
            <w:pPr>
              <w:jc w:val="right"/>
              <w:ind w:right="140"/>
              <w:spacing w:after="0"/>
              <w:rPr>
                <w:sz w:val="20"/>
                <w:szCs w:val="20"/>
                <w:color w:val="auto"/>
              </w:rPr>
            </w:pPr>
            <w:r>
              <w:rPr>
                <w:rFonts w:ascii="Calibri" w:cs="Calibri" w:eastAsia="Calibri" w:hAnsi="Calibri"/>
                <w:sz w:val="13"/>
                <w:szCs w:val="13"/>
                <w:color w:val="auto"/>
              </w:rPr>
              <w:t>—</w:t>
            </w:r>
          </w:p>
        </w:tc>
        <w:tc>
          <w:tcPr>
            <w:tcW w:w="200" w:type="dxa"/>
            <w:vAlign w:val="bottom"/>
          </w:tcPr>
          <w:p>
            <w:pPr>
              <w:spacing w:after="0"/>
              <w:rPr>
                <w:sz w:val="13"/>
                <w:szCs w:val="13"/>
                <w:color w:val="auto"/>
              </w:rPr>
            </w:pPr>
          </w:p>
        </w:tc>
        <w:tc>
          <w:tcPr>
            <w:tcW w:w="28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Calibri" w:cs="Calibri" w:eastAsia="Calibri" w:hAnsi="Calibri"/>
                <w:sz w:val="13"/>
                <w:szCs w:val="13"/>
                <w:color w:val="auto"/>
              </w:rPr>
              <w:t>17,857</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560" w:type="dxa"/>
            <w:vAlign w:val="bottom"/>
            <w:gridSpan w:val="2"/>
            <w:vMerge w:val="restart"/>
          </w:tcPr>
          <w:p>
            <w:pPr>
              <w:jc w:val="right"/>
              <w:ind w:right="120"/>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20"/>
              <w:spacing w:after="0"/>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3"/>
                <w:szCs w:val="13"/>
                <w:color w:val="auto"/>
              </w:rPr>
            </w:pPr>
          </w:p>
        </w:tc>
        <w:tc>
          <w:tcPr>
            <w:tcW w:w="840" w:type="dxa"/>
            <w:vAlign w:val="bottom"/>
            <w:gridSpan w:val="2"/>
            <w:vMerge w:val="restart"/>
          </w:tcPr>
          <w:p>
            <w:pPr>
              <w:jc w:val="right"/>
              <w:ind w:right="220"/>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Calibri" w:cs="Calibri" w:eastAsia="Calibri" w:hAnsi="Calibri"/>
                <w:sz w:val="13"/>
                <w:szCs w:val="13"/>
                <w:color w:val="auto"/>
              </w:rPr>
              <w:t>17,857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80" w:type="dxa"/>
            <w:vAlign w:val="bottom"/>
          </w:tcPr>
          <w:p>
            <w:pPr>
              <w:spacing w:after="0" w:line="149" w:lineRule="exact"/>
              <w:rPr>
                <w:sz w:val="20"/>
                <w:szCs w:val="20"/>
                <w:color w:val="auto"/>
              </w:rPr>
            </w:pPr>
            <w:r>
              <w:rPr>
                <w:rFonts w:ascii="Calibri" w:cs="Calibri" w:eastAsia="Calibri" w:hAnsi="Calibri"/>
                <w:sz w:val="13"/>
                <w:szCs w:val="13"/>
                <w:color w:val="auto"/>
              </w:rPr>
              <w:t>noncontrolling interests, net of tax impacts</w:t>
            </w:r>
          </w:p>
        </w:tc>
        <w:tc>
          <w:tcPr>
            <w:tcW w:w="1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58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142,554,7</w:t>
            </w:r>
          </w:p>
        </w:tc>
        <w:tc>
          <w:tcPr>
            <w:tcW w:w="12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76,225,00</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(10,750,1</w:t>
            </w: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58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3"/>
                <w:szCs w:val="13"/>
                <w:b w:val="1"/>
                <w:bCs w:val="1"/>
                <w:color w:val="auto"/>
              </w:rPr>
              <w:t>Balances at June 30, 2024</w:t>
            </w:r>
          </w:p>
        </w:tc>
        <w:tc>
          <w:tcPr>
            <w:tcW w:w="16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438,294</w:t>
            </w:r>
          </w:p>
        </w:tc>
        <w:tc>
          <w:tcPr>
            <w:tcW w:w="12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03</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2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14</w:t>
            </w:r>
          </w:p>
        </w:tc>
        <w:tc>
          <w:tcPr>
            <w:tcW w:w="80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240" w:type="dxa"/>
            <w:vAlign w:val="bottom"/>
            <w:tcBorders>
              <w:bottom w:val="single" w:sz="8" w:color="CFF0FC"/>
            </w:tcBorders>
            <w:gridSpan w:val="2"/>
            <w:shd w:val="clear" w:color="auto" w:fill="CFF0FC"/>
          </w:tcPr>
          <w:p>
            <w:pPr>
              <w:ind w:left="120"/>
              <w:spacing w:after="0" w:line="149" w:lineRule="exact"/>
              <w:rPr>
                <w:sz w:val="20"/>
                <w:szCs w:val="20"/>
                <w:color w:val="auto"/>
              </w:rPr>
            </w:pPr>
            <w:r>
              <w:rPr>
                <w:rFonts w:ascii="Calibri" w:cs="Calibri" w:eastAsia="Calibri" w:hAnsi="Calibri"/>
                <w:sz w:val="13"/>
                <w:szCs w:val="13"/>
                <w:b w:val="1"/>
                <w:bCs w:val="1"/>
                <w:color w:val="auto"/>
              </w:rPr>
              <w:t>$</w:t>
            </w:r>
          </w:p>
        </w:tc>
        <w:tc>
          <w:tcPr>
            <w:tcW w:w="3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8</w:t>
            </w:r>
          </w:p>
        </w:tc>
        <w:tc>
          <w:tcPr>
            <w:tcW w:w="22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w:t>
            </w:r>
          </w:p>
        </w:tc>
        <w:tc>
          <w:tcPr>
            <w:tcW w:w="5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8"/>
              </w:rPr>
              <w:t>1,164,240</w:t>
            </w:r>
          </w:p>
        </w:tc>
        <w:tc>
          <w:tcPr>
            <w:tcW w:w="10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rPr>
              <w:t>53 )</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0"/>
                <w:szCs w:val="10"/>
                <w:b w:val="1"/>
                <w:bCs w:val="1"/>
                <w:color w:val="auto"/>
                <w:w w:val="77"/>
              </w:rPr>
              <w:t>$</w:t>
            </w:r>
          </w:p>
        </w:tc>
        <w:tc>
          <w:tcPr>
            <w:tcW w:w="56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rPr>
              <w:t>(72,655 )</w:t>
            </w:r>
          </w:p>
        </w:tc>
        <w:tc>
          <w:tcPr>
            <w:tcW w:w="10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rPr>
              <w:t>$</w:t>
            </w:r>
          </w:p>
        </w:tc>
        <w:tc>
          <w:tcPr>
            <w:tcW w:w="66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rPr>
              <w:t>(934,580 )</w:t>
            </w:r>
          </w:p>
        </w:tc>
        <w:tc>
          <w:tcPr>
            <w:tcW w:w="16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84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b w:val="1"/>
                <w:bCs w:val="1"/>
                <w:color w:val="auto"/>
              </w:rPr>
              <w:t>(1,216 )</w:t>
            </w:r>
          </w:p>
        </w:tc>
        <w:tc>
          <w:tcPr>
            <w:tcW w:w="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8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155,811</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-1447800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-1431290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-1447800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-1431290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-1447800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-1431290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-1447800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-1431290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-1447800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-1431290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-1447800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-1431290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-1447800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-1431290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-1447800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-1431290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-1447800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-1431290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-1447800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-1431290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-1447800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-1431290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-24765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-7620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-24765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-7620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-24765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-7620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481965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760" w:right="399" w:bottom="1440" w:gutter="0" w:footer="0" w:header="0"/>
        </w:sectPr>
      </w:pPr>
    </w:p>
    <w:bookmarkStart w:id="8" w:name="page9"/>
    <w:bookmarkEnd w:id="8"/>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CONDENSED CONSOLIDATED STATEMENTS OF CASH FLOWS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(Unaudited)</w:t>
      </w:r>
    </w:p>
    <w:p>
      <w:pPr>
        <w:spacing w:after="0" w:line="227" w:lineRule="exact"/>
        <w:rPr>
          <w:sz w:val="20"/>
          <w:szCs w:val="20"/>
          <w:color w:val="auto"/>
        </w:rPr>
      </w:pPr>
    </w:p>
    <w:p>
      <w:pPr>
        <w:ind w:left="8940"/>
        <w:spacing w:after="0"/>
        <w:rPr>
          <w:sz w:val="20"/>
          <w:szCs w:val="20"/>
          <w:color w:val="auto"/>
        </w:rPr>
      </w:pPr>
      <w:r>
        <w:rPr>
          <w:rFonts w:ascii="Calibri" w:cs="Calibri" w:eastAsia="Calibri" w:hAnsi="Calibri"/>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23495</wp:posOffset>
            </wp:positionV>
            <wp:extent cx="15430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9"/>
                <w:szCs w:val="19"/>
                <w:color w:val="auto"/>
              </w:rPr>
            </w:pPr>
          </w:p>
        </w:tc>
      </w:tr>
      <w:tr>
        <w:trPr>
          <w:trHeight w:val="37"/>
        </w:trPr>
        <w:tc>
          <w:tcPr>
            <w:tcW w:w="87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87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Cash fows from operatng actvites</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870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9,518</w:t>
            </w:r>
          </w:p>
        </w:tc>
        <w:tc>
          <w:tcPr>
            <w:tcW w:w="280" w:type="dxa"/>
            <w:vAlign w:val="bottom"/>
          </w:tcPr>
          <w:p>
            <w:pPr>
              <w:spacing w:after="0"/>
              <w:rPr>
                <w:sz w:val="18"/>
                <w:szCs w:val="18"/>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68,598</w:t>
            </w:r>
          </w:p>
        </w:tc>
        <w:tc>
          <w:tcPr>
            <w:tcW w:w="100" w:type="dxa"/>
            <w:vAlign w:val="bottom"/>
          </w:tcPr>
          <w:p>
            <w:pPr>
              <w:spacing w:after="0"/>
              <w:rPr>
                <w:sz w:val="18"/>
                <w:szCs w:val="18"/>
                <w:color w:val="auto"/>
              </w:rPr>
            </w:pP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Adjustments to reconcile net income to net cash provided by operatng actvites:</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700" w:type="dxa"/>
            <w:vAlign w:val="bottom"/>
          </w:tcPr>
          <w:p>
            <w:pPr>
              <w:ind w:left="120"/>
              <w:spacing w:after="0" w:line="215" w:lineRule="exact"/>
              <w:rPr>
                <w:sz w:val="20"/>
                <w:szCs w:val="20"/>
                <w:color w:val="auto"/>
              </w:rPr>
            </w:pPr>
            <w:r>
              <w:rPr>
                <w:rFonts w:ascii="Calibri" w:cs="Calibri" w:eastAsia="Calibri" w:hAnsi="Calibri"/>
                <w:sz w:val="18"/>
                <w:szCs w:val="18"/>
                <w:color w:val="auto"/>
              </w:rPr>
              <w:t>Depreciaton and amortzaton</w:t>
            </w: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20,985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5,302</w:t>
            </w:r>
          </w:p>
        </w:tc>
        <w:tc>
          <w:tcPr>
            <w:tcW w:w="100" w:type="dxa"/>
            <w:vAlign w:val="bottom"/>
          </w:tcPr>
          <w:p>
            <w:pPr>
              <w:spacing w:after="0"/>
              <w:rPr>
                <w:sz w:val="18"/>
                <w:szCs w:val="18"/>
                <w:color w:val="auto"/>
              </w:rPr>
            </w:pP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Amortzaton of leases</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843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700" w:type="dxa"/>
            <w:vAlign w:val="bottom"/>
          </w:tcPr>
          <w:p>
            <w:pPr>
              <w:ind w:left="120"/>
              <w:spacing w:after="0" w:line="215" w:lineRule="exact"/>
              <w:rPr>
                <w:sz w:val="20"/>
                <w:szCs w:val="20"/>
                <w:color w:val="auto"/>
              </w:rPr>
            </w:pPr>
            <w:r>
              <w:rPr>
                <w:rFonts w:ascii="Calibri" w:cs="Calibri" w:eastAsia="Calibri" w:hAnsi="Calibri"/>
                <w:sz w:val="18"/>
                <w:szCs w:val="18"/>
                <w:color w:val="auto"/>
              </w:rPr>
              <w:t>Amortzaton of deferred fnancing costs</w:t>
            </w: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453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453</w:t>
            </w:r>
          </w:p>
        </w:tc>
        <w:tc>
          <w:tcPr>
            <w:tcW w:w="100" w:type="dxa"/>
            <w:vAlign w:val="bottom"/>
          </w:tcPr>
          <w:p>
            <w:pPr>
              <w:spacing w:after="0"/>
              <w:rPr>
                <w:sz w:val="18"/>
                <w:szCs w:val="18"/>
                <w:color w:val="auto"/>
              </w:rPr>
            </w:pP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Equity-based compensaton expense</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27,600</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12,910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700" w:type="dxa"/>
            <w:vAlign w:val="bottom"/>
          </w:tcPr>
          <w:p>
            <w:pPr>
              <w:ind w:left="120"/>
              <w:spacing w:after="0" w:line="215" w:lineRule="exact"/>
              <w:rPr>
                <w:sz w:val="20"/>
                <w:szCs w:val="20"/>
                <w:color w:val="auto"/>
              </w:rPr>
            </w:pPr>
            <w:r>
              <w:rPr>
                <w:rFonts w:ascii="Calibri" w:cs="Calibri" w:eastAsia="Calibri" w:hAnsi="Calibri"/>
                <w:sz w:val="18"/>
                <w:szCs w:val="18"/>
                <w:color w:val="auto"/>
              </w:rPr>
              <w:t>Change in fair value of warrants</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(1,761 )</w:t>
            </w:r>
          </w:p>
        </w:tc>
        <w:tc>
          <w:tcPr>
            <w:tcW w:w="2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673</w:t>
            </w:r>
          </w:p>
        </w:tc>
        <w:tc>
          <w:tcPr>
            <w:tcW w:w="100" w:type="dxa"/>
            <w:vAlign w:val="bottom"/>
          </w:tcPr>
          <w:p>
            <w:pPr>
              <w:spacing w:after="0"/>
              <w:rPr>
                <w:sz w:val="18"/>
                <w:szCs w:val="18"/>
                <w:color w:val="auto"/>
              </w:rPr>
            </w:pP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Loss on asset disposals</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122</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700" w:type="dxa"/>
            <w:vAlign w:val="bottom"/>
          </w:tcPr>
          <w:p>
            <w:pPr>
              <w:ind w:left="120"/>
              <w:spacing w:after="0" w:line="215" w:lineRule="exact"/>
              <w:rPr>
                <w:sz w:val="20"/>
                <w:szCs w:val="20"/>
                <w:color w:val="auto"/>
              </w:rPr>
            </w:pPr>
            <w:r>
              <w:rPr>
                <w:rFonts w:ascii="Calibri" w:cs="Calibri" w:eastAsia="Calibri" w:hAnsi="Calibri"/>
                <w:sz w:val="18"/>
                <w:szCs w:val="18"/>
                <w:color w:val="auto"/>
              </w:rPr>
              <w:t>Deferred taxes</w:t>
            </w: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156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(24,577 )</w:t>
            </w: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Change in fair value of derivatve asset</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81</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8700" w:type="dxa"/>
            <w:vAlign w:val="bottom"/>
          </w:tcPr>
          <w:p>
            <w:pPr>
              <w:ind w:left="120"/>
              <w:spacing w:after="0" w:line="215" w:lineRule="exact"/>
              <w:rPr>
                <w:sz w:val="20"/>
                <w:szCs w:val="20"/>
                <w:color w:val="auto"/>
              </w:rPr>
            </w:pPr>
            <w:r>
              <w:rPr>
                <w:rFonts w:ascii="Calibri" w:cs="Calibri" w:eastAsia="Calibri" w:hAnsi="Calibri"/>
                <w:sz w:val="18"/>
                <w:szCs w:val="18"/>
                <w:color w:val="auto"/>
              </w:rPr>
              <w:t>Non-cash interest income</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(291 )</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Foreign currency revaluaton loss</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5,798</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8700" w:type="dxa"/>
            <w:vAlign w:val="bottom"/>
          </w:tcPr>
          <w:p>
            <w:pPr>
              <w:ind w:left="120"/>
              <w:spacing w:after="0" w:line="215" w:lineRule="exact"/>
              <w:rPr>
                <w:sz w:val="20"/>
                <w:szCs w:val="20"/>
                <w:color w:val="auto"/>
              </w:rPr>
            </w:pPr>
            <w:r>
              <w:rPr>
                <w:rFonts w:ascii="Calibri" w:cs="Calibri" w:eastAsia="Calibri" w:hAnsi="Calibri"/>
                <w:sz w:val="18"/>
                <w:szCs w:val="18"/>
                <w:color w:val="auto"/>
              </w:rPr>
              <w:t>Change in fair value of contngent consideraton</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(1,018 )</w:t>
            </w: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Change in assets and liabilites:</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700" w:type="dxa"/>
            <w:vAlign w:val="bottom"/>
          </w:tcPr>
          <w:p>
            <w:pPr>
              <w:ind w:left="120"/>
              <w:spacing w:after="0" w:line="215" w:lineRule="exact"/>
              <w:rPr>
                <w:sz w:val="20"/>
                <w:szCs w:val="20"/>
                <w:color w:val="auto"/>
              </w:rPr>
            </w:pPr>
            <w:r>
              <w:rPr>
                <w:rFonts w:ascii="Calibri" w:cs="Calibri" w:eastAsia="Calibri" w:hAnsi="Calibri"/>
                <w:sz w:val="18"/>
                <w:szCs w:val="18"/>
                <w:color w:val="auto"/>
              </w:rPr>
              <w:t>Accounts receivable – net</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(10,644 )</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(9,770 )</w:t>
            </w: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Inventory – net</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(9,245 )</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(15,227 )</w:t>
            </w:r>
          </w:p>
        </w:tc>
      </w:tr>
      <w:tr>
        <w:trPr>
          <w:trHeight w:val="215"/>
        </w:trPr>
        <w:tc>
          <w:tcPr>
            <w:tcW w:w="8700" w:type="dxa"/>
            <w:vAlign w:val="bottom"/>
          </w:tcPr>
          <w:p>
            <w:pPr>
              <w:ind w:left="12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2,541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(16,696 )</w:t>
            </w: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Accounts payable</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10,084</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42,905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700" w:type="dxa"/>
            <w:vAlign w:val="bottom"/>
          </w:tcPr>
          <w:p>
            <w:pPr>
              <w:ind w:left="120"/>
              <w:spacing w:after="0" w:line="215" w:lineRule="exact"/>
              <w:rPr>
                <w:sz w:val="20"/>
                <w:szCs w:val="20"/>
                <w:color w:val="auto"/>
              </w:rPr>
            </w:pPr>
            <w:r>
              <w:rPr>
                <w:rFonts w:ascii="Calibri" w:cs="Calibri" w:eastAsia="Calibri" w:hAnsi="Calibri"/>
                <w:sz w:val="18"/>
                <w:szCs w:val="18"/>
                <w:color w:val="auto"/>
              </w:rPr>
              <w:t>Accrued expenses and other current liabilites</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(25,803 )</w:t>
            </w:r>
          </w:p>
        </w:tc>
        <w:tc>
          <w:tcPr>
            <w:tcW w:w="2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13,586</w:t>
            </w:r>
          </w:p>
        </w:tc>
        <w:tc>
          <w:tcPr>
            <w:tcW w:w="100" w:type="dxa"/>
            <w:vAlign w:val="bottom"/>
          </w:tcPr>
          <w:p>
            <w:pPr>
              <w:spacing w:after="0"/>
              <w:rPr>
                <w:sz w:val="18"/>
                <w:szCs w:val="18"/>
                <w:color w:val="auto"/>
              </w:rPr>
            </w:pP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Deferred revenue</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(4,505 )</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(1,913 )</w:t>
            </w:r>
          </w:p>
        </w:tc>
      </w:tr>
      <w:tr>
        <w:trPr>
          <w:trHeight w:val="220"/>
        </w:trPr>
        <w:tc>
          <w:tcPr>
            <w:tcW w:w="8700" w:type="dxa"/>
            <w:vAlign w:val="bottom"/>
          </w:tcPr>
          <w:p>
            <w:pPr>
              <w:ind w:left="120"/>
              <w:spacing w:after="0"/>
              <w:rPr>
                <w:sz w:val="20"/>
                <w:szCs w:val="20"/>
                <w:color w:val="auto"/>
              </w:rPr>
            </w:pPr>
            <w:r>
              <w:rPr>
                <w:rFonts w:ascii="Calibri" w:cs="Calibri" w:eastAsia="Calibri" w:hAnsi="Calibri"/>
                <w:sz w:val="18"/>
                <w:szCs w:val="18"/>
                <w:color w:val="auto"/>
              </w:rPr>
              <w:t>Other non-current assets and liabilites</w:t>
            </w:r>
          </w:p>
        </w:tc>
        <w:tc>
          <w:tcPr>
            <w:tcW w:w="240" w:type="dxa"/>
            <w:vAlign w:val="bottom"/>
          </w:tcPr>
          <w:p>
            <w:pPr>
              <w:spacing w:after="0"/>
              <w:rPr>
                <w:sz w:val="19"/>
                <w:szCs w:val="19"/>
                <w:color w:val="auto"/>
              </w:rPr>
            </w:pPr>
          </w:p>
        </w:tc>
        <w:tc>
          <w:tcPr>
            <w:tcW w:w="11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(573 )</w:t>
            </w:r>
          </w:p>
        </w:tc>
        <w:tc>
          <w:tcPr>
            <w:tcW w:w="22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7,132</w:t>
            </w:r>
          </w:p>
        </w:tc>
        <w:tc>
          <w:tcPr>
            <w:tcW w:w="100" w:type="dxa"/>
            <w:vAlign w:val="bottom"/>
          </w:tcPr>
          <w:p>
            <w:pPr>
              <w:spacing w:after="0"/>
              <w:rPr>
                <w:sz w:val="19"/>
                <w:szCs w:val="19"/>
                <w:color w:val="auto"/>
              </w:rPr>
            </w:pPr>
          </w:p>
        </w:tc>
      </w:tr>
      <w:tr>
        <w:trPr>
          <w:trHeight w:val="23"/>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Net cash provided by operatng actvites</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25,359</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82,670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870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investng actvites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Purchases of property and equipment</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(378 )</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(606 )</w:t>
            </w:r>
          </w:p>
        </w:tc>
      </w:tr>
      <w:tr>
        <w:trPr>
          <w:trHeight w:val="215"/>
        </w:trPr>
        <w:tc>
          <w:tcPr>
            <w:tcW w:w="8700" w:type="dxa"/>
            <w:vAlign w:val="bottom"/>
          </w:tcPr>
          <w:p>
            <w:pPr>
              <w:ind w:left="120"/>
              <w:spacing w:after="0" w:line="215" w:lineRule="exact"/>
              <w:rPr>
                <w:sz w:val="20"/>
                <w:szCs w:val="20"/>
                <w:color w:val="auto"/>
              </w:rPr>
            </w:pPr>
            <w:r>
              <w:rPr>
                <w:rFonts w:ascii="Calibri" w:cs="Calibri" w:eastAsia="Calibri" w:hAnsi="Calibri"/>
                <w:sz w:val="18"/>
                <w:szCs w:val="18"/>
                <w:color w:val="auto"/>
              </w:rPr>
              <w:t>Purchases of personal seat licenses</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(737 )</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(486 )</w:t>
            </w: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Investments in developed technology</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(9,433 )</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(4,491 )</w:t>
            </w:r>
          </w:p>
        </w:tc>
      </w:tr>
      <w:tr>
        <w:trPr>
          <w:trHeight w:val="20"/>
        </w:trPr>
        <w:tc>
          <w:tcPr>
            <w:tcW w:w="8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8700" w:type="dxa"/>
            <w:vAlign w:val="bottom"/>
          </w:tcPr>
          <w:p>
            <w:pPr>
              <w:ind w:left="20"/>
              <w:spacing w:after="0" w:line="208" w:lineRule="exact"/>
              <w:rPr>
                <w:sz w:val="20"/>
                <w:szCs w:val="20"/>
                <w:color w:val="auto"/>
              </w:rPr>
            </w:pPr>
            <w:r>
              <w:rPr>
                <w:rFonts w:ascii="Calibri" w:cs="Calibri" w:eastAsia="Calibri" w:hAnsi="Calibri"/>
                <w:sz w:val="18"/>
                <w:szCs w:val="18"/>
                <w:b w:val="1"/>
                <w:bCs w:val="1"/>
                <w:color w:val="auto"/>
              </w:rPr>
              <w:t>Net cash used in investng actvites</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line="208" w:lineRule="exact"/>
              <w:rPr>
                <w:sz w:val="20"/>
                <w:szCs w:val="20"/>
                <w:color w:val="auto"/>
              </w:rPr>
            </w:pPr>
            <w:r>
              <w:rPr>
                <w:rFonts w:ascii="Calibri" w:cs="Calibri" w:eastAsia="Calibri" w:hAnsi="Calibri"/>
                <w:sz w:val="18"/>
                <w:szCs w:val="18"/>
                <w:b w:val="1"/>
                <w:bCs w:val="1"/>
                <w:color w:val="auto"/>
              </w:rPr>
              <w:t>(10,548 )</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line="208" w:lineRule="exact"/>
              <w:rPr>
                <w:sz w:val="20"/>
                <w:szCs w:val="20"/>
                <w:color w:val="auto"/>
              </w:rPr>
            </w:pPr>
            <w:r>
              <w:rPr>
                <w:rFonts w:ascii="Calibri" w:cs="Calibri" w:eastAsia="Calibri" w:hAnsi="Calibri"/>
                <w:sz w:val="18"/>
                <w:szCs w:val="18"/>
                <w:b w:val="1"/>
                <w:bCs w:val="1"/>
                <w:color w:val="auto"/>
              </w:rPr>
              <w:t>(5,583 )</w:t>
            </w: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Cash fows from fnancing actvites</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700" w:type="dxa"/>
            <w:vAlign w:val="bottom"/>
          </w:tcPr>
          <w:p>
            <w:pPr>
              <w:ind w:left="120"/>
              <w:spacing w:after="0" w:line="215" w:lineRule="exact"/>
              <w:rPr>
                <w:sz w:val="20"/>
                <w:szCs w:val="20"/>
                <w:color w:val="auto"/>
              </w:rPr>
            </w:pPr>
            <w:r>
              <w:rPr>
                <w:rFonts w:ascii="Calibri" w:cs="Calibri" w:eastAsia="Calibri" w:hAnsi="Calibri"/>
                <w:sz w:val="18"/>
                <w:szCs w:val="18"/>
                <w:color w:val="auto"/>
              </w:rPr>
              <w:t>Payments of February 2022 First Lien Loan</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(689 )</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(1,375 )</w:t>
            </w: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Repurchase of common stock as treasury stock</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(20,069 )</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(7,612 )</w:t>
            </w:r>
          </w:p>
        </w:tc>
      </w:tr>
      <w:tr>
        <w:trPr>
          <w:trHeight w:val="215"/>
        </w:trPr>
        <w:tc>
          <w:tcPr>
            <w:tcW w:w="8700" w:type="dxa"/>
            <w:vAlign w:val="bottom"/>
          </w:tcPr>
          <w:p>
            <w:pPr>
              <w:ind w:left="120"/>
              <w:spacing w:after="0" w:line="215" w:lineRule="exact"/>
              <w:rPr>
                <w:sz w:val="20"/>
                <w:szCs w:val="20"/>
                <w:color w:val="auto"/>
              </w:rPr>
            </w:pPr>
            <w:r>
              <w:rPr>
                <w:rFonts w:ascii="Calibri" w:cs="Calibri" w:eastAsia="Calibri" w:hAnsi="Calibri"/>
                <w:sz w:val="18"/>
                <w:szCs w:val="18"/>
                <w:color w:val="auto"/>
              </w:rPr>
              <w:t>Tax distributons</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(6,414 )</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(11,016 )</w:t>
            </w: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Payments of Shoko Chukin Bank Loan</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(2,655 )</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8700" w:type="dxa"/>
            <w:vAlign w:val="bottom"/>
          </w:tcPr>
          <w:p>
            <w:pPr>
              <w:ind w:left="120"/>
              <w:spacing w:after="0" w:line="215" w:lineRule="exact"/>
              <w:rPr>
                <w:sz w:val="20"/>
                <w:szCs w:val="20"/>
                <w:color w:val="auto"/>
              </w:rPr>
            </w:pPr>
            <w:r>
              <w:rPr>
                <w:rFonts w:ascii="Calibri" w:cs="Calibri" w:eastAsia="Calibri" w:hAnsi="Calibri"/>
                <w:sz w:val="18"/>
                <w:szCs w:val="18"/>
                <w:color w:val="auto"/>
              </w:rPr>
              <w:t>Payments for taxes related to net setlement of equity incentve awards</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(565 )</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Proceeds from June 2024 First Lien Loan</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125,500</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8700" w:type="dxa"/>
            <w:vAlign w:val="bottom"/>
          </w:tcPr>
          <w:p>
            <w:pPr>
              <w:ind w:left="120"/>
              <w:spacing w:after="0" w:line="215" w:lineRule="exact"/>
              <w:rPr>
                <w:sz w:val="20"/>
                <w:szCs w:val="20"/>
                <w:color w:val="auto"/>
              </w:rPr>
            </w:pPr>
            <w:r>
              <w:rPr>
                <w:rFonts w:ascii="Calibri" w:cs="Calibri" w:eastAsia="Calibri" w:hAnsi="Calibri"/>
                <w:sz w:val="18"/>
                <w:szCs w:val="18"/>
                <w:color w:val="auto"/>
              </w:rPr>
              <w:t>Payments of deferred fnancing costs and other debt-related costs</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(315 )</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Payment of liabilites under Tax Receivable Agreement</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(77 )</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20"/>
        </w:trPr>
        <w:tc>
          <w:tcPr>
            <w:tcW w:w="8700" w:type="dxa"/>
            <w:vAlign w:val="bottom"/>
          </w:tcPr>
          <w:p>
            <w:pPr>
              <w:ind w:left="120"/>
              <w:spacing w:after="0"/>
              <w:rPr>
                <w:sz w:val="20"/>
                <w:szCs w:val="20"/>
                <w:color w:val="auto"/>
              </w:rPr>
            </w:pPr>
            <w:r>
              <w:rPr>
                <w:rFonts w:ascii="Calibri" w:cs="Calibri" w:eastAsia="Calibri" w:hAnsi="Calibri"/>
                <w:sz w:val="18"/>
                <w:szCs w:val="18"/>
                <w:color w:val="auto"/>
              </w:rPr>
              <w:t>Cash paid for milestone payments</w:t>
            </w:r>
          </w:p>
        </w:tc>
        <w:tc>
          <w:tcPr>
            <w:tcW w:w="240" w:type="dxa"/>
            <w:vAlign w:val="bottom"/>
          </w:tcPr>
          <w:p>
            <w:pPr>
              <w:spacing w:after="0"/>
              <w:rPr>
                <w:sz w:val="19"/>
                <w:szCs w:val="19"/>
                <w:color w:val="auto"/>
              </w:rPr>
            </w:pPr>
          </w:p>
        </w:tc>
        <w:tc>
          <w:tcPr>
            <w:tcW w:w="116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(2,500 )</w:t>
            </w:r>
          </w:p>
        </w:tc>
      </w:tr>
      <w:tr>
        <w:trPr>
          <w:trHeight w:val="23"/>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Net cash provided by (used in) fnancing actvites</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94,716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gridSpan w:val="2"/>
            <w:shd w:val="clear" w:color="auto" w:fill="CFF0FC"/>
          </w:tcPr>
          <w:p>
            <w:pPr>
              <w:jc w:val="right"/>
              <w:ind w:right="40"/>
              <w:spacing w:after="0" w:line="208" w:lineRule="exact"/>
              <w:rPr>
                <w:sz w:val="20"/>
                <w:szCs w:val="20"/>
                <w:color w:val="auto"/>
              </w:rPr>
            </w:pPr>
            <w:r>
              <w:rPr>
                <w:rFonts w:ascii="Calibri" w:cs="Calibri" w:eastAsia="Calibri" w:hAnsi="Calibri"/>
                <w:sz w:val="18"/>
                <w:szCs w:val="18"/>
                <w:b w:val="1"/>
                <w:bCs w:val="1"/>
                <w:color w:val="auto"/>
              </w:rPr>
              <w:t>(22,503 )</w:t>
            </w:r>
          </w:p>
        </w:tc>
      </w:tr>
      <w:tr>
        <w:trPr>
          <w:trHeight w:val="220"/>
        </w:trPr>
        <w:tc>
          <w:tcPr>
            <w:tcW w:w="8700" w:type="dxa"/>
            <w:vAlign w:val="bottom"/>
          </w:tcPr>
          <w:p>
            <w:pPr>
              <w:ind w:left="120"/>
              <w:spacing w:after="0"/>
              <w:rPr>
                <w:sz w:val="20"/>
                <w:szCs w:val="20"/>
                <w:color w:val="auto"/>
              </w:rPr>
            </w:pPr>
            <w:r>
              <w:rPr>
                <w:rFonts w:ascii="Calibri" w:cs="Calibri" w:eastAsia="Calibri" w:hAnsi="Calibri"/>
                <w:sz w:val="18"/>
                <w:szCs w:val="18"/>
                <w:color w:val="auto"/>
              </w:rPr>
              <w:t>Impact of foreign exchange on cash, cash equivalents, and restricted cash</w:t>
            </w:r>
          </w:p>
        </w:tc>
        <w:tc>
          <w:tcPr>
            <w:tcW w:w="240" w:type="dxa"/>
            <w:vAlign w:val="bottom"/>
          </w:tcPr>
          <w:p>
            <w:pPr>
              <w:spacing w:after="0"/>
              <w:rPr>
                <w:sz w:val="19"/>
                <w:szCs w:val="19"/>
                <w:color w:val="auto"/>
              </w:rPr>
            </w:pPr>
          </w:p>
        </w:tc>
        <w:tc>
          <w:tcPr>
            <w:tcW w:w="11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(1,536 )</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870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Net increase in cash, cash equivalents, and restricted cash</w:t>
            </w:r>
          </w:p>
        </w:tc>
        <w:tc>
          <w:tcPr>
            <w:tcW w:w="24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107,991</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54,584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3"/>
        </w:trPr>
        <w:tc>
          <w:tcPr>
            <w:tcW w:w="870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b w:val="1"/>
                <w:bCs w:val="1"/>
                <w:color w:val="auto"/>
              </w:rPr>
              <w:t>Cash, cash equivalents, and restricted cash – beginning of period</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132,434</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252,290</w:t>
            </w:r>
          </w:p>
        </w:tc>
        <w:tc>
          <w:tcPr>
            <w:tcW w:w="100" w:type="dxa"/>
            <w:vAlign w:val="bottom"/>
            <w:tcBorders>
              <w:top w:val="single" w:sz="8" w:color="CFF0FC"/>
            </w:tcBorders>
          </w:tcPr>
          <w:p>
            <w:pPr>
              <w:spacing w:after="0"/>
              <w:rPr>
                <w:sz w:val="18"/>
                <w:szCs w:val="18"/>
                <w:color w:val="auto"/>
              </w:rPr>
            </w:pPr>
          </w:p>
        </w:tc>
      </w:tr>
      <w:tr>
        <w:trPr>
          <w:trHeight w:val="24"/>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87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Cash, cash equivalents, and restricted cash – end of period</w:t>
            </w:r>
          </w:p>
        </w:tc>
        <w:tc>
          <w:tcPr>
            <w:tcW w:w="240" w:type="dxa"/>
            <w:vAlign w:val="bottom"/>
            <w:tcBorders>
              <w:bottom w:val="single" w:sz="8" w:color="auto"/>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b w:val="1"/>
                <w:bCs w:val="1"/>
                <w:color w:val="auto"/>
                <w:w w:val="87"/>
              </w:rPr>
              <w:t>$</w:t>
            </w:r>
          </w:p>
        </w:tc>
        <w:tc>
          <w:tcPr>
            <w:tcW w:w="8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240,425</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b w:val="1"/>
                <w:bCs w:val="1"/>
                <w:color w:val="auto"/>
                <w:w w:val="87"/>
              </w:rPr>
              <w:t>$</w:t>
            </w:r>
          </w:p>
        </w:tc>
        <w:tc>
          <w:tcPr>
            <w:tcW w:w="8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306,874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95"/>
        </w:trPr>
        <w:tc>
          <w:tcPr>
            <w:tcW w:w="8700" w:type="dxa"/>
            <w:vAlign w:val="bottom"/>
          </w:tcPr>
          <w:p>
            <w:pPr>
              <w:ind w:left="20"/>
              <w:spacing w:after="0" w:line="196" w:lineRule="exact"/>
              <w:rPr>
                <w:sz w:val="20"/>
                <w:szCs w:val="20"/>
                <w:color w:val="auto"/>
              </w:rPr>
            </w:pPr>
            <w:r>
              <w:rPr>
                <w:rFonts w:ascii="Calibri" w:cs="Calibri" w:eastAsia="Calibri" w:hAnsi="Calibri"/>
                <w:sz w:val="18"/>
                <w:szCs w:val="18"/>
                <w:b w:val="1"/>
                <w:bCs w:val="1"/>
                <w:color w:val="auto"/>
              </w:rPr>
              <w:t>Supplemental disclosure of cash fow informaton:</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Cash paid for interest</w:t>
            </w: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16,108</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7,261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700" w:type="dxa"/>
            <w:vAlign w:val="bottom"/>
          </w:tcPr>
          <w:p>
            <w:pPr>
              <w:ind w:left="120"/>
              <w:spacing w:after="0" w:line="215" w:lineRule="exact"/>
              <w:rPr>
                <w:sz w:val="20"/>
                <w:szCs w:val="20"/>
                <w:color w:val="auto"/>
              </w:rPr>
            </w:pPr>
            <w:r>
              <w:rPr>
                <w:rFonts w:ascii="Calibri" w:cs="Calibri" w:eastAsia="Calibri" w:hAnsi="Calibri"/>
                <w:sz w:val="18"/>
                <w:szCs w:val="18"/>
                <w:color w:val="auto"/>
              </w:rPr>
              <w:t>Cash paid for income tax</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3,285</w:t>
            </w:r>
          </w:p>
        </w:tc>
        <w:tc>
          <w:tcPr>
            <w:tcW w:w="280" w:type="dxa"/>
            <w:vAlign w:val="bottom"/>
          </w:tcPr>
          <w:p>
            <w:pPr>
              <w:spacing w:after="0"/>
              <w:rPr>
                <w:sz w:val="18"/>
                <w:szCs w:val="18"/>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401</w:t>
            </w:r>
          </w:p>
        </w:tc>
        <w:tc>
          <w:tcPr>
            <w:tcW w:w="100" w:type="dxa"/>
            <w:vAlign w:val="bottom"/>
          </w:tcPr>
          <w:p>
            <w:pPr>
              <w:spacing w:after="0"/>
              <w:rPr>
                <w:sz w:val="18"/>
                <w:szCs w:val="18"/>
                <w:color w:val="auto"/>
              </w:rPr>
            </w:pP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Cash paid for operatng lease liabilites</w:t>
            </w: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1,527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700" w:type="dxa"/>
            <w:vAlign w:val="bottom"/>
          </w:tcPr>
          <w:p>
            <w:pPr>
              <w:ind w:left="120"/>
              <w:spacing w:after="0" w:line="215" w:lineRule="exact"/>
              <w:rPr>
                <w:sz w:val="20"/>
                <w:szCs w:val="20"/>
                <w:color w:val="auto"/>
              </w:rPr>
            </w:pPr>
            <w:r>
              <w:rPr>
                <w:rFonts w:ascii="Calibri" w:cs="Calibri" w:eastAsia="Calibri" w:hAnsi="Calibri"/>
                <w:sz w:val="18"/>
                <w:szCs w:val="18"/>
                <w:color w:val="auto"/>
              </w:rPr>
              <w:t>Right-of-use assets obtained in exchange for lease obligatons</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935</w:t>
            </w:r>
          </w:p>
        </w:tc>
        <w:tc>
          <w:tcPr>
            <w:tcW w:w="280" w:type="dxa"/>
            <w:vAlign w:val="bottom"/>
          </w:tcPr>
          <w:p>
            <w:pPr>
              <w:spacing w:after="0"/>
              <w:rPr>
                <w:sz w:val="18"/>
                <w:szCs w:val="18"/>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Establishment of liabilites under Tax Receivable Agreement</w:t>
            </w: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CFF0FC"/>
            </w:tcBorders>
            <w:gridSpan w:val="2"/>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98,977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9"/>
        </w:trPr>
        <w:tc>
          <w:tcPr>
            <w:tcW w:w="8700" w:type="dxa"/>
            <w:vAlign w:val="bottom"/>
          </w:tcPr>
          <w:p>
            <w:pPr>
              <w:ind w:left="120"/>
              <w:spacing w:after="0"/>
              <w:rPr>
                <w:sz w:val="20"/>
                <w:szCs w:val="20"/>
                <w:color w:val="auto"/>
              </w:rPr>
            </w:pPr>
            <w:r>
              <w:rPr>
                <w:rFonts w:ascii="Calibri" w:cs="Calibri" w:eastAsia="Calibri" w:hAnsi="Calibri"/>
                <w:sz w:val="18"/>
                <w:szCs w:val="18"/>
                <w:color w:val="auto"/>
              </w:rPr>
              <w:t>Establishment of deferred tax asset under Tax Receivable Agreement and Secondary Ofering</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52,845</w:t>
            </w:r>
          </w:p>
        </w:tc>
        <w:tc>
          <w:tcPr>
            <w:tcW w:w="100" w:type="dxa"/>
            <w:vAlign w:val="bottom"/>
          </w:tcPr>
          <w:p>
            <w:pPr>
              <w:spacing w:after="0"/>
              <w:rPr>
                <w:sz w:val="19"/>
                <w:szCs w:val="19"/>
                <w:color w:val="auto"/>
              </w:rPr>
            </w:pPr>
          </w:p>
        </w:tc>
      </w:tr>
      <w:tr>
        <w:trPr>
          <w:trHeight w:val="24"/>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-3625215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-1439545</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-1113790</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-1096645</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ectPr>
          <w:pgSz w:w="11900" w:h="16838" w:orient="portrait"/>
          <w:cols w:equalWidth="0" w:num="1">
            <w:col w:w="11240"/>
          </w:cols>
          <w:pgMar w:left="320" w:top="504" w:right="339" w:bottom="1440" w:gutter="0" w:footer="0" w:header="0"/>
        </w:sectPr>
      </w:pPr>
    </w:p>
    <w:p>
      <w:pPr>
        <w:spacing w:after="0" w:line="14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type w:val="continuous"/>
        </w:sectPr>
      </w:pPr>
    </w:p>
    <w:bookmarkStart w:id="9" w:name="page10"/>
    <w:bookmarkEnd w:id="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 Background and Basis of Presentation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Vivid Seats Inc. (“VSI”) and its subsidiaries including Hoya Intermediate, LLC (“Hoya Intermediate”), Hoya Midco, LLC and Vivid Seats LLC (collectvely the “Company,” “us,” “we” and “our”) provide an online tcket marketplace that enables buyers to easily discover and purchase tckets to live events and atractons and book hotel rooms and packages in the United States, Canada and Japan. In our Marketplace segment, we primarily act as an intermediary between tcket buyers, sellers and partners within our online tcket marketplace, while enabling tcket sellers and partners to seamlessly manage their operatons. In our Resale segment, we primarily acquire tckets to resell on secondary tcket marketplaces, including our own.</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prepared these unaudited condensed consolidated fnancial statements in accordance with accountng principles generally accepted in the United States of America (“GAAP”) for interim fnancial informaton and the instructons to the Quarterly Report on Form 10-Q and Artcle 10 of Regulaton S-X issued by the U.S. Securites and Exchange Commission (the “SEC”). Accordingly, they do not include all of the informaton and notes required by GAAP for comprehensive annual fnancial statements. In our opinion, all adjustments considered necessary for a fair presentaton of the results of operatons for the interim periods have been included and are of a normal, recurring nature. The results refected in these condensed consolidated fnancial statements are not necessarily indicatve of results that may be expected for any other interim period or for the full year. These condensed consolidated fnancial statements should be read together with the audited annual consolidated fnancial statements and accompanying notes included in our Annual Report on Form 10-K for the fscal year ended December 31, 2023, which was fled with the SEC on March 8, 2024 (our “2023 Form 10-K”). These condensed consolidated fnancial statements include all of our accounts, including those of our consolidated subsidiaries. All intercompany transactons and balances have been eliminated in consolidaton.</w:t>
      </w:r>
    </w:p>
    <w:p>
      <w:pPr>
        <w:spacing w:after="0" w:line="1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 New Accounting Standards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Issued Accountng Standards Adopted</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Acquired Contract Assets and Contract Liabilites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October 2021, the Financial Accountng Standards Board (the “FASB”) issued Accountng Standard Update (“ASU”) 2021-08, </w:t>
      </w:r>
      <w:r>
        <w:rPr>
          <w:rFonts w:ascii="Calibri" w:cs="Calibri" w:eastAsia="Calibri" w:hAnsi="Calibri"/>
          <w:sz w:val="18"/>
          <w:szCs w:val="18"/>
          <w:i w:val="1"/>
          <w:iCs w:val="1"/>
          <w:color w:val="auto"/>
        </w:rPr>
        <w:t>Business Combinatons (Topic</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805): Accountng for Contract Assets and Contract Liabilites from Contracts with Customers. </w:t>
      </w:r>
      <w:r>
        <w:rPr>
          <w:rFonts w:ascii="Calibri" w:cs="Calibri" w:eastAsia="Calibri" w:hAnsi="Calibri"/>
          <w:sz w:val="18"/>
          <w:szCs w:val="18"/>
          <w:color w:val="auto"/>
        </w:rPr>
        <w:t>The ASU requires contract assets and liabilites acquired in a</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business combinaton to be recognized and measured by the acquirer on the acquisiton date in accordance with Accountng Standards Codifcaton (“ASC”) Topic 606, </w:t>
      </w:r>
      <w:r>
        <w:rPr>
          <w:rFonts w:ascii="Calibri" w:cs="Calibri" w:eastAsia="Calibri" w:hAnsi="Calibri"/>
          <w:sz w:val="18"/>
          <w:szCs w:val="18"/>
          <w:i w:val="1"/>
          <w:iCs w:val="1"/>
          <w:color w:val="auto"/>
        </w:rPr>
        <w:t>Revenue from Contracts with Customers</w:t>
      </w:r>
      <w:r>
        <w:rPr>
          <w:rFonts w:ascii="Calibri" w:cs="Calibri" w:eastAsia="Calibri" w:hAnsi="Calibri"/>
          <w:sz w:val="18"/>
          <w:szCs w:val="18"/>
          <w:color w:val="auto"/>
        </w:rPr>
        <w:t>, as if it had originated the contracts. Under the previous guidance, such assets and liabilites were recognized by the acquirer at fair value on the acquisiton date. The ASU allows for immediate adopton on a retrospectve basis for all business combinatons that have occurred since the beginning of the annual period that includes the interim period of adopton. We elected to adopt these requirements during the three months ended December 31, 2023, with no material impact on our condensed consolidated fnancial statements.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Issued Accountng Standards Not Yet Adopted</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 xml:space="preserve">Segment Reportng </w:t>
      </w:r>
      <w:r>
        <w:rPr>
          <w:rFonts w:ascii="Times New Roman" w:cs="Times New Roman" w:eastAsia="Times New Roman" w:hAnsi="Times New Roman"/>
          <w:sz w:val="18"/>
          <w:szCs w:val="18"/>
          <w:i w:val="1"/>
          <w:iCs w:val="1"/>
          <w:color w:val="auto"/>
        </w:rPr>
        <w:t>-</w:t>
      </w:r>
      <w:r>
        <w:rPr>
          <w:rFonts w:ascii="Calibri" w:cs="Calibri" w:eastAsia="Calibri" w:hAnsi="Calibri"/>
          <w:sz w:val="18"/>
          <w:szCs w:val="18"/>
          <w:i w:val="1"/>
          <w:iCs w:val="1"/>
          <w:color w:val="auto"/>
        </w:rPr>
        <w:t xml:space="preserve"> Improvements to Reportable Segment Disclosures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November 2023, the FASB issued ASU 2023-07, </w:t>
      </w:r>
      <w:r>
        <w:rPr>
          <w:rFonts w:ascii="Calibri" w:cs="Calibri" w:eastAsia="Calibri" w:hAnsi="Calibri"/>
          <w:sz w:val="18"/>
          <w:szCs w:val="18"/>
          <w:i w:val="1"/>
          <w:iCs w:val="1"/>
          <w:color w:val="auto"/>
        </w:rPr>
        <w:t>Segment Reportng (Topic 280): Improvements to Reportable Segment Disclosures</w:t>
      </w:r>
      <w:r>
        <w:rPr>
          <w:rFonts w:ascii="Calibri" w:cs="Calibri" w:eastAsia="Calibri" w:hAnsi="Calibri"/>
          <w:sz w:val="18"/>
          <w:szCs w:val="18"/>
          <w:color w:val="auto"/>
        </w:rPr>
        <w:t>, which updates reportable segment disclosure requirements primarily through enhanced disclosures about signifcant segment expenses. The amendments are efectve for fscal years beginning afer December 15, 2023, and for interim periods within fscal years beginning afer December 15, 2024. Early adopton is permited. The amendments should be applied retrospectvely to all prior periods presented in the fnancial statements. We are currently evaluatng the impact of adoptng the amendments on our future condensed consolidated fnancial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 w:name="page11"/>
    <w:bookmarkEnd w:id="1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Income Taxes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December 2023</w:t>
      </w:r>
      <w:r>
        <w:rPr>
          <w:rFonts w:ascii="Calibri" w:cs="Calibri" w:eastAsia="Calibri" w:hAnsi="Calibri"/>
          <w:sz w:val="18"/>
          <w:szCs w:val="18"/>
          <w:i w:val="1"/>
          <w:iCs w:val="1"/>
          <w:color w:val="auto"/>
        </w:rPr>
        <w:t>,</w:t>
      </w:r>
      <w:r>
        <w:rPr>
          <w:rFonts w:ascii="Calibri" w:cs="Calibri" w:eastAsia="Calibri" w:hAnsi="Calibri"/>
          <w:sz w:val="18"/>
          <w:szCs w:val="18"/>
          <w:color w:val="auto"/>
        </w:rPr>
        <w:t xml:space="preserve"> the FASB issued ASU 2023-09</w:t>
      </w:r>
      <w:r>
        <w:rPr>
          <w:rFonts w:ascii="Calibri" w:cs="Calibri" w:eastAsia="Calibri" w:hAnsi="Calibri"/>
          <w:sz w:val="18"/>
          <w:szCs w:val="18"/>
          <w:i w:val="1"/>
          <w:iCs w:val="1"/>
          <w:color w:val="auto"/>
        </w:rPr>
        <w:t>, Income Taxes (Topic 740): Improvements to Income Tax Disclosures,</w:t>
      </w:r>
      <w:r>
        <w:rPr>
          <w:rFonts w:ascii="Calibri" w:cs="Calibri" w:eastAsia="Calibri" w:hAnsi="Calibri"/>
          <w:sz w:val="18"/>
          <w:szCs w:val="18"/>
          <w:color w:val="auto"/>
        </w:rPr>
        <w:t xml:space="preserve"> which requires that an entty, on an annual basis, disclose additonal income tax informaton, primarily related to the rate reconciliaton and income taxes paid. The amendments are intended to enhance the transparency and decision usefulness of income tax disclosures. The amendments are efectve for annual periods beginning afer December 15, 2025. We are currently evaluatng the impact of adoptng the new amendments, which are expected to result in enhanced disclosures, on our future condensed consolidated fnancial statements.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Stock Compensaton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March 2024, the FASB issued ASU 2024-01, </w:t>
      </w:r>
      <w:r>
        <w:rPr>
          <w:rFonts w:ascii="Calibri" w:cs="Calibri" w:eastAsia="Calibri" w:hAnsi="Calibri"/>
          <w:sz w:val="18"/>
          <w:szCs w:val="18"/>
          <w:i w:val="1"/>
          <w:iCs w:val="1"/>
          <w:color w:val="auto"/>
        </w:rPr>
        <w:t>Compensaton—Stock Compensaton (Topic 718)—Scope Applicaton of Profts Interest and Similar Awards.</w:t>
      </w:r>
      <w:r>
        <w:rPr>
          <w:rFonts w:ascii="Calibri" w:cs="Calibri" w:eastAsia="Calibri" w:hAnsi="Calibri"/>
          <w:sz w:val="18"/>
          <w:szCs w:val="18"/>
          <w:color w:val="auto"/>
        </w:rPr>
        <w:t xml:space="preserve"> The amendments are intended to improve the clarity of paragraph 718-10-15-3 and its applicaton to profts interest or similar awards, primarily through the additon of an illustratve example. The amendments are efectve for fscal years beginning afer December 15, 2025, and for interim periods within those annual periods. Early adopton is permited for both interim and annual fnancial statements that have not yet been issued or made available for issuance. We are currently evaluatng the impact of adoptng the amendments on our future condensed consolidated fnancial statements.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3. Business Acquisitions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Vegas.com Acquisiton</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On November 3, 2023, we acquired VDC Holdco, LLC, the parent company of Vegas.com, LLC (together, “Vegas.com”), an online tcket marketplace headquartered in Las Vegas, Nevada. The purchase price was $248.3 million, comprising $152.8 million in cash and approximately 15.6 million shares of our Class A common stock. We fnanced the cash porton of the purchase price at closing with cash on hand. The purchase consideraton allocaton is preliminary because the evaluatons necessary to assess the fair values of the net assets acquired are stll in process. The primary areas that are not yet fnalized relate to the valuatons of certain intangible assets and acquired income tax assets and liabilites. As a result, these allocatons are subject to change during the one-year measurement period. There were no changes to the preliminary purchase price allocaton during the six months ended June 30, 2024.</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Wavedash Acquisiton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September 8, 2023, we acquired WD Holdings Co., Ltd., the parent company of Wavedash Co., Ltd. (together, “Wavedash”), an online tcket marketplace headquartered in Tokyo, Japan. The purchase price was JPY 10,946.1 million, or approximately $74.3 million based on the exchange rate in efect on the acquisiton date, before considering the net efect of cash acquired. We fnanced the purchase price at closing with cash on hand. The purchase consideraton allocaton is preliminary because the evaluatons necessary to assess the fair values of the net assets acquired are stll in process. The primary areas that are not yet fnalized relate to the valuatons of certain intangible assets and acquired income tax assets and liabilites. Acquired assets and liability amounts are also stll being fnalized. As a result, these allocatons are subject to change during the one-year measurement period. There were no changes to the preliminary purchase price allocaton during the six months ended June 30, 2024.</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4. Revenue Recognition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recognize revenue in accordance with ASC Topic 606, </w:t>
      </w:r>
      <w:r>
        <w:rPr>
          <w:rFonts w:ascii="Calibri" w:cs="Calibri" w:eastAsia="Calibri" w:hAnsi="Calibri"/>
          <w:sz w:val="18"/>
          <w:szCs w:val="18"/>
          <w:i w:val="1"/>
          <w:iCs w:val="1"/>
          <w:color w:val="auto"/>
        </w:rPr>
        <w:t>Revenue from Contracts with Customers</w:t>
      </w:r>
      <w:r>
        <w:rPr>
          <w:rFonts w:ascii="Calibri" w:cs="Calibri" w:eastAsia="Calibri" w:hAnsi="Calibri"/>
          <w:sz w:val="18"/>
          <w:szCs w:val="18"/>
          <w:color w:val="auto"/>
        </w:rPr>
        <w:t>. We have two reportable segments: Marketplace and Resale.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Marketplace segment, we primarily act as an intermediary between tcket buyers, sellers and partners through which we earn revenue processing tcket sales for live events and atractons and from facilitatng the booking of hotel rooms and packages from our Owned Propertes and from our Private Label Ofering. Our Owned Propertes consist of our websites and mobile applicatons, including Vivid Seats, Vegas.com and Wavedash, and our Private Label Ofering consists of numerous distributon partners. The Owned Propertes component of our Marketplace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 w:name="page12"/>
    <w:bookmarkEnd w:id="1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segment also includes our Vivid Picks daily fantasy sports ofering, where users partake in contests by making picks from a variety of sport and player matchups. Using our online platorm, we facilitate customer payments, deposits and withdrawals, coordinate tcket deliveries and provide customer service.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20" w:type="dxa"/>
            <w:vAlign w:val="bottom"/>
          </w:tcPr>
          <w:p>
            <w:pPr>
              <w:spacing w:after="0"/>
              <w:rPr>
                <w:sz w:val="20"/>
                <w:szCs w:val="20"/>
                <w:color w:val="auto"/>
              </w:rPr>
            </w:pPr>
            <w:r>
              <w:rPr>
                <w:rFonts w:ascii="Calibri" w:cs="Calibri" w:eastAsia="Calibri" w:hAnsi="Calibri"/>
                <w:sz w:val="18"/>
                <w:szCs w:val="18"/>
                <w:color w:val="auto"/>
              </w:rPr>
              <w:t>Marketplace revenues consisted of the following (in thousands):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8"/>
        </w:trPr>
        <w:tc>
          <w:tcPr>
            <w:tcW w:w="4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350"/>
              <w:spacing w:after="0"/>
              <w:rPr>
                <w:sz w:val="20"/>
                <w:szCs w:val="20"/>
                <w:color w:val="auto"/>
              </w:rPr>
            </w:pPr>
            <w:r>
              <w:rPr>
                <w:rFonts w:ascii="Calibri" w:cs="Calibri" w:eastAsia="Calibri" w:hAnsi="Calibri"/>
                <w:sz w:val="18"/>
                <w:szCs w:val="18"/>
                <w:b w:val="1"/>
                <w:bCs w:val="1"/>
                <w:color w:val="auto"/>
              </w:rPr>
              <w:t>Three Months Ended June 30,</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5"/>
          </w:tcPr>
          <w:p>
            <w:pPr>
              <w:ind w:left="240"/>
              <w:spacing w:after="0"/>
              <w:rPr>
                <w:sz w:val="20"/>
                <w:szCs w:val="20"/>
                <w:color w:val="auto"/>
              </w:rPr>
            </w:pPr>
            <w:r>
              <w:rPr>
                <w:rFonts w:ascii="Calibri" w:cs="Calibri" w:eastAsia="Calibri" w:hAnsi="Calibri"/>
                <w:sz w:val="18"/>
                <w:szCs w:val="18"/>
                <w:b w:val="1"/>
                <w:bCs w:val="1"/>
                <w:color w:val="auto"/>
              </w:rPr>
              <w:t>Six Months Ended June 30,</w:t>
            </w:r>
          </w:p>
        </w:tc>
      </w:tr>
      <w:tr>
        <w:trPr>
          <w:trHeight w:val="37"/>
        </w:trPr>
        <w:tc>
          <w:tcPr>
            <w:tcW w:w="4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4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30"/>
              <w:spacing w:after="0" w:line="208" w:lineRule="exact"/>
              <w:rPr>
                <w:sz w:val="20"/>
                <w:szCs w:val="20"/>
                <w:color w:val="auto"/>
              </w:rPr>
            </w:pPr>
            <w:r>
              <w:rPr>
                <w:rFonts w:ascii="Calibri" w:cs="Calibri" w:eastAsia="Calibri" w:hAnsi="Calibri"/>
                <w:sz w:val="18"/>
                <w:szCs w:val="18"/>
                <w:b w:val="1"/>
                <w:bCs w:val="1"/>
                <w:color w:val="auto"/>
              </w:rPr>
              <w:t>2024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0"/>
              <w:spacing w:after="0" w:line="208" w:lineRule="exact"/>
              <w:rPr>
                <w:sz w:val="20"/>
                <w:szCs w:val="20"/>
                <w:color w:val="auto"/>
              </w:rPr>
            </w:pPr>
            <w:r>
              <w:rPr>
                <w:rFonts w:ascii="Calibri" w:cs="Calibri" w:eastAsia="Calibri" w:hAnsi="Calibri"/>
                <w:sz w:val="18"/>
                <w:szCs w:val="18"/>
                <w:b w:val="1"/>
                <w:bCs w:val="1"/>
                <w:color w:val="auto"/>
              </w:rPr>
              <w:t>2023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0"/>
              <w:spacing w:after="0" w:line="208" w:lineRule="exact"/>
              <w:rPr>
                <w:sz w:val="20"/>
                <w:szCs w:val="20"/>
                <w:color w:val="auto"/>
              </w:rPr>
            </w:pPr>
            <w:r>
              <w:rPr>
                <w:rFonts w:ascii="Calibri" w:cs="Calibri" w:eastAsia="Calibri" w:hAnsi="Calibri"/>
                <w:sz w:val="18"/>
                <w:szCs w:val="18"/>
                <w:b w:val="1"/>
                <w:bCs w:val="1"/>
                <w:color w:val="auto"/>
              </w:rPr>
              <w:t>2024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8"/>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47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Marketplace revenues:</w:t>
            </w:r>
          </w:p>
        </w:tc>
        <w:tc>
          <w:tcPr>
            <w:tcW w:w="2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720" w:type="dxa"/>
            <w:vAlign w:val="bottom"/>
          </w:tcPr>
          <w:p>
            <w:pPr>
              <w:ind w:left="20"/>
              <w:spacing w:after="0" w:line="215" w:lineRule="exact"/>
              <w:rPr>
                <w:sz w:val="20"/>
                <w:szCs w:val="20"/>
                <w:color w:val="auto"/>
              </w:rPr>
            </w:pPr>
            <w:r>
              <w:rPr>
                <w:rFonts w:ascii="Calibri" w:cs="Calibri" w:eastAsia="Calibri" w:hAnsi="Calibri"/>
                <w:sz w:val="18"/>
                <w:szCs w:val="18"/>
                <w:color w:val="auto"/>
              </w:rPr>
              <w:t>Owned Propertes</w:t>
            </w: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138,587</w:t>
            </w:r>
          </w:p>
        </w:tc>
        <w:tc>
          <w:tcPr>
            <w:tcW w:w="62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103,413</w:t>
            </w:r>
          </w:p>
        </w:tc>
        <w:tc>
          <w:tcPr>
            <w:tcW w:w="62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265,158</w:t>
            </w:r>
          </w:p>
        </w:tc>
        <w:tc>
          <w:tcPr>
            <w:tcW w:w="64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206,228</w:t>
            </w:r>
          </w:p>
        </w:tc>
        <w:tc>
          <w:tcPr>
            <w:tcW w:w="100" w:type="dxa"/>
            <w:vAlign w:val="bottom"/>
          </w:tcPr>
          <w:p>
            <w:pPr>
              <w:spacing w:after="0"/>
              <w:rPr>
                <w:sz w:val="18"/>
                <w:szCs w:val="18"/>
                <w:color w:val="auto"/>
              </w:rPr>
            </w:pPr>
          </w:p>
        </w:tc>
      </w:tr>
      <w:tr>
        <w:trPr>
          <w:trHeight w:val="28"/>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4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Private Label</w:t>
            </w:r>
          </w:p>
        </w:tc>
        <w:tc>
          <w:tcPr>
            <w:tcW w:w="2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31,459</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35,737</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64,900</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69,503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472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b w:val="1"/>
                <w:bCs w:val="1"/>
                <w:color w:val="auto"/>
              </w:rPr>
              <w:t>Total Marketplace revenues</w:t>
            </w:r>
          </w:p>
        </w:tc>
        <w:tc>
          <w:tcPr>
            <w:tcW w:w="280" w:type="dxa"/>
            <w:vAlign w:val="bottom"/>
            <w:tcBorders>
              <w:top w:val="single" w:sz="8" w:color="auto"/>
            </w:tcBorders>
          </w:tcPr>
          <w:p>
            <w:pPr>
              <w:jc w:val="right"/>
              <w:ind w:right="90"/>
              <w:spacing w:after="0" w:line="213" w:lineRule="exact"/>
              <w:rPr>
                <w:sz w:val="20"/>
                <w:szCs w:val="20"/>
                <w:color w:val="auto"/>
              </w:rPr>
            </w:pPr>
            <w:r>
              <w:rPr>
                <w:rFonts w:ascii="Calibri" w:cs="Calibri" w:eastAsia="Calibri" w:hAnsi="Calibri"/>
                <w:sz w:val="18"/>
                <w:szCs w:val="18"/>
                <w:b w:val="1"/>
                <w:bCs w:val="1"/>
                <w:color w:val="auto"/>
                <w:w w:val="87"/>
              </w:rPr>
              <w:t>$</w:t>
            </w:r>
          </w:p>
        </w:tc>
        <w:tc>
          <w:tcPr>
            <w:tcW w:w="11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170,046</w:t>
            </w:r>
          </w:p>
        </w:tc>
        <w:tc>
          <w:tcPr>
            <w:tcW w:w="3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ind w:right="110"/>
              <w:spacing w:after="0" w:line="213" w:lineRule="exact"/>
              <w:rPr>
                <w:sz w:val="20"/>
                <w:szCs w:val="20"/>
                <w:color w:val="auto"/>
              </w:rPr>
            </w:pPr>
            <w:r>
              <w:rPr>
                <w:rFonts w:ascii="Calibri" w:cs="Calibri" w:eastAsia="Calibri" w:hAnsi="Calibri"/>
                <w:sz w:val="18"/>
                <w:szCs w:val="18"/>
                <w:b w:val="1"/>
                <w:bCs w:val="1"/>
                <w:color w:val="auto"/>
                <w:w w:val="87"/>
              </w:rPr>
              <w:t>$</w:t>
            </w:r>
          </w:p>
        </w:tc>
        <w:tc>
          <w:tcPr>
            <w:tcW w:w="10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139,150</w:t>
            </w:r>
          </w:p>
        </w:tc>
        <w:tc>
          <w:tcPr>
            <w:tcW w:w="3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ind w:right="110"/>
              <w:spacing w:after="0" w:line="213" w:lineRule="exact"/>
              <w:rPr>
                <w:sz w:val="20"/>
                <w:szCs w:val="20"/>
                <w:color w:val="auto"/>
              </w:rPr>
            </w:pPr>
            <w:r>
              <w:rPr>
                <w:rFonts w:ascii="Calibri" w:cs="Calibri" w:eastAsia="Calibri" w:hAnsi="Calibri"/>
                <w:sz w:val="18"/>
                <w:szCs w:val="18"/>
                <w:b w:val="1"/>
                <w:bCs w:val="1"/>
                <w:color w:val="auto"/>
                <w:w w:val="87"/>
              </w:rPr>
              <w:t>$</w:t>
            </w:r>
          </w:p>
        </w:tc>
        <w:tc>
          <w:tcPr>
            <w:tcW w:w="10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330,058</w:t>
            </w:r>
          </w:p>
        </w:tc>
        <w:tc>
          <w:tcPr>
            <w:tcW w:w="3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ind w:right="110"/>
              <w:spacing w:after="0" w:line="213" w:lineRule="exact"/>
              <w:rPr>
                <w:sz w:val="20"/>
                <w:szCs w:val="20"/>
                <w:color w:val="auto"/>
              </w:rPr>
            </w:pPr>
            <w:r>
              <w:rPr>
                <w:rFonts w:ascii="Calibri" w:cs="Calibri" w:eastAsia="Calibri" w:hAnsi="Calibri"/>
                <w:sz w:val="18"/>
                <w:szCs w:val="18"/>
                <w:b w:val="1"/>
                <w:bCs w:val="1"/>
                <w:color w:val="auto"/>
                <w:w w:val="87"/>
              </w:rPr>
              <w:t>$</w:t>
            </w:r>
          </w:p>
        </w:tc>
        <w:tc>
          <w:tcPr>
            <w:tcW w:w="10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275,731</w:t>
            </w:r>
          </w:p>
        </w:tc>
        <w:tc>
          <w:tcPr>
            <w:tcW w:w="100" w:type="dxa"/>
            <w:vAlign w:val="bottom"/>
            <w:tcBorders>
              <w:top w:val="single" w:sz="8" w:color="CFF0FC"/>
            </w:tcBorders>
          </w:tcPr>
          <w:p>
            <w:pPr>
              <w:spacing w:after="0"/>
              <w:rPr>
                <w:sz w:val="18"/>
                <w:szCs w:val="18"/>
                <w:color w:val="auto"/>
              </w:rPr>
            </w:pPr>
          </w:p>
        </w:tc>
      </w:tr>
      <w:tr>
        <w:trPr>
          <w:trHeight w:val="23"/>
        </w:trPr>
        <w:tc>
          <w:tcPr>
            <w:tcW w:w="47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1"/>
        </w:trPr>
        <w:tc>
          <w:tcPr>
            <w:tcW w:w="6100" w:type="dxa"/>
            <w:vAlign w:val="bottom"/>
            <w:gridSpan w:val="3"/>
          </w:tcPr>
          <w:p>
            <w:pPr>
              <w:spacing w:after="0"/>
              <w:rPr>
                <w:sz w:val="20"/>
                <w:szCs w:val="20"/>
                <w:color w:val="auto"/>
              </w:rPr>
            </w:pPr>
            <w:r>
              <w:rPr>
                <w:rFonts w:ascii="Calibri" w:cs="Calibri" w:eastAsia="Calibri" w:hAnsi="Calibri"/>
                <w:sz w:val="18"/>
                <w:szCs w:val="18"/>
                <w:color w:val="auto"/>
              </w:rPr>
              <w:t>Marketplace revenues consisted of the following event categories (in thousands):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350"/>
              <w:spacing w:after="0"/>
              <w:rPr>
                <w:sz w:val="20"/>
                <w:szCs w:val="20"/>
                <w:color w:val="auto"/>
              </w:rPr>
            </w:pPr>
            <w:r>
              <w:rPr>
                <w:rFonts w:ascii="Calibri" w:cs="Calibri" w:eastAsia="Calibri" w:hAnsi="Calibri"/>
                <w:sz w:val="18"/>
                <w:szCs w:val="18"/>
                <w:b w:val="1"/>
                <w:bCs w:val="1"/>
                <w:color w:val="auto"/>
              </w:rPr>
              <w:t>Three Months Ended June 30,</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5"/>
          </w:tcPr>
          <w:p>
            <w:pPr>
              <w:ind w:left="240"/>
              <w:spacing w:after="0"/>
              <w:rPr>
                <w:sz w:val="20"/>
                <w:szCs w:val="20"/>
                <w:color w:val="auto"/>
              </w:rPr>
            </w:pPr>
            <w:r>
              <w:rPr>
                <w:rFonts w:ascii="Calibri" w:cs="Calibri" w:eastAsia="Calibri" w:hAnsi="Calibri"/>
                <w:sz w:val="18"/>
                <w:szCs w:val="18"/>
                <w:b w:val="1"/>
                <w:bCs w:val="1"/>
                <w:color w:val="auto"/>
              </w:rPr>
              <w:t>Six Months Ended June 30,</w:t>
            </w:r>
          </w:p>
        </w:tc>
      </w:tr>
      <w:tr>
        <w:trPr>
          <w:trHeight w:val="37"/>
        </w:trPr>
        <w:tc>
          <w:tcPr>
            <w:tcW w:w="4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4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30"/>
              <w:spacing w:after="0" w:line="208" w:lineRule="exact"/>
              <w:rPr>
                <w:sz w:val="20"/>
                <w:szCs w:val="20"/>
                <w:color w:val="auto"/>
              </w:rPr>
            </w:pPr>
            <w:r>
              <w:rPr>
                <w:rFonts w:ascii="Calibri" w:cs="Calibri" w:eastAsia="Calibri" w:hAnsi="Calibri"/>
                <w:sz w:val="18"/>
                <w:szCs w:val="18"/>
                <w:b w:val="1"/>
                <w:bCs w:val="1"/>
                <w:color w:val="auto"/>
              </w:rPr>
              <w:t>2024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0"/>
              <w:spacing w:after="0" w:line="208" w:lineRule="exact"/>
              <w:rPr>
                <w:sz w:val="20"/>
                <w:szCs w:val="20"/>
                <w:color w:val="auto"/>
              </w:rPr>
            </w:pPr>
            <w:r>
              <w:rPr>
                <w:rFonts w:ascii="Calibri" w:cs="Calibri" w:eastAsia="Calibri" w:hAnsi="Calibri"/>
                <w:sz w:val="18"/>
                <w:szCs w:val="18"/>
                <w:b w:val="1"/>
                <w:bCs w:val="1"/>
                <w:color w:val="auto"/>
              </w:rPr>
              <w:t>2023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0"/>
              <w:spacing w:after="0" w:line="208" w:lineRule="exact"/>
              <w:rPr>
                <w:sz w:val="20"/>
                <w:szCs w:val="20"/>
                <w:color w:val="auto"/>
              </w:rPr>
            </w:pPr>
            <w:r>
              <w:rPr>
                <w:rFonts w:ascii="Calibri" w:cs="Calibri" w:eastAsia="Calibri" w:hAnsi="Calibri"/>
                <w:sz w:val="18"/>
                <w:szCs w:val="18"/>
                <w:b w:val="1"/>
                <w:bCs w:val="1"/>
                <w:color w:val="auto"/>
              </w:rPr>
              <w:t>2024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8"/>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47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Marketplace revenues:</w:t>
            </w:r>
          </w:p>
        </w:tc>
        <w:tc>
          <w:tcPr>
            <w:tcW w:w="2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720" w:type="dxa"/>
            <w:vAlign w:val="bottom"/>
          </w:tcPr>
          <w:p>
            <w:pPr>
              <w:ind w:left="20"/>
              <w:spacing w:after="0" w:line="215" w:lineRule="exact"/>
              <w:rPr>
                <w:sz w:val="20"/>
                <w:szCs w:val="20"/>
                <w:color w:val="auto"/>
              </w:rPr>
            </w:pPr>
            <w:r>
              <w:rPr>
                <w:rFonts w:ascii="Calibri" w:cs="Calibri" w:eastAsia="Calibri" w:hAnsi="Calibri"/>
                <w:sz w:val="18"/>
                <w:szCs w:val="18"/>
                <w:color w:val="auto"/>
              </w:rPr>
              <w:t>Concerts</w:t>
            </w: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80,803</w:t>
            </w:r>
          </w:p>
        </w:tc>
        <w:tc>
          <w:tcPr>
            <w:tcW w:w="62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77,741</w:t>
            </w:r>
          </w:p>
        </w:tc>
        <w:tc>
          <w:tcPr>
            <w:tcW w:w="62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148,832</w:t>
            </w:r>
          </w:p>
        </w:tc>
        <w:tc>
          <w:tcPr>
            <w:tcW w:w="64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152,620</w:t>
            </w:r>
          </w:p>
        </w:tc>
        <w:tc>
          <w:tcPr>
            <w:tcW w:w="100" w:type="dxa"/>
            <w:vAlign w:val="bottom"/>
          </w:tcPr>
          <w:p>
            <w:pPr>
              <w:spacing w:after="0"/>
              <w:rPr>
                <w:sz w:val="18"/>
                <w:szCs w:val="18"/>
                <w:color w:val="auto"/>
              </w:rPr>
            </w:pPr>
          </w:p>
        </w:tc>
      </w:tr>
      <w:tr>
        <w:trPr>
          <w:trHeight w:val="28"/>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Sports</w:t>
            </w:r>
          </w:p>
        </w:tc>
        <w:tc>
          <w:tcPr>
            <w:tcW w:w="2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51,457</w:t>
            </w: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45,349</w:t>
            </w: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98,805</w:t>
            </w:r>
          </w:p>
        </w:tc>
        <w:tc>
          <w:tcPr>
            <w:tcW w:w="3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90,949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4720" w:type="dxa"/>
            <w:vAlign w:val="bottom"/>
          </w:tcPr>
          <w:p>
            <w:pPr>
              <w:ind w:left="20"/>
              <w:spacing w:after="0" w:line="215" w:lineRule="exact"/>
              <w:rPr>
                <w:sz w:val="20"/>
                <w:szCs w:val="20"/>
                <w:color w:val="auto"/>
              </w:rPr>
            </w:pPr>
            <w:r>
              <w:rPr>
                <w:rFonts w:ascii="Calibri" w:cs="Calibri" w:eastAsia="Calibri" w:hAnsi="Calibri"/>
                <w:sz w:val="18"/>
                <w:szCs w:val="18"/>
                <w:color w:val="auto"/>
              </w:rPr>
              <w:t>Theater</w:t>
            </w:r>
          </w:p>
        </w:tc>
        <w:tc>
          <w:tcPr>
            <w:tcW w:w="28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30,932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15,527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68,839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30,917</w:t>
            </w:r>
          </w:p>
        </w:tc>
        <w:tc>
          <w:tcPr>
            <w:tcW w:w="100" w:type="dxa"/>
            <w:vAlign w:val="bottom"/>
          </w:tcPr>
          <w:p>
            <w:pPr>
              <w:spacing w:after="0"/>
              <w:rPr>
                <w:sz w:val="18"/>
                <w:szCs w:val="18"/>
                <w:color w:val="auto"/>
              </w:rPr>
            </w:pPr>
          </w:p>
        </w:tc>
      </w:tr>
      <w:tr>
        <w:trPr>
          <w:trHeight w:val="28"/>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47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Other</w:t>
            </w:r>
          </w:p>
        </w:tc>
        <w:tc>
          <w:tcPr>
            <w:tcW w:w="2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6,854</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533</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13,582</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472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b w:val="1"/>
                <w:bCs w:val="1"/>
                <w:color w:val="auto"/>
              </w:rPr>
              <w:t>Total Marketplace revenues</w:t>
            </w:r>
          </w:p>
        </w:tc>
        <w:tc>
          <w:tcPr>
            <w:tcW w:w="280" w:type="dxa"/>
            <w:vAlign w:val="bottom"/>
            <w:tcBorders>
              <w:top w:val="single" w:sz="8" w:color="auto"/>
            </w:tcBorders>
          </w:tcPr>
          <w:p>
            <w:pPr>
              <w:jc w:val="right"/>
              <w:ind w:right="90"/>
              <w:spacing w:after="0" w:line="213" w:lineRule="exact"/>
              <w:rPr>
                <w:sz w:val="20"/>
                <w:szCs w:val="20"/>
                <w:color w:val="auto"/>
              </w:rPr>
            </w:pPr>
            <w:r>
              <w:rPr>
                <w:rFonts w:ascii="Calibri" w:cs="Calibri" w:eastAsia="Calibri" w:hAnsi="Calibri"/>
                <w:sz w:val="18"/>
                <w:szCs w:val="18"/>
                <w:b w:val="1"/>
                <w:bCs w:val="1"/>
                <w:color w:val="auto"/>
                <w:w w:val="87"/>
              </w:rPr>
              <w:t>$</w:t>
            </w:r>
          </w:p>
        </w:tc>
        <w:tc>
          <w:tcPr>
            <w:tcW w:w="11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170,046</w:t>
            </w:r>
          </w:p>
        </w:tc>
        <w:tc>
          <w:tcPr>
            <w:tcW w:w="3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ind w:right="110"/>
              <w:spacing w:after="0" w:line="213" w:lineRule="exact"/>
              <w:rPr>
                <w:sz w:val="20"/>
                <w:szCs w:val="20"/>
                <w:color w:val="auto"/>
              </w:rPr>
            </w:pPr>
            <w:r>
              <w:rPr>
                <w:rFonts w:ascii="Calibri" w:cs="Calibri" w:eastAsia="Calibri" w:hAnsi="Calibri"/>
                <w:sz w:val="18"/>
                <w:szCs w:val="18"/>
                <w:b w:val="1"/>
                <w:bCs w:val="1"/>
                <w:color w:val="auto"/>
                <w:w w:val="87"/>
              </w:rPr>
              <w:t>$</w:t>
            </w:r>
          </w:p>
        </w:tc>
        <w:tc>
          <w:tcPr>
            <w:tcW w:w="10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139,150</w:t>
            </w:r>
          </w:p>
        </w:tc>
        <w:tc>
          <w:tcPr>
            <w:tcW w:w="3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ind w:right="110"/>
              <w:spacing w:after="0" w:line="213" w:lineRule="exact"/>
              <w:rPr>
                <w:sz w:val="20"/>
                <w:szCs w:val="20"/>
                <w:color w:val="auto"/>
              </w:rPr>
            </w:pPr>
            <w:r>
              <w:rPr>
                <w:rFonts w:ascii="Calibri" w:cs="Calibri" w:eastAsia="Calibri" w:hAnsi="Calibri"/>
                <w:sz w:val="18"/>
                <w:szCs w:val="18"/>
                <w:b w:val="1"/>
                <w:bCs w:val="1"/>
                <w:color w:val="auto"/>
                <w:w w:val="87"/>
              </w:rPr>
              <w:t>$</w:t>
            </w:r>
          </w:p>
        </w:tc>
        <w:tc>
          <w:tcPr>
            <w:tcW w:w="10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330,058</w:t>
            </w:r>
          </w:p>
        </w:tc>
        <w:tc>
          <w:tcPr>
            <w:tcW w:w="3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ind w:right="110"/>
              <w:spacing w:after="0" w:line="213" w:lineRule="exact"/>
              <w:rPr>
                <w:sz w:val="20"/>
                <w:szCs w:val="20"/>
                <w:color w:val="auto"/>
              </w:rPr>
            </w:pPr>
            <w:r>
              <w:rPr>
                <w:rFonts w:ascii="Calibri" w:cs="Calibri" w:eastAsia="Calibri" w:hAnsi="Calibri"/>
                <w:sz w:val="18"/>
                <w:szCs w:val="18"/>
                <w:b w:val="1"/>
                <w:bCs w:val="1"/>
                <w:color w:val="auto"/>
                <w:w w:val="87"/>
              </w:rPr>
              <w:t>$</w:t>
            </w:r>
          </w:p>
        </w:tc>
        <w:tc>
          <w:tcPr>
            <w:tcW w:w="10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275,731</w:t>
            </w:r>
          </w:p>
        </w:tc>
        <w:tc>
          <w:tcPr>
            <w:tcW w:w="100" w:type="dxa"/>
            <w:vAlign w:val="bottom"/>
            <w:tcBorders>
              <w:top w:val="single" w:sz="8" w:color="CFF0FC"/>
            </w:tcBorders>
          </w:tcPr>
          <w:p>
            <w:pPr>
              <w:spacing w:after="0"/>
              <w:rPr>
                <w:sz w:val="18"/>
                <w:szCs w:val="18"/>
                <w:color w:val="auto"/>
              </w:rPr>
            </w:pPr>
          </w:p>
        </w:tc>
      </w:tr>
      <w:tr>
        <w:trPr>
          <w:trHeight w:val="23"/>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-1748155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-1748155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-1748155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-187960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Resale segment, we primarily acquire tckets to resell on secondary tcket marketplaces, including our own. Resale revenues were $28.3 million and $59.1 million during the three and six months ended June 30, 2024, respectvely, and $26.2 million and $50.7 million during the three and six months ended June 30, 2023, respectvely.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June 30, 2024, Deferred revenue was $30.2 million, which primarily relates to our Vivid Seats Rewards loyalty program. Stamps earned under the program expire in two to three years, if not converted to credits, and credits expire in two to four years, if not redeemed. We expect to recognize all outstanding deferred revenue in the next seven years.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2023, $34.7 million was recorded as Deferred revenue, of which of which $5.6 million and $14.1 million was recognized as revenue during the three and six months ended June 30, 2024, respectvely. At December 31, 2022, $32.0 million was recorded as Deferred revenue, of which $0.8 million and $11.7 million was recognized as revenue during the three and six months ended June 30, 2023, respectvely.</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5. Segment Reporting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reportable segments are Marketplace and Resale. In our Marketplace segment, we primarily act as an intermediary between tcket buyers, sellers and partners through which we earn revenue processing tcket sales for live events and atractons and from facilitatng the booking of hotel rooms and packages. In our Resale segment, we primarily acquire tckets to resell on secondary tcket marketplaces, including our own. Revenues and contributon margin (defned as revenues less cost of revenues and marketng and selling expenses) are used by our Chief Operatng Decision Maker (our “CODM”) to assess performance of the business.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do not report our assets, capital expenditures, general and administratve expenses or related depreciaton and amortzaton expenses by segment because our CODM does not use this informaton to evaluate the performance of our operatng segments.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2" w:name="page13"/>
    <w:bookmarkEnd w:id="12"/>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tables represent our segment informaton (in thousands):</w:t>
      </w:r>
    </w:p>
    <w:p>
      <w:pPr>
        <w:spacing w:after="0" w:line="130"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gridSpan w:val="8"/>
          </w:tcPr>
          <w:p>
            <w:pPr>
              <w:jc w:val="right"/>
              <w:ind w:right="920"/>
              <w:spacing w:after="0"/>
              <w:rPr>
                <w:sz w:val="20"/>
                <w:szCs w:val="20"/>
                <w:color w:val="auto"/>
              </w:rPr>
            </w:pPr>
            <w:r>
              <w:rPr>
                <w:rFonts w:ascii="Calibri" w:cs="Calibri" w:eastAsia="Calibri" w:hAnsi="Calibri"/>
                <w:sz w:val="14"/>
                <w:szCs w:val="14"/>
                <w:b w:val="1"/>
                <w:bCs w:val="1"/>
                <w:color w:val="auto"/>
              </w:rPr>
              <w:t>Three Months Ended June 30, 2024</w:t>
            </w:r>
          </w:p>
        </w:tc>
        <w:tc>
          <w:tcPr>
            <w:tcW w:w="140" w:type="dxa"/>
            <w:vAlign w:val="bottom"/>
          </w:tcPr>
          <w:p>
            <w:pPr>
              <w:spacing w:after="0"/>
              <w:rPr>
                <w:sz w:val="14"/>
                <w:szCs w:val="14"/>
                <w:color w:val="auto"/>
              </w:rPr>
            </w:pPr>
          </w:p>
        </w:tc>
        <w:tc>
          <w:tcPr>
            <w:tcW w:w="3400" w:type="dxa"/>
            <w:vAlign w:val="bottom"/>
            <w:gridSpan w:val="8"/>
          </w:tcPr>
          <w:p>
            <w:pPr>
              <w:jc w:val="right"/>
              <w:ind w:right="860"/>
              <w:spacing w:after="0"/>
              <w:rPr>
                <w:sz w:val="20"/>
                <w:szCs w:val="20"/>
                <w:color w:val="auto"/>
              </w:rPr>
            </w:pPr>
            <w:r>
              <w:rPr>
                <w:rFonts w:ascii="Calibri" w:cs="Calibri" w:eastAsia="Calibri" w:hAnsi="Calibri"/>
                <w:sz w:val="14"/>
                <w:szCs w:val="14"/>
                <w:b w:val="1"/>
                <w:bCs w:val="1"/>
                <w:color w:val="auto"/>
              </w:rPr>
              <w:t>Six Months Ended June 30, 2024</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28"/>
              <w:spacing w:after="0" w:line="164" w:lineRule="exact"/>
              <w:rPr>
                <w:sz w:val="20"/>
                <w:szCs w:val="20"/>
                <w:color w:val="auto"/>
              </w:rPr>
            </w:pPr>
            <w:r>
              <w:rPr>
                <w:rFonts w:ascii="Calibri" w:cs="Calibri" w:eastAsia="Calibri" w:hAnsi="Calibri"/>
                <w:sz w:val="14"/>
                <w:szCs w:val="14"/>
                <w:b w:val="1"/>
                <w:bCs w:val="1"/>
                <w:color w:val="auto"/>
              </w:rPr>
              <w:t>Marketplace</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148"/>
              <w:spacing w:after="0" w:line="164" w:lineRule="exact"/>
              <w:rPr>
                <w:sz w:val="20"/>
                <w:szCs w:val="20"/>
                <w:color w:val="auto"/>
              </w:rPr>
            </w:pPr>
            <w:r>
              <w:rPr>
                <w:rFonts w:ascii="Calibri" w:cs="Calibri" w:eastAsia="Calibri" w:hAnsi="Calibri"/>
                <w:sz w:val="14"/>
                <w:szCs w:val="14"/>
                <w:b w:val="1"/>
                <w:bCs w:val="1"/>
                <w:color w:val="auto"/>
              </w:rPr>
              <w:t>Resale</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b w:val="1"/>
                <w:bCs w:val="1"/>
                <w:color w:val="auto"/>
              </w:rPr>
              <w:t>Consolidated</w:t>
            </w: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b w:val="1"/>
                <w:bCs w:val="1"/>
                <w:color w:val="auto"/>
              </w:rPr>
              <w:t>Marketplace</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b w:val="1"/>
                <w:bCs w:val="1"/>
                <w:color w:val="auto"/>
              </w:rPr>
              <w:t>Resale</w:t>
            </w: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68"/>
              <w:spacing w:after="0" w:line="164" w:lineRule="exact"/>
              <w:rPr>
                <w:sz w:val="20"/>
                <w:szCs w:val="20"/>
                <w:color w:val="auto"/>
              </w:rPr>
            </w:pPr>
            <w:r>
              <w:rPr>
                <w:rFonts w:ascii="Calibri" w:cs="Calibri" w:eastAsia="Calibri" w:hAnsi="Calibri"/>
                <w:sz w:val="14"/>
                <w:szCs w:val="14"/>
                <w:b w:val="1"/>
                <w:bCs w:val="1"/>
                <w:color w:val="auto"/>
              </w:rPr>
              <w:t>Consolidated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820" w:type="dxa"/>
            <w:vAlign w:val="bottom"/>
            <w:tcBorders>
              <w:bottom w:val="single" w:sz="8" w:color="CFF0FC"/>
            </w:tcBorders>
            <w:shd w:val="clear" w:color="auto" w:fill="CFF0FC"/>
          </w:tcPr>
          <w:p>
            <w:pPr>
              <w:spacing w:after="0" w:line="164" w:lineRule="exact"/>
              <w:rPr>
                <w:sz w:val="20"/>
                <w:szCs w:val="20"/>
                <w:color w:val="auto"/>
              </w:rPr>
            </w:pPr>
            <w:r>
              <w:rPr>
                <w:rFonts w:ascii="Calibri" w:cs="Calibri" w:eastAsia="Calibri" w:hAnsi="Calibri"/>
                <w:sz w:val="14"/>
                <w:szCs w:val="14"/>
                <w:color w:val="auto"/>
              </w:rPr>
              <w:t>Revenues</w:t>
            </w:r>
          </w:p>
        </w:tc>
        <w:tc>
          <w:tcPr>
            <w:tcW w:w="14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00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170,046</w:t>
            </w:r>
          </w:p>
        </w:tc>
        <w:tc>
          <w:tcPr>
            <w:tcW w:w="380" w:type="dxa"/>
            <w:vAlign w:val="bottom"/>
            <w:tcBorders>
              <w:bottom w:val="single" w:sz="8" w:color="CFF0FC"/>
            </w:tcBorders>
            <w:gridSpan w:val="2"/>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28,270</w:t>
            </w:r>
          </w:p>
        </w:tc>
        <w:tc>
          <w:tcPr>
            <w:tcW w:w="340" w:type="dxa"/>
            <w:vAlign w:val="bottom"/>
            <w:tcBorders>
              <w:bottom w:val="single" w:sz="8" w:color="CFF0FC"/>
            </w:tcBorders>
            <w:gridSpan w:val="2"/>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198,316</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330,058</w:t>
            </w:r>
          </w:p>
        </w:tc>
        <w:tc>
          <w:tcPr>
            <w:tcW w:w="320" w:type="dxa"/>
            <w:vAlign w:val="bottom"/>
            <w:tcBorders>
              <w:bottom w:val="single" w:sz="8" w:color="CFF0FC"/>
            </w:tcBorders>
            <w:gridSpan w:val="2"/>
            <w:shd w:val="clear" w:color="auto" w:fill="CFF0FC"/>
          </w:tcPr>
          <w:p>
            <w:pPr>
              <w:jc w:val="right"/>
              <w:ind w:right="20"/>
              <w:spacing w:after="0" w:line="164" w:lineRule="exact"/>
              <w:rPr>
                <w:sz w:val="20"/>
                <w:szCs w:val="20"/>
                <w:color w:val="auto"/>
              </w:rPr>
            </w:pPr>
            <w:r>
              <w:rPr>
                <w:rFonts w:ascii="Calibri" w:cs="Calibri" w:eastAsia="Calibri" w:hAnsi="Calibri"/>
                <w:sz w:val="14"/>
                <w:szCs w:val="14"/>
                <w:color w:val="auto"/>
              </w:rPr>
              <w:t>$</w:t>
            </w: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59,110</w:t>
            </w:r>
          </w:p>
        </w:tc>
        <w:tc>
          <w:tcPr>
            <w:tcW w:w="360" w:type="dxa"/>
            <w:vAlign w:val="bottom"/>
            <w:tcBorders>
              <w:bottom w:val="single" w:sz="8" w:color="CFF0FC"/>
            </w:tcBorders>
            <w:gridSpan w:val="2"/>
            <w:shd w:val="clear" w:color="auto" w:fill="CFF0FC"/>
          </w:tcPr>
          <w:p>
            <w:pPr>
              <w:jc w:val="right"/>
              <w:ind w:right="80"/>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389,168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alibri" w:cs="Calibri" w:eastAsia="Calibri" w:hAnsi="Calibri"/>
                <w:sz w:val="14"/>
                <w:szCs w:val="14"/>
                <w:color w:val="auto"/>
              </w:rPr>
              <w:t>Cost of revenues (exclusive of depreciaton and amortzaton</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alibri" w:cs="Calibri" w:eastAsia="Calibri" w:hAnsi="Calibri"/>
                <w:sz w:val="14"/>
                <w:szCs w:val="14"/>
                <w:color w:val="auto"/>
              </w:rPr>
              <w:t>25,163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alibri" w:cs="Calibri" w:eastAsia="Calibri" w:hAnsi="Calibri"/>
                <w:sz w:val="14"/>
                <w:szCs w:val="14"/>
                <w:color w:val="auto"/>
              </w:rPr>
              <w:t>23,602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alibri" w:cs="Calibri" w:eastAsia="Calibri" w:hAnsi="Calibri"/>
                <w:sz w:val="14"/>
                <w:szCs w:val="14"/>
                <w:color w:val="auto"/>
              </w:rPr>
              <w:t>48,765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Calibri" w:cs="Calibri" w:eastAsia="Calibri" w:hAnsi="Calibri"/>
                <w:sz w:val="14"/>
                <w:szCs w:val="14"/>
                <w:color w:val="auto"/>
              </w:rPr>
              <w:t>51,304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Calibri" w:cs="Calibri" w:eastAsia="Calibri" w:hAnsi="Calibri"/>
                <w:sz w:val="14"/>
                <w:szCs w:val="14"/>
                <w:color w:val="auto"/>
              </w:rPr>
              <w:t>47,044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Calibri" w:cs="Calibri" w:eastAsia="Calibri" w:hAnsi="Calibri"/>
                <w:sz w:val="14"/>
                <w:szCs w:val="14"/>
                <w:color w:val="auto"/>
              </w:rPr>
              <w:t>98,348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820" w:type="dxa"/>
            <w:vAlign w:val="bottom"/>
            <w:vMerge w:val="restart"/>
          </w:tcPr>
          <w:p>
            <w:pPr>
              <w:spacing w:after="0"/>
              <w:rPr>
                <w:sz w:val="20"/>
                <w:szCs w:val="20"/>
                <w:color w:val="auto"/>
              </w:rPr>
            </w:pPr>
            <w:r>
              <w:rPr>
                <w:rFonts w:ascii="Calibri" w:cs="Calibri" w:eastAsia="Calibri" w:hAnsi="Calibri"/>
                <w:sz w:val="14"/>
                <w:szCs w:val="14"/>
                <w:color w:val="auto"/>
              </w:rPr>
              <w:t>shown separately below)</w:t>
            </w: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8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4"/>
                <w:szCs w:val="14"/>
                <w:color w:val="auto"/>
              </w:rPr>
              <w:t>Marketng and selling</w:t>
            </w:r>
          </w:p>
        </w:tc>
        <w:tc>
          <w:tcPr>
            <w:tcW w:w="1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70,114</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70,114</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137,861</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137,861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20" w:type="dxa"/>
            <w:vAlign w:val="bottom"/>
          </w:tcPr>
          <w:p>
            <w:pPr>
              <w:spacing w:after="0" w:line="164" w:lineRule="exact"/>
              <w:rPr>
                <w:sz w:val="20"/>
                <w:szCs w:val="20"/>
                <w:color w:val="auto"/>
              </w:rPr>
            </w:pPr>
            <w:r>
              <w:rPr>
                <w:rFonts w:ascii="Calibri" w:cs="Calibri" w:eastAsia="Calibri" w:hAnsi="Calibri"/>
                <w:sz w:val="14"/>
                <w:szCs w:val="14"/>
                <w:b w:val="1"/>
                <w:bCs w:val="1"/>
                <w:color w:val="auto"/>
              </w:rPr>
              <w:t>Contributon margin</w:t>
            </w:r>
          </w:p>
        </w:tc>
        <w:tc>
          <w:tcPr>
            <w:tcW w:w="1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w w:val="83"/>
              </w:rPr>
              <w:t>$</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74,769</w:t>
            </w:r>
          </w:p>
        </w:tc>
        <w:tc>
          <w:tcPr>
            <w:tcW w:w="240" w:type="dxa"/>
            <w:vAlign w:val="bottom"/>
          </w:tcPr>
          <w:p>
            <w:pPr>
              <w:spacing w:after="0"/>
              <w:rPr>
                <w:sz w:val="14"/>
                <w:szCs w:val="14"/>
                <w:color w:val="auto"/>
              </w:rPr>
            </w:pPr>
          </w:p>
        </w:tc>
        <w:tc>
          <w:tcPr>
            <w:tcW w:w="1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w w:val="83"/>
              </w:rPr>
              <w:t>$</w:t>
            </w:r>
          </w:p>
        </w:tc>
        <w:tc>
          <w:tcPr>
            <w:tcW w:w="6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4,668</w:t>
            </w:r>
          </w:p>
        </w:tc>
        <w:tc>
          <w:tcPr>
            <w:tcW w:w="220" w:type="dxa"/>
            <w:vAlign w:val="bottom"/>
          </w:tcPr>
          <w:p>
            <w:pPr>
              <w:spacing w:after="0"/>
              <w:rPr>
                <w:sz w:val="14"/>
                <w:szCs w:val="14"/>
                <w:color w:val="auto"/>
              </w:rPr>
            </w:pPr>
          </w:p>
        </w:tc>
        <w:tc>
          <w:tcPr>
            <w:tcW w:w="1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w w:val="83"/>
              </w:rPr>
              <w:t>$</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79,437</w:t>
            </w:r>
          </w:p>
        </w:tc>
        <w:tc>
          <w:tcPr>
            <w:tcW w:w="200" w:type="dxa"/>
            <w:vAlign w:val="bottom"/>
          </w:tcPr>
          <w:p>
            <w:pPr>
              <w:spacing w:after="0"/>
              <w:rPr>
                <w:sz w:val="14"/>
                <w:szCs w:val="14"/>
                <w:color w:val="auto"/>
              </w:rPr>
            </w:pPr>
          </w:p>
        </w:tc>
        <w:tc>
          <w:tcPr>
            <w:tcW w:w="1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w w:val="83"/>
              </w:rPr>
              <w:t>$</w:t>
            </w:r>
          </w:p>
        </w:tc>
        <w:tc>
          <w:tcPr>
            <w:tcW w:w="9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140,893</w:t>
            </w:r>
          </w:p>
        </w:tc>
        <w:tc>
          <w:tcPr>
            <w:tcW w:w="320" w:type="dxa"/>
            <w:vAlign w:val="bottom"/>
            <w:gridSpan w:val="2"/>
          </w:tcPr>
          <w:p>
            <w:pPr>
              <w:jc w:val="right"/>
              <w:ind w:right="20"/>
              <w:spacing w:after="0" w:line="164" w:lineRule="exact"/>
              <w:rPr>
                <w:sz w:val="20"/>
                <w:szCs w:val="20"/>
                <w:color w:val="auto"/>
              </w:rPr>
            </w:pPr>
            <w:r>
              <w:rPr>
                <w:rFonts w:ascii="Calibri" w:cs="Calibri" w:eastAsia="Calibri" w:hAnsi="Calibri"/>
                <w:sz w:val="14"/>
                <w:szCs w:val="14"/>
                <w:b w:val="1"/>
                <w:bCs w:val="1"/>
                <w:color w:val="auto"/>
              </w:rPr>
              <w:t>$</w:t>
            </w:r>
          </w:p>
        </w:tc>
        <w:tc>
          <w:tcPr>
            <w:tcW w:w="5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12,066</w:t>
            </w:r>
          </w:p>
        </w:tc>
        <w:tc>
          <w:tcPr>
            <w:tcW w:w="360" w:type="dxa"/>
            <w:vAlign w:val="bottom"/>
            <w:gridSpan w:val="2"/>
          </w:tcPr>
          <w:p>
            <w:pPr>
              <w:jc w:val="right"/>
              <w:ind w:right="80"/>
              <w:spacing w:after="0" w:line="164" w:lineRule="exact"/>
              <w:rPr>
                <w:sz w:val="20"/>
                <w:szCs w:val="20"/>
                <w:color w:val="auto"/>
              </w:rPr>
            </w:pPr>
            <w:r>
              <w:rPr>
                <w:rFonts w:ascii="Calibri" w:cs="Calibri" w:eastAsia="Calibri" w:hAnsi="Calibri"/>
                <w:sz w:val="14"/>
                <w:szCs w:val="14"/>
                <w:b w:val="1"/>
                <w:bCs w:val="1"/>
                <w:color w:val="auto"/>
              </w:rPr>
              <w:t>$</w:t>
            </w: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152,959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4"/>
                <w:szCs w:val="14"/>
                <w:color w:val="auto"/>
              </w:rPr>
              <w:t>General and administratve</w:t>
            </w:r>
          </w:p>
        </w:tc>
        <w:tc>
          <w:tcPr>
            <w:tcW w:w="1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61,053</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103,420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alibri" w:cs="Calibri" w:eastAsia="Calibri" w:hAnsi="Calibri"/>
                <w:sz w:val="14"/>
                <w:szCs w:val="14"/>
                <w:color w:val="auto"/>
              </w:rPr>
              <w:t>Depreciaton and amortzaton</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4"/>
                <w:szCs w:val="14"/>
                <w:color w:val="auto"/>
              </w:rPr>
              <w:t>10,502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alibri" w:cs="Calibri" w:eastAsia="Calibri" w:hAnsi="Calibri"/>
                <w:sz w:val="14"/>
                <w:szCs w:val="14"/>
                <w:color w:val="auto"/>
              </w:rPr>
              <w:t>20,985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820" w:type="dxa"/>
            <w:vAlign w:val="bottom"/>
            <w:tcBorders>
              <w:bottom w:val="single" w:sz="8" w:color="CFF0FC"/>
            </w:tcBorders>
            <w:shd w:val="clear" w:color="auto" w:fill="CFF0FC"/>
          </w:tcPr>
          <w:p>
            <w:pPr>
              <w:spacing w:after="0" w:line="164" w:lineRule="exact"/>
              <w:rPr>
                <w:sz w:val="20"/>
                <w:szCs w:val="20"/>
                <w:color w:val="auto"/>
              </w:rPr>
            </w:pPr>
            <w:r>
              <w:rPr>
                <w:rFonts w:ascii="Calibri" w:cs="Calibri" w:eastAsia="Calibri" w:hAnsi="Calibri"/>
                <w:sz w:val="14"/>
                <w:szCs w:val="14"/>
                <w:b w:val="1"/>
                <w:bCs w:val="1"/>
                <w:color w:val="auto"/>
              </w:rPr>
              <w:t>Income from operatons</w:t>
            </w:r>
          </w:p>
        </w:tc>
        <w:tc>
          <w:tcPr>
            <w:tcW w:w="1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rPr>
              <w:t>7,882</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rPr>
              <w:t>28,554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alibri" w:cs="Calibri" w:eastAsia="Calibri" w:hAnsi="Calibri"/>
                <w:sz w:val="14"/>
                <w:szCs w:val="14"/>
                <w:color w:val="auto"/>
              </w:rPr>
              <w:t>Interest expense – net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4"/>
                <w:szCs w:val="14"/>
                <w:color w:val="auto"/>
              </w:rPr>
              <w:t>5,324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alibri" w:cs="Calibri" w:eastAsia="Calibri" w:hAnsi="Calibri"/>
                <w:sz w:val="14"/>
                <w:szCs w:val="14"/>
                <w:color w:val="auto"/>
              </w:rPr>
              <w:t>10,406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4"/>
                <w:szCs w:val="14"/>
                <w:color w:val="auto"/>
              </w:rPr>
              <w:t>Other expense</w:t>
            </w:r>
          </w:p>
        </w:tc>
        <w:tc>
          <w:tcPr>
            <w:tcW w:w="1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3,202</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5,784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20" w:type="dxa"/>
            <w:vAlign w:val="bottom"/>
          </w:tcPr>
          <w:p>
            <w:pPr>
              <w:spacing w:after="0"/>
              <w:rPr>
                <w:sz w:val="20"/>
                <w:szCs w:val="20"/>
                <w:color w:val="auto"/>
              </w:rPr>
            </w:pPr>
            <w:r>
              <w:rPr>
                <w:rFonts w:ascii="Calibri" w:cs="Calibri" w:eastAsia="Calibri" w:hAnsi="Calibri"/>
                <w:sz w:val="14"/>
                <w:szCs w:val="14"/>
                <w:b w:val="1"/>
                <w:bCs w:val="1"/>
                <w:color w:val="auto"/>
              </w:rPr>
              <w:t>Income (loss) before income taxes</w:t>
            </w:r>
          </w:p>
        </w:tc>
        <w:tc>
          <w:tcPr>
            <w:tcW w:w="1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1200" w:type="dxa"/>
            <w:vAlign w:val="bottom"/>
            <w:tcBorders>
              <w:bottom w:val="single" w:sz="8" w:color="auto"/>
            </w:tcBorders>
            <w:gridSpan w:val="2"/>
          </w:tcPr>
          <w:p>
            <w:pPr>
              <w:jc w:val="right"/>
              <w:ind w:right="160"/>
              <w:spacing w:after="0"/>
              <w:rPr>
                <w:sz w:val="20"/>
                <w:szCs w:val="20"/>
                <w:color w:val="auto"/>
              </w:rPr>
            </w:pPr>
            <w:r>
              <w:rPr>
                <w:rFonts w:ascii="Calibri" w:cs="Calibri" w:eastAsia="Calibri" w:hAnsi="Calibri"/>
                <w:sz w:val="14"/>
                <w:szCs w:val="14"/>
                <w:b w:val="1"/>
                <w:bCs w:val="1"/>
                <w:color w:val="auto"/>
              </w:rPr>
              <w:t>(644 )</w:t>
            </w:r>
          </w:p>
        </w:tc>
        <w:tc>
          <w:tcPr>
            <w:tcW w:w="1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80"/>
              <w:spacing w:after="0"/>
              <w:rPr>
                <w:sz w:val="20"/>
                <w:szCs w:val="20"/>
                <w:color w:val="auto"/>
              </w:rPr>
            </w:pPr>
            <w:r>
              <w:rPr>
                <w:rFonts w:ascii="Calibri" w:cs="Calibri" w:eastAsia="Calibri" w:hAnsi="Calibri"/>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12,364</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gridSpan w:val="8"/>
          </w:tcPr>
          <w:p>
            <w:pPr>
              <w:jc w:val="right"/>
              <w:ind w:right="920"/>
              <w:spacing w:after="0"/>
              <w:rPr>
                <w:sz w:val="20"/>
                <w:szCs w:val="20"/>
                <w:color w:val="auto"/>
              </w:rPr>
            </w:pPr>
            <w:r>
              <w:rPr>
                <w:rFonts w:ascii="Calibri" w:cs="Calibri" w:eastAsia="Calibri" w:hAnsi="Calibri"/>
                <w:sz w:val="14"/>
                <w:szCs w:val="14"/>
                <w:b w:val="1"/>
                <w:bCs w:val="1"/>
                <w:color w:val="auto"/>
              </w:rPr>
              <w:t>Three Months Ended June 30, 2023</w:t>
            </w:r>
          </w:p>
        </w:tc>
        <w:tc>
          <w:tcPr>
            <w:tcW w:w="140" w:type="dxa"/>
            <w:vAlign w:val="bottom"/>
          </w:tcPr>
          <w:p>
            <w:pPr>
              <w:spacing w:after="0"/>
              <w:rPr>
                <w:sz w:val="24"/>
                <w:szCs w:val="24"/>
                <w:color w:val="auto"/>
              </w:rPr>
            </w:pPr>
          </w:p>
        </w:tc>
        <w:tc>
          <w:tcPr>
            <w:tcW w:w="3400" w:type="dxa"/>
            <w:vAlign w:val="bottom"/>
            <w:gridSpan w:val="8"/>
          </w:tcPr>
          <w:p>
            <w:pPr>
              <w:jc w:val="right"/>
              <w:ind w:right="860"/>
              <w:spacing w:after="0"/>
              <w:rPr>
                <w:sz w:val="20"/>
                <w:szCs w:val="20"/>
                <w:color w:val="auto"/>
              </w:rPr>
            </w:pPr>
            <w:r>
              <w:rPr>
                <w:rFonts w:ascii="Calibri" w:cs="Calibri" w:eastAsia="Calibri" w:hAnsi="Calibri"/>
                <w:sz w:val="14"/>
                <w:szCs w:val="14"/>
                <w:b w:val="1"/>
                <w:bCs w:val="1"/>
                <w:color w:val="auto"/>
              </w:rPr>
              <w:t>Six Months Ended June 30, 2023</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28"/>
              <w:spacing w:after="0" w:line="164" w:lineRule="exact"/>
              <w:rPr>
                <w:sz w:val="20"/>
                <w:szCs w:val="20"/>
                <w:color w:val="auto"/>
              </w:rPr>
            </w:pPr>
            <w:r>
              <w:rPr>
                <w:rFonts w:ascii="Calibri" w:cs="Calibri" w:eastAsia="Calibri" w:hAnsi="Calibri"/>
                <w:sz w:val="14"/>
                <w:szCs w:val="14"/>
                <w:b w:val="1"/>
                <w:bCs w:val="1"/>
                <w:color w:val="auto"/>
              </w:rPr>
              <w:t>Marketplace</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148"/>
              <w:spacing w:after="0" w:line="164" w:lineRule="exact"/>
              <w:rPr>
                <w:sz w:val="20"/>
                <w:szCs w:val="20"/>
                <w:color w:val="auto"/>
              </w:rPr>
            </w:pPr>
            <w:r>
              <w:rPr>
                <w:rFonts w:ascii="Calibri" w:cs="Calibri" w:eastAsia="Calibri" w:hAnsi="Calibri"/>
                <w:sz w:val="14"/>
                <w:szCs w:val="14"/>
                <w:b w:val="1"/>
                <w:bCs w:val="1"/>
                <w:color w:val="auto"/>
              </w:rPr>
              <w:t>Resale</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b w:val="1"/>
                <w:bCs w:val="1"/>
                <w:color w:val="auto"/>
              </w:rPr>
              <w:t>Consolidated</w:t>
            </w: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b w:val="1"/>
                <w:bCs w:val="1"/>
                <w:color w:val="auto"/>
              </w:rPr>
              <w:t>Marketplace</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b w:val="1"/>
                <w:bCs w:val="1"/>
                <w:color w:val="auto"/>
              </w:rPr>
              <w:t>Resale</w:t>
            </w: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68"/>
              <w:spacing w:after="0" w:line="164" w:lineRule="exact"/>
              <w:rPr>
                <w:sz w:val="20"/>
                <w:szCs w:val="20"/>
                <w:color w:val="auto"/>
              </w:rPr>
            </w:pPr>
            <w:r>
              <w:rPr>
                <w:rFonts w:ascii="Calibri" w:cs="Calibri" w:eastAsia="Calibri" w:hAnsi="Calibri"/>
                <w:sz w:val="14"/>
                <w:szCs w:val="14"/>
                <w:b w:val="1"/>
                <w:bCs w:val="1"/>
                <w:color w:val="auto"/>
              </w:rPr>
              <w:t>Consolidated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820" w:type="dxa"/>
            <w:vAlign w:val="bottom"/>
            <w:tcBorders>
              <w:bottom w:val="single" w:sz="8" w:color="CFF0FC"/>
            </w:tcBorders>
            <w:shd w:val="clear" w:color="auto" w:fill="CFF0FC"/>
          </w:tcPr>
          <w:p>
            <w:pPr>
              <w:spacing w:after="0" w:line="164" w:lineRule="exact"/>
              <w:rPr>
                <w:sz w:val="20"/>
                <w:szCs w:val="20"/>
                <w:color w:val="auto"/>
              </w:rPr>
            </w:pPr>
            <w:r>
              <w:rPr>
                <w:rFonts w:ascii="Calibri" w:cs="Calibri" w:eastAsia="Calibri" w:hAnsi="Calibri"/>
                <w:sz w:val="14"/>
                <w:szCs w:val="14"/>
                <w:color w:val="auto"/>
              </w:rPr>
              <w:t>Revenues</w:t>
            </w:r>
          </w:p>
        </w:tc>
        <w:tc>
          <w:tcPr>
            <w:tcW w:w="14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00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139,150</w:t>
            </w:r>
          </w:p>
        </w:tc>
        <w:tc>
          <w:tcPr>
            <w:tcW w:w="380" w:type="dxa"/>
            <w:vAlign w:val="bottom"/>
            <w:tcBorders>
              <w:bottom w:val="single" w:sz="8" w:color="CFF0FC"/>
            </w:tcBorders>
            <w:gridSpan w:val="2"/>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26,230</w:t>
            </w:r>
          </w:p>
        </w:tc>
        <w:tc>
          <w:tcPr>
            <w:tcW w:w="340" w:type="dxa"/>
            <w:vAlign w:val="bottom"/>
            <w:tcBorders>
              <w:bottom w:val="single" w:sz="8" w:color="CFF0FC"/>
            </w:tcBorders>
            <w:gridSpan w:val="2"/>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165,380</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275,731</w:t>
            </w:r>
          </w:p>
        </w:tc>
        <w:tc>
          <w:tcPr>
            <w:tcW w:w="320" w:type="dxa"/>
            <w:vAlign w:val="bottom"/>
            <w:tcBorders>
              <w:bottom w:val="single" w:sz="8" w:color="CFF0FC"/>
            </w:tcBorders>
            <w:gridSpan w:val="2"/>
            <w:shd w:val="clear" w:color="auto" w:fill="CFF0FC"/>
          </w:tcPr>
          <w:p>
            <w:pPr>
              <w:jc w:val="right"/>
              <w:ind w:right="20"/>
              <w:spacing w:after="0" w:line="164" w:lineRule="exact"/>
              <w:rPr>
                <w:sz w:val="20"/>
                <w:szCs w:val="20"/>
                <w:color w:val="auto"/>
              </w:rPr>
            </w:pPr>
            <w:r>
              <w:rPr>
                <w:rFonts w:ascii="Calibri" w:cs="Calibri" w:eastAsia="Calibri" w:hAnsi="Calibri"/>
                <w:sz w:val="14"/>
                <w:szCs w:val="14"/>
                <w:color w:val="auto"/>
              </w:rPr>
              <w:t>$</w:t>
            </w: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50,712</w:t>
            </w:r>
          </w:p>
        </w:tc>
        <w:tc>
          <w:tcPr>
            <w:tcW w:w="360" w:type="dxa"/>
            <w:vAlign w:val="bottom"/>
            <w:tcBorders>
              <w:bottom w:val="single" w:sz="8" w:color="CFF0FC"/>
            </w:tcBorders>
            <w:gridSpan w:val="2"/>
            <w:shd w:val="clear" w:color="auto" w:fill="CFF0FC"/>
          </w:tcPr>
          <w:p>
            <w:pPr>
              <w:jc w:val="right"/>
              <w:ind w:right="80"/>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326,443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alibri" w:cs="Calibri" w:eastAsia="Calibri" w:hAnsi="Calibri"/>
                <w:sz w:val="14"/>
                <w:szCs w:val="14"/>
                <w:color w:val="auto"/>
              </w:rPr>
              <w:t>Cost of revenues (exclusive of depreciaton and amortzaton</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alibri" w:cs="Calibri" w:eastAsia="Calibri" w:hAnsi="Calibri"/>
                <w:sz w:val="14"/>
                <w:szCs w:val="14"/>
                <w:color w:val="auto"/>
              </w:rPr>
              <w:t>22,766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alibri" w:cs="Calibri" w:eastAsia="Calibri" w:hAnsi="Calibri"/>
                <w:sz w:val="14"/>
                <w:szCs w:val="14"/>
                <w:color w:val="auto"/>
              </w:rPr>
              <w:t>19,850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alibri" w:cs="Calibri" w:eastAsia="Calibri" w:hAnsi="Calibri"/>
                <w:sz w:val="14"/>
                <w:szCs w:val="14"/>
                <w:color w:val="auto"/>
              </w:rPr>
              <w:t>42,616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Calibri" w:cs="Calibri" w:eastAsia="Calibri" w:hAnsi="Calibri"/>
                <w:sz w:val="14"/>
                <w:szCs w:val="14"/>
                <w:color w:val="auto"/>
              </w:rPr>
              <w:t>42,826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Calibri" w:cs="Calibri" w:eastAsia="Calibri" w:hAnsi="Calibri"/>
                <w:sz w:val="14"/>
                <w:szCs w:val="14"/>
                <w:color w:val="auto"/>
              </w:rPr>
              <w:t>37,550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Calibri" w:cs="Calibri" w:eastAsia="Calibri" w:hAnsi="Calibri"/>
                <w:sz w:val="14"/>
                <w:szCs w:val="14"/>
                <w:color w:val="auto"/>
              </w:rPr>
              <w:t>80,376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820" w:type="dxa"/>
            <w:vAlign w:val="bottom"/>
            <w:vMerge w:val="restart"/>
          </w:tcPr>
          <w:p>
            <w:pPr>
              <w:spacing w:after="0"/>
              <w:rPr>
                <w:sz w:val="20"/>
                <w:szCs w:val="20"/>
                <w:color w:val="auto"/>
              </w:rPr>
            </w:pPr>
            <w:r>
              <w:rPr>
                <w:rFonts w:ascii="Calibri" w:cs="Calibri" w:eastAsia="Calibri" w:hAnsi="Calibri"/>
                <w:sz w:val="14"/>
                <w:szCs w:val="14"/>
                <w:color w:val="auto"/>
              </w:rPr>
              <w:t>shown separately below)</w:t>
            </w: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8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4"/>
                <w:szCs w:val="14"/>
                <w:color w:val="auto"/>
              </w:rPr>
              <w:t>Marketng and selling</w:t>
            </w:r>
          </w:p>
        </w:tc>
        <w:tc>
          <w:tcPr>
            <w:tcW w:w="1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65,192</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65,192</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119,964</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119,964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20" w:type="dxa"/>
            <w:vAlign w:val="bottom"/>
          </w:tcPr>
          <w:p>
            <w:pPr>
              <w:spacing w:after="0" w:line="164" w:lineRule="exact"/>
              <w:rPr>
                <w:sz w:val="20"/>
                <w:szCs w:val="20"/>
                <w:color w:val="auto"/>
              </w:rPr>
            </w:pPr>
            <w:r>
              <w:rPr>
                <w:rFonts w:ascii="Calibri" w:cs="Calibri" w:eastAsia="Calibri" w:hAnsi="Calibri"/>
                <w:sz w:val="14"/>
                <w:szCs w:val="14"/>
                <w:b w:val="1"/>
                <w:bCs w:val="1"/>
                <w:color w:val="auto"/>
              </w:rPr>
              <w:t>Contributon margin</w:t>
            </w:r>
          </w:p>
        </w:tc>
        <w:tc>
          <w:tcPr>
            <w:tcW w:w="1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w w:val="83"/>
              </w:rPr>
              <w:t>$</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51,192</w:t>
            </w:r>
          </w:p>
        </w:tc>
        <w:tc>
          <w:tcPr>
            <w:tcW w:w="240" w:type="dxa"/>
            <w:vAlign w:val="bottom"/>
          </w:tcPr>
          <w:p>
            <w:pPr>
              <w:spacing w:after="0"/>
              <w:rPr>
                <w:sz w:val="14"/>
                <w:szCs w:val="14"/>
                <w:color w:val="auto"/>
              </w:rPr>
            </w:pPr>
          </w:p>
        </w:tc>
        <w:tc>
          <w:tcPr>
            <w:tcW w:w="1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w w:val="83"/>
              </w:rPr>
              <w:t>$</w:t>
            </w:r>
          </w:p>
        </w:tc>
        <w:tc>
          <w:tcPr>
            <w:tcW w:w="6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6,380</w:t>
            </w:r>
          </w:p>
        </w:tc>
        <w:tc>
          <w:tcPr>
            <w:tcW w:w="220" w:type="dxa"/>
            <w:vAlign w:val="bottom"/>
          </w:tcPr>
          <w:p>
            <w:pPr>
              <w:spacing w:after="0"/>
              <w:rPr>
                <w:sz w:val="14"/>
                <w:szCs w:val="14"/>
                <w:color w:val="auto"/>
              </w:rPr>
            </w:pPr>
          </w:p>
        </w:tc>
        <w:tc>
          <w:tcPr>
            <w:tcW w:w="1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w w:val="83"/>
              </w:rPr>
              <w:t>$</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57,572</w:t>
            </w:r>
          </w:p>
        </w:tc>
        <w:tc>
          <w:tcPr>
            <w:tcW w:w="200" w:type="dxa"/>
            <w:vAlign w:val="bottom"/>
          </w:tcPr>
          <w:p>
            <w:pPr>
              <w:spacing w:after="0"/>
              <w:rPr>
                <w:sz w:val="14"/>
                <w:szCs w:val="14"/>
                <w:color w:val="auto"/>
              </w:rPr>
            </w:pPr>
          </w:p>
        </w:tc>
        <w:tc>
          <w:tcPr>
            <w:tcW w:w="1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w w:val="83"/>
              </w:rPr>
              <w:t>$</w:t>
            </w:r>
          </w:p>
        </w:tc>
        <w:tc>
          <w:tcPr>
            <w:tcW w:w="9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112,941</w:t>
            </w:r>
          </w:p>
        </w:tc>
        <w:tc>
          <w:tcPr>
            <w:tcW w:w="320" w:type="dxa"/>
            <w:vAlign w:val="bottom"/>
            <w:gridSpan w:val="2"/>
          </w:tcPr>
          <w:p>
            <w:pPr>
              <w:jc w:val="right"/>
              <w:ind w:right="20"/>
              <w:spacing w:after="0" w:line="164" w:lineRule="exact"/>
              <w:rPr>
                <w:sz w:val="20"/>
                <w:szCs w:val="20"/>
                <w:color w:val="auto"/>
              </w:rPr>
            </w:pPr>
            <w:r>
              <w:rPr>
                <w:rFonts w:ascii="Calibri" w:cs="Calibri" w:eastAsia="Calibri" w:hAnsi="Calibri"/>
                <w:sz w:val="14"/>
                <w:szCs w:val="14"/>
                <w:b w:val="1"/>
                <w:bCs w:val="1"/>
                <w:color w:val="auto"/>
              </w:rPr>
              <w:t>$</w:t>
            </w:r>
          </w:p>
        </w:tc>
        <w:tc>
          <w:tcPr>
            <w:tcW w:w="5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13,162</w:t>
            </w:r>
          </w:p>
        </w:tc>
        <w:tc>
          <w:tcPr>
            <w:tcW w:w="360" w:type="dxa"/>
            <w:vAlign w:val="bottom"/>
            <w:gridSpan w:val="2"/>
          </w:tcPr>
          <w:p>
            <w:pPr>
              <w:jc w:val="right"/>
              <w:ind w:right="80"/>
              <w:spacing w:after="0" w:line="164" w:lineRule="exact"/>
              <w:rPr>
                <w:sz w:val="20"/>
                <w:szCs w:val="20"/>
                <w:color w:val="auto"/>
              </w:rPr>
            </w:pPr>
            <w:r>
              <w:rPr>
                <w:rFonts w:ascii="Calibri" w:cs="Calibri" w:eastAsia="Calibri" w:hAnsi="Calibri"/>
                <w:sz w:val="14"/>
                <w:szCs w:val="14"/>
                <w:b w:val="1"/>
                <w:bCs w:val="1"/>
                <w:color w:val="auto"/>
              </w:rPr>
              <w:t>$</w:t>
            </w: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126,103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4"/>
                <w:szCs w:val="14"/>
                <w:color w:val="auto"/>
              </w:rPr>
              <w:t>General and administratve</w:t>
            </w:r>
          </w:p>
        </w:tc>
        <w:tc>
          <w:tcPr>
            <w:tcW w:w="1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38,307</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70,696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alibri" w:cs="Calibri" w:eastAsia="Calibri" w:hAnsi="Calibri"/>
                <w:sz w:val="14"/>
                <w:szCs w:val="14"/>
                <w:color w:val="auto"/>
              </w:rPr>
              <w:t>Depreciaton and amortzaton</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4"/>
                <w:szCs w:val="14"/>
                <w:color w:val="auto"/>
              </w:rPr>
              <w:t>2,704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alibri" w:cs="Calibri" w:eastAsia="Calibri" w:hAnsi="Calibri"/>
                <w:sz w:val="14"/>
                <w:szCs w:val="14"/>
                <w:color w:val="auto"/>
              </w:rPr>
              <w:t>5,302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8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4"/>
                <w:szCs w:val="14"/>
                <w:color w:val="auto"/>
              </w:rPr>
              <w:t>Change in fair value of contngent consideraton</w:t>
            </w:r>
          </w:p>
        </w:tc>
        <w:tc>
          <w:tcPr>
            <w:tcW w:w="1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(1,052 )</w:t>
            </w:r>
          </w:p>
        </w:tc>
        <w:tc>
          <w:tcPr>
            <w:tcW w:w="1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(1,018 )</w:t>
            </w:r>
          </w:p>
        </w:tc>
        <w:tc>
          <w:tcPr>
            <w:tcW w:w="0" w:type="dxa"/>
            <w:vAlign w:val="bottom"/>
          </w:tcPr>
          <w:p>
            <w:pPr>
              <w:spacing w:after="0"/>
              <w:rPr>
                <w:sz w:val="1"/>
                <w:szCs w:val="1"/>
                <w:color w:val="auto"/>
              </w:rPr>
            </w:pPr>
          </w:p>
        </w:tc>
      </w:tr>
      <w:tr>
        <w:trPr>
          <w:trHeight w:val="163"/>
        </w:trPr>
        <w:tc>
          <w:tcPr>
            <w:tcW w:w="3820" w:type="dxa"/>
            <w:vAlign w:val="bottom"/>
            <w:tcBorders>
              <w:top w:val="single" w:sz="8" w:color="CFF0FC"/>
            </w:tcBorders>
          </w:tcPr>
          <w:p>
            <w:pPr>
              <w:spacing w:after="0" w:line="164" w:lineRule="exact"/>
              <w:rPr>
                <w:sz w:val="20"/>
                <w:szCs w:val="20"/>
                <w:color w:val="auto"/>
              </w:rPr>
            </w:pPr>
            <w:r>
              <w:rPr>
                <w:rFonts w:ascii="Calibri" w:cs="Calibri" w:eastAsia="Calibri" w:hAnsi="Calibri"/>
                <w:sz w:val="14"/>
                <w:szCs w:val="14"/>
                <w:b w:val="1"/>
                <w:bCs w:val="1"/>
                <w:color w:val="auto"/>
              </w:rPr>
              <w:t>Income from operatons</w:t>
            </w:r>
          </w:p>
        </w:tc>
        <w:tc>
          <w:tcPr>
            <w:tcW w:w="140" w:type="dxa"/>
            <w:vAlign w:val="bottom"/>
            <w:tcBorders>
              <w:top w:val="single" w:sz="8" w:color="CFF0FC"/>
            </w:tcBorders>
          </w:tcPr>
          <w:p>
            <w:pPr>
              <w:spacing w:after="0"/>
              <w:rPr>
                <w:sz w:val="14"/>
                <w:szCs w:val="14"/>
                <w:color w:val="auto"/>
              </w:rPr>
            </w:pPr>
          </w:p>
        </w:tc>
        <w:tc>
          <w:tcPr>
            <w:tcW w:w="1000" w:type="dxa"/>
            <w:vAlign w:val="bottom"/>
            <w:tcBorders>
              <w:top w:val="single" w:sz="8" w:color="CFF0FC"/>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17,613</w:t>
            </w:r>
          </w:p>
        </w:tc>
        <w:tc>
          <w:tcPr>
            <w:tcW w:w="2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98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56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51,123</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4"/>
                <w:szCs w:val="14"/>
                <w:color w:val="auto"/>
              </w:rPr>
              <w:t>Interest expense – net</w:t>
            </w:r>
          </w:p>
        </w:tc>
        <w:tc>
          <w:tcPr>
            <w:tcW w:w="1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2,772</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6,052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alibri" w:cs="Calibri" w:eastAsia="Calibri" w:hAnsi="Calibri"/>
                <w:sz w:val="14"/>
                <w:szCs w:val="14"/>
                <w:color w:val="auto"/>
              </w:rPr>
              <w:t>Other expense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4"/>
                <w:szCs w:val="14"/>
                <w:color w:val="auto"/>
              </w:rPr>
              <w:t>1,000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alibri" w:cs="Calibri" w:eastAsia="Calibri" w:hAnsi="Calibri"/>
                <w:sz w:val="14"/>
                <w:szCs w:val="14"/>
                <w:color w:val="auto"/>
              </w:rPr>
              <w:t>673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820" w:type="dxa"/>
            <w:vAlign w:val="bottom"/>
            <w:tcBorders>
              <w:bottom w:val="single" w:sz="8" w:color="CFF0FC"/>
            </w:tcBorders>
            <w:shd w:val="clear" w:color="auto" w:fill="CFF0FC"/>
          </w:tcPr>
          <w:p>
            <w:pPr>
              <w:spacing w:after="0" w:line="164" w:lineRule="exact"/>
              <w:rPr>
                <w:sz w:val="20"/>
                <w:szCs w:val="20"/>
                <w:color w:val="auto"/>
              </w:rPr>
            </w:pPr>
            <w:r>
              <w:rPr>
                <w:rFonts w:ascii="Calibri" w:cs="Calibri" w:eastAsia="Calibri" w:hAnsi="Calibri"/>
                <w:sz w:val="14"/>
                <w:szCs w:val="14"/>
                <w:b w:val="1"/>
                <w:bCs w:val="1"/>
                <w:color w:val="auto"/>
              </w:rPr>
              <w:t>Income before income taxes</w:t>
            </w:r>
          </w:p>
        </w:tc>
        <w:tc>
          <w:tcPr>
            <w:tcW w:w="1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w w:val="83"/>
              </w:rPr>
              <w:t>$</w:t>
            </w:r>
          </w:p>
        </w:tc>
        <w:tc>
          <w:tcPr>
            <w:tcW w:w="100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rPr>
              <w:t>13,841</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gridSpan w:val="2"/>
            <w:shd w:val="clear" w:color="auto" w:fill="CFF0FC"/>
          </w:tcPr>
          <w:p>
            <w:pPr>
              <w:jc w:val="right"/>
              <w:ind w:right="80"/>
              <w:spacing w:after="0" w:line="164" w:lineRule="exact"/>
              <w:rPr>
                <w:sz w:val="20"/>
                <w:szCs w:val="20"/>
                <w:color w:val="auto"/>
              </w:rPr>
            </w:pPr>
            <w:r>
              <w:rPr>
                <w:rFonts w:ascii="Calibri" w:cs="Calibri" w:eastAsia="Calibri" w:hAnsi="Calibri"/>
                <w:sz w:val="14"/>
                <w:szCs w:val="14"/>
                <w:b w:val="1"/>
                <w:bCs w:val="1"/>
                <w:color w:val="auto"/>
              </w:rPr>
              <w:t>$</w:t>
            </w: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rPr>
              <w:t>44,398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-2939415</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-2939415</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-2939415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-2939415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-2939415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-2939415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-2150745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-2150745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-1079500</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-1079500</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-1079500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-1079500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-1079500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-1079500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-556895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-556895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color w:val="auto"/>
        </w:rPr>
        <w:t>Substantally all of our sales occur and assets reside in the United States.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6. Accounts Receivable </w:t>
      </w:r>
      <w:r>
        <w:rPr>
          <w:rFonts w:ascii="Times New Roman" w:cs="Times New Roman" w:eastAsia="Times New Roman" w:hAnsi="Times New Roman"/>
          <w:sz w:val="18"/>
          <w:szCs w:val="18"/>
          <w:b w:val="1"/>
          <w:bCs w:val="1"/>
          <w:color w:val="auto"/>
        </w:rPr>
        <w:t>-</w:t>
      </w:r>
      <w:r>
        <w:rPr>
          <w:rFonts w:ascii="Calibri" w:cs="Calibri" w:eastAsia="Calibri" w:hAnsi="Calibri"/>
          <w:sz w:val="18"/>
          <w:szCs w:val="18"/>
          <w:b w:val="1"/>
          <w:bCs w:val="1"/>
          <w:color w:val="auto"/>
        </w:rPr>
        <w:t xml:space="preserve"> Net</w:t>
      </w:r>
    </w:p>
    <w:p>
      <w:pPr>
        <w:spacing w:after="0" w:line="11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our accounts receivable balance, net of allowance for doubtul accounts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jc w:val="right"/>
              <w:ind w:right="840"/>
              <w:spacing w:after="0"/>
              <w:rPr>
                <w:sz w:val="20"/>
                <w:szCs w:val="20"/>
                <w:color w:val="auto"/>
              </w:rPr>
            </w:pPr>
            <w:r>
              <w:rPr>
                <w:rFonts w:ascii="Calibri" w:cs="Calibri" w:eastAsia="Calibri" w:hAnsi="Calibri"/>
                <w:sz w:val="18"/>
                <w:szCs w:val="18"/>
                <w:b w:val="1"/>
                <w:bCs w:val="1"/>
                <w:color w:val="auto"/>
              </w:rPr>
              <w:t>June 30,</w:t>
            </w:r>
          </w:p>
        </w:tc>
        <w:tc>
          <w:tcPr>
            <w:tcW w:w="200" w:type="dxa"/>
            <w:vAlign w:val="bottom"/>
          </w:tcPr>
          <w:p>
            <w:pPr>
              <w:spacing w:after="0"/>
              <w:rPr>
                <w:sz w:val="19"/>
                <w:szCs w:val="19"/>
                <w:color w:val="auto"/>
              </w:rPr>
            </w:pPr>
          </w:p>
        </w:tc>
        <w:tc>
          <w:tcPr>
            <w:tcW w:w="1500" w:type="dxa"/>
            <w:vAlign w:val="bottom"/>
            <w:gridSpan w:val="2"/>
          </w:tcPr>
          <w:p>
            <w:pPr>
              <w:jc w:val="right"/>
              <w:ind w:right="40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7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550"/>
              <w:spacing w:after="0"/>
              <w:rPr>
                <w:sz w:val="20"/>
                <w:szCs w:val="20"/>
                <w:color w:val="auto"/>
              </w:rPr>
            </w:pPr>
            <w:r>
              <w:rPr>
                <w:rFonts w:ascii="Calibri" w:cs="Calibri" w:eastAsia="Calibri" w:hAnsi="Calibri"/>
                <w:sz w:val="18"/>
                <w:szCs w:val="18"/>
                <w:b w:val="1"/>
                <w:bCs w:val="1"/>
                <w:color w:val="auto"/>
              </w:rPr>
              <w:t>2024</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53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r>
      <w:tr>
        <w:trPr>
          <w:trHeight w:val="37"/>
        </w:trPr>
        <w:tc>
          <w:tcPr>
            <w:tcW w:w="76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76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Uncollateralized payment processor obligatons</w:t>
            </w:r>
          </w:p>
        </w:tc>
        <w:tc>
          <w:tcPr>
            <w:tcW w:w="300" w:type="dxa"/>
            <w:vAlign w:val="bottom"/>
            <w:tcBorders>
              <w:bottom w:val="single" w:sz="8" w:color="CFF0FC"/>
            </w:tcBorders>
            <w:shd w:val="clear" w:color="auto" w:fill="CFF0FC"/>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3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44,246</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4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32,810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Due from marketplace tcket sellers for cancellaton charges</w:t>
            </w:r>
          </w:p>
        </w:tc>
        <w:tc>
          <w:tcPr>
            <w:tcW w:w="3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7,276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5,632</w:t>
            </w:r>
          </w:p>
        </w:tc>
        <w:tc>
          <w:tcPr>
            <w:tcW w:w="100" w:type="dxa"/>
            <w:vAlign w:val="bottom"/>
          </w:tcPr>
          <w:p>
            <w:pPr>
              <w:spacing w:after="0"/>
              <w:rPr>
                <w:sz w:val="18"/>
                <w:szCs w:val="18"/>
                <w:color w:val="auto"/>
              </w:rPr>
            </w:pPr>
          </w:p>
        </w:tc>
      </w:tr>
      <w:tr>
        <w:trPr>
          <w:trHeight w:val="28"/>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6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Due from distributon partners for cancellaton charges</w:t>
            </w:r>
          </w:p>
        </w:tc>
        <w:tc>
          <w:tcPr>
            <w:tcW w:w="30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12,985</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12,736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Event insurance and other commissions receivable</w:t>
            </w:r>
          </w:p>
        </w:tc>
        <w:tc>
          <w:tcPr>
            <w:tcW w:w="3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5,534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11,414</w:t>
            </w:r>
          </w:p>
        </w:tc>
        <w:tc>
          <w:tcPr>
            <w:tcW w:w="100" w:type="dxa"/>
            <w:vAlign w:val="bottom"/>
          </w:tcPr>
          <w:p>
            <w:pPr>
              <w:spacing w:after="0"/>
              <w:rPr>
                <w:sz w:val="18"/>
                <w:szCs w:val="18"/>
                <w:color w:val="auto"/>
              </w:rPr>
            </w:pPr>
          </w:p>
        </w:tc>
      </w:tr>
      <w:tr>
        <w:trPr>
          <w:trHeight w:val="28"/>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6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Allowance for credit losses</w:t>
            </w:r>
          </w:p>
        </w:tc>
        <w:tc>
          <w:tcPr>
            <w:tcW w:w="3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(11,090 )</w:t>
            </w:r>
          </w:p>
        </w:tc>
        <w:tc>
          <w:tcPr>
            <w:tcW w:w="20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(10,074 )</w:t>
            </w: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Other</w:t>
            </w:r>
          </w:p>
        </w:tc>
        <w:tc>
          <w:tcPr>
            <w:tcW w:w="3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9,677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5,963</w:t>
            </w:r>
          </w:p>
        </w:tc>
        <w:tc>
          <w:tcPr>
            <w:tcW w:w="100" w:type="dxa"/>
            <w:vAlign w:val="bottom"/>
          </w:tcPr>
          <w:p>
            <w:pPr>
              <w:spacing w:after="0"/>
              <w:rPr>
                <w:sz w:val="18"/>
                <w:szCs w:val="18"/>
                <w:color w:val="auto"/>
              </w:rPr>
            </w:pPr>
          </w:p>
        </w:tc>
      </w:tr>
      <w:tr>
        <w:trPr>
          <w:trHeight w:val="28"/>
        </w:trPr>
        <w:tc>
          <w:tcPr>
            <w:tcW w:w="7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1"/>
        </w:trPr>
        <w:tc>
          <w:tcPr>
            <w:tcW w:w="760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Total accounts receivable – net</w:t>
            </w:r>
          </w:p>
        </w:tc>
        <w:tc>
          <w:tcPr>
            <w:tcW w:w="300" w:type="dxa"/>
            <w:vAlign w:val="bottom"/>
            <w:tcBorders>
              <w:bottom w:val="single" w:sz="8" w:color="CFF0FC"/>
            </w:tcBorders>
            <w:shd w:val="clear" w:color="auto" w:fill="CFF0FC"/>
          </w:tcPr>
          <w:p>
            <w:pPr>
              <w:jc w:val="right"/>
              <w:ind w:right="110"/>
              <w:spacing w:after="0" w:line="213" w:lineRule="exact"/>
              <w:rPr>
                <w:sz w:val="20"/>
                <w:szCs w:val="20"/>
                <w:color w:val="auto"/>
              </w:rPr>
            </w:pPr>
            <w:r>
              <w:rPr>
                <w:rFonts w:ascii="Calibri" w:cs="Calibri" w:eastAsia="Calibri" w:hAnsi="Calibri"/>
                <w:sz w:val="18"/>
                <w:szCs w:val="18"/>
                <w:b w:val="1"/>
                <w:bCs w:val="1"/>
                <w:color w:val="auto"/>
                <w:w w:val="87"/>
              </w:rPr>
              <w:t>$</w:t>
            </w:r>
          </w:p>
        </w:tc>
        <w:tc>
          <w:tcPr>
            <w:tcW w:w="13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68,628</w:t>
            </w:r>
          </w:p>
        </w:tc>
        <w:tc>
          <w:tcPr>
            <w:tcW w:w="3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jc w:val="right"/>
              <w:ind w:right="10"/>
              <w:spacing w:after="0" w:line="213" w:lineRule="exact"/>
              <w:rPr>
                <w:sz w:val="20"/>
                <w:szCs w:val="20"/>
                <w:color w:val="auto"/>
              </w:rPr>
            </w:pPr>
            <w:r>
              <w:rPr>
                <w:rFonts w:ascii="Calibri" w:cs="Calibri" w:eastAsia="Calibri" w:hAnsi="Calibri"/>
                <w:sz w:val="18"/>
                <w:szCs w:val="18"/>
                <w:b w:val="1"/>
                <w:bCs w:val="1"/>
                <w:color w:val="auto"/>
                <w:w w:val="87"/>
              </w:rPr>
              <w:t>$</w:t>
            </w:r>
          </w:p>
        </w:tc>
        <w:tc>
          <w:tcPr>
            <w:tcW w:w="14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58,481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76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recorded an allowance for credit losses of $11.0 million and $10.0 million at June 30, 2024 and December 31, 2023, respectvely, to refect potental challenges in collectng funds from distributon partners and tcket sellers, partcularly for amounts due upon usage of store credits previously issued to buyers.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There were no write-ofs for the three and six months ended June 30, 2024 and 2023.</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 w:name="page14"/>
    <w:bookmarkEnd w:id="1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80" w:type="dxa"/>
            <w:vAlign w:val="bottom"/>
          </w:tcPr>
          <w:p>
            <w:pPr>
              <w:spacing w:after="0"/>
              <w:rPr>
                <w:sz w:val="20"/>
                <w:szCs w:val="20"/>
                <w:color w:val="auto"/>
              </w:rPr>
            </w:pPr>
            <w:r>
              <w:rPr>
                <w:rFonts w:ascii="Calibri" w:cs="Calibri" w:eastAsia="Calibri" w:hAnsi="Calibri"/>
                <w:sz w:val="18"/>
                <w:szCs w:val="18"/>
                <w:b w:val="1"/>
                <w:bCs w:val="1"/>
                <w:color w:val="auto"/>
              </w:rPr>
              <w:t>7. Prepaid Expenses and Other Current Assets</w:t>
            </w:r>
          </w:p>
        </w:tc>
        <w:tc>
          <w:tcPr>
            <w:tcW w:w="1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4"/>
        </w:trPr>
        <w:tc>
          <w:tcPr>
            <w:tcW w:w="6480" w:type="dxa"/>
            <w:vAlign w:val="bottom"/>
          </w:tcPr>
          <w:p>
            <w:pPr>
              <w:spacing w:after="0"/>
              <w:rPr>
                <w:sz w:val="20"/>
                <w:szCs w:val="20"/>
                <w:color w:val="auto"/>
              </w:rPr>
            </w:pPr>
            <w:r>
              <w:rPr>
                <w:rFonts w:ascii="Calibri" w:cs="Calibri" w:eastAsia="Calibri" w:hAnsi="Calibri"/>
                <w:sz w:val="18"/>
                <w:szCs w:val="18"/>
                <w:color w:val="auto"/>
              </w:rPr>
              <w:t>Prepaid expenses and other current assets consisted of the following (in thousands):</w:t>
            </w: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6480" w:type="dxa"/>
            <w:vAlign w:val="bottom"/>
          </w:tcPr>
          <w:p>
            <w:pPr>
              <w:spacing w:after="0"/>
              <w:rPr>
                <w:sz w:val="24"/>
                <w:szCs w:val="24"/>
                <w:color w:val="auto"/>
              </w:rPr>
            </w:pPr>
          </w:p>
        </w:tc>
        <w:tc>
          <w:tcPr>
            <w:tcW w:w="1540" w:type="dxa"/>
            <w:vAlign w:val="bottom"/>
          </w:tcPr>
          <w:p>
            <w:pPr>
              <w:jc w:val="right"/>
              <w:ind w:right="50"/>
              <w:spacing w:after="0"/>
              <w:rPr>
                <w:sz w:val="20"/>
                <w:szCs w:val="20"/>
                <w:color w:val="auto"/>
              </w:rPr>
            </w:pPr>
            <w:r>
              <w:rPr>
                <w:rFonts w:ascii="Calibri" w:cs="Calibri" w:eastAsia="Calibri" w:hAnsi="Calibri"/>
                <w:sz w:val="18"/>
                <w:szCs w:val="18"/>
                <w:b w:val="1"/>
                <w:bCs w:val="1"/>
                <w:color w:val="auto"/>
              </w:rPr>
              <w:t>June 30,</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2"/>
          </w:tcPr>
          <w:p>
            <w:pPr>
              <w:ind w:left="24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6480" w:type="dxa"/>
            <w:vAlign w:val="bottom"/>
          </w:tcPr>
          <w:p>
            <w:pPr>
              <w:spacing w:after="0"/>
              <w:rPr>
                <w:sz w:val="21"/>
                <w:szCs w:val="21"/>
                <w:color w:val="auto"/>
              </w:rPr>
            </w:pPr>
          </w:p>
        </w:tc>
        <w:tc>
          <w:tcPr>
            <w:tcW w:w="1540" w:type="dxa"/>
            <w:vAlign w:val="bottom"/>
          </w:tcPr>
          <w:p>
            <w:pPr>
              <w:jc w:val="right"/>
              <w:ind w:right="170"/>
              <w:spacing w:after="0"/>
              <w:rPr>
                <w:sz w:val="20"/>
                <w:szCs w:val="20"/>
                <w:color w:val="auto"/>
              </w:rPr>
            </w:pPr>
            <w:r>
              <w:rPr>
                <w:rFonts w:ascii="Calibri" w:cs="Calibri" w:eastAsia="Calibri" w:hAnsi="Calibri"/>
                <w:sz w:val="18"/>
                <w:szCs w:val="18"/>
                <w:b w:val="1"/>
                <w:bCs w:val="1"/>
                <w:color w:val="auto"/>
              </w:rPr>
              <w:t>2024</w:t>
            </w: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81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r>
      <w:tr>
        <w:trPr>
          <w:trHeight w:val="37"/>
        </w:trPr>
        <w:tc>
          <w:tcPr>
            <w:tcW w:w="648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64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Recovery of future customer compensaton</w:t>
            </w:r>
          </w:p>
        </w:tc>
        <w:tc>
          <w:tcPr>
            <w:tcW w:w="1540" w:type="dxa"/>
            <w:vAlign w:val="bottom"/>
            <w:tcBorders>
              <w:bottom w:val="single" w:sz="8" w:color="CFF0FC"/>
            </w:tcBorders>
            <w:shd w:val="clear" w:color="auto" w:fill="CFF0FC"/>
          </w:tcPr>
          <w:p>
            <w:pPr>
              <w:jc w:val="right"/>
              <w:ind w:right="1330"/>
              <w:spacing w:after="0" w:line="208" w:lineRule="exact"/>
              <w:rPr>
                <w:sz w:val="20"/>
                <w:szCs w:val="20"/>
                <w:color w:val="auto"/>
              </w:rPr>
            </w:pPr>
            <w:r>
              <w:rPr>
                <w:rFonts w:ascii="Calibri" w:cs="Calibri" w:eastAsia="Calibri" w:hAnsi="Calibri"/>
                <w:sz w:val="18"/>
                <w:szCs w:val="18"/>
                <w:color w:val="auto"/>
              </w:rPr>
              <w:t>$</w:t>
            </w:r>
          </w:p>
        </w:tc>
        <w:tc>
          <w:tcPr>
            <w:tcW w:w="6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22,552</w:t>
            </w:r>
          </w:p>
        </w:tc>
        <w:tc>
          <w:tcPr>
            <w:tcW w:w="660" w:type="dxa"/>
            <w:vAlign w:val="bottom"/>
            <w:tcBorders>
              <w:bottom w:val="single" w:sz="8" w:color="CFF0FC"/>
            </w:tcBorders>
            <w:gridSpan w:val="2"/>
            <w:shd w:val="clear" w:color="auto" w:fill="CFF0FC"/>
          </w:tcPr>
          <w:p>
            <w:pPr>
              <w:jc w:val="right"/>
              <w:ind w:right="130"/>
              <w:spacing w:after="0" w:line="208" w:lineRule="exact"/>
              <w:rPr>
                <w:sz w:val="20"/>
                <w:szCs w:val="20"/>
                <w:color w:val="auto"/>
              </w:rPr>
            </w:pPr>
            <w:r>
              <w:rPr>
                <w:rFonts w:ascii="Calibri" w:cs="Calibri" w:eastAsia="Calibri" w:hAnsi="Calibri"/>
                <w:sz w:val="18"/>
                <w:szCs w:val="18"/>
                <w:color w:val="auto"/>
              </w:rPr>
              <w:t>$</w:t>
            </w:r>
          </w:p>
        </w:tc>
        <w:tc>
          <w:tcPr>
            <w:tcW w:w="18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25,750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480" w:type="dxa"/>
            <w:vAlign w:val="bottom"/>
          </w:tcPr>
          <w:p>
            <w:pPr>
              <w:ind w:left="20"/>
              <w:spacing w:after="0" w:line="215" w:lineRule="exact"/>
              <w:rPr>
                <w:sz w:val="20"/>
                <w:szCs w:val="20"/>
                <w:color w:val="auto"/>
              </w:rPr>
            </w:pPr>
            <w:r>
              <w:rPr>
                <w:rFonts w:ascii="Calibri" w:cs="Calibri" w:eastAsia="Calibri" w:hAnsi="Calibri"/>
                <w:sz w:val="18"/>
                <w:szCs w:val="18"/>
                <w:color w:val="auto"/>
              </w:rPr>
              <w:t>Prepaid expenses</w:t>
            </w:r>
          </w:p>
        </w:tc>
        <w:tc>
          <w:tcPr>
            <w:tcW w:w="154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8,018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spacing w:after="0" w:line="215" w:lineRule="exact"/>
              <w:rPr>
                <w:sz w:val="20"/>
                <w:szCs w:val="20"/>
                <w:color w:val="auto"/>
              </w:rPr>
            </w:pPr>
            <w:r>
              <w:rPr>
                <w:rFonts w:ascii="Calibri" w:cs="Calibri" w:eastAsia="Calibri" w:hAnsi="Calibri"/>
                <w:sz w:val="18"/>
                <w:szCs w:val="18"/>
                <w:color w:val="auto"/>
              </w:rPr>
              <w:t>8,218</w:t>
            </w:r>
          </w:p>
        </w:tc>
        <w:tc>
          <w:tcPr>
            <w:tcW w:w="100" w:type="dxa"/>
            <w:vAlign w:val="bottom"/>
          </w:tcPr>
          <w:p>
            <w:pPr>
              <w:spacing w:after="0"/>
              <w:rPr>
                <w:sz w:val="18"/>
                <w:szCs w:val="18"/>
                <w:color w:val="auto"/>
              </w:rPr>
            </w:pPr>
          </w:p>
        </w:tc>
      </w:tr>
      <w:tr>
        <w:trPr>
          <w:trHeight w:val="28"/>
        </w:trPr>
        <w:tc>
          <w:tcPr>
            <w:tcW w:w="6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64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Other current assets</w:t>
            </w:r>
          </w:p>
        </w:tc>
        <w:tc>
          <w:tcPr>
            <w:tcW w:w="15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949</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48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b w:val="1"/>
                <w:bCs w:val="1"/>
                <w:color w:val="auto"/>
              </w:rPr>
              <w:t>Total prepaid expenses and other current assets</w:t>
            </w:r>
          </w:p>
        </w:tc>
        <w:tc>
          <w:tcPr>
            <w:tcW w:w="1540" w:type="dxa"/>
            <w:vAlign w:val="bottom"/>
            <w:tcBorders>
              <w:top w:val="single" w:sz="8" w:color="auto"/>
              <w:bottom w:val="single" w:sz="8" w:color="auto"/>
            </w:tcBorders>
          </w:tcPr>
          <w:p>
            <w:pPr>
              <w:jc w:val="right"/>
              <w:ind w:right="1330"/>
              <w:spacing w:after="0" w:line="215" w:lineRule="exact"/>
              <w:rPr>
                <w:sz w:val="20"/>
                <w:szCs w:val="20"/>
                <w:color w:val="auto"/>
              </w:rPr>
            </w:pPr>
            <w:r>
              <w:rPr>
                <w:rFonts w:ascii="Calibri" w:cs="Calibri" w:eastAsia="Calibri" w:hAnsi="Calibri"/>
                <w:sz w:val="18"/>
                <w:szCs w:val="18"/>
                <w:b w:val="1"/>
                <w:bCs w:val="1"/>
                <w:color w:val="auto"/>
              </w:rPr>
              <w:t>$</w:t>
            </w:r>
          </w:p>
        </w:tc>
        <w:tc>
          <w:tcPr>
            <w:tcW w:w="6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31,519</w:t>
            </w:r>
          </w:p>
        </w:tc>
        <w:tc>
          <w:tcPr>
            <w:tcW w:w="32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b w:val="1"/>
                <w:bCs w:val="1"/>
                <w:color w:val="auto"/>
              </w:rPr>
              <w:t>$</w:t>
            </w:r>
          </w:p>
        </w:tc>
        <w:tc>
          <w:tcPr>
            <w:tcW w:w="18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34,061</w:t>
            </w:r>
          </w:p>
        </w:tc>
        <w:tc>
          <w:tcPr>
            <w:tcW w:w="100" w:type="dxa"/>
            <w:vAlign w:val="bottom"/>
            <w:tcBorders>
              <w:top w:val="single" w:sz="8" w:color="CFF0FC"/>
            </w:tcBorders>
          </w:tcPr>
          <w:p>
            <w:pPr>
              <w:spacing w:after="0"/>
              <w:rPr>
                <w:sz w:val="20"/>
                <w:szCs w:val="20"/>
                <w:color w:val="auto"/>
              </w:rPr>
            </w:pPr>
          </w:p>
        </w:tc>
      </w:tr>
      <w:tr>
        <w:trPr>
          <w:trHeight w:val="20"/>
        </w:trPr>
        <w:tc>
          <w:tcPr>
            <w:tcW w:w="64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-187960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Recovery of future customer compensaton represents expected recoveries of compensaton from tcket sellers and partners for cancellaton charges related to previously recorded sales transactons. Recovery of future customer compensaton costs decreased by $3.2 million at June 30, 2024 compared to December 31, 2023 due to a decrease in estmated future cancellaton rates. A related provision for expected compensaton to customers is included in Accrued expenses and other current liabilites in the Condensed Consolidated Balance Sheets.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8. Goodwill and Intangible Assets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Goodwill</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Goodwill is included in our Marketplace segment. The following tables summarize the changes in the carrying amount of goodwill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gridSpan w:val="2"/>
          </w:tcPr>
          <w:p>
            <w:pPr>
              <w:jc w:val="right"/>
              <w:ind w:right="920"/>
              <w:spacing w:after="0"/>
              <w:rPr>
                <w:sz w:val="20"/>
                <w:szCs w:val="20"/>
                <w:color w:val="auto"/>
              </w:rPr>
            </w:pPr>
            <w:r>
              <w:rPr>
                <w:rFonts w:ascii="Calibri" w:cs="Calibri" w:eastAsia="Calibri" w:hAnsi="Calibri"/>
                <w:sz w:val="18"/>
                <w:szCs w:val="18"/>
                <w:b w:val="1"/>
                <w:bCs w:val="1"/>
                <w:color w:val="auto"/>
              </w:rPr>
              <w:t>Goodwill</w:t>
            </w:r>
          </w:p>
        </w:tc>
      </w:tr>
      <w:tr>
        <w:trPr>
          <w:trHeight w:val="37"/>
        </w:trPr>
        <w:tc>
          <w:tcPr>
            <w:tcW w:w="88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88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Balance at December 31, 2023</w:t>
            </w:r>
          </w:p>
        </w:tc>
        <w:tc>
          <w:tcPr>
            <w:tcW w:w="460" w:type="dxa"/>
            <w:vAlign w:val="bottom"/>
            <w:tcBorders>
              <w:bottom w:val="single" w:sz="8" w:color="CFF0FC"/>
            </w:tcBorders>
            <w:shd w:val="clear" w:color="auto" w:fill="CFF0FC"/>
          </w:tcPr>
          <w:p>
            <w:pPr>
              <w:jc w:val="right"/>
              <w:ind w:right="270"/>
              <w:spacing w:after="0" w:line="208" w:lineRule="exact"/>
              <w:rPr>
                <w:sz w:val="20"/>
                <w:szCs w:val="20"/>
                <w:color w:val="auto"/>
              </w:rPr>
            </w:pPr>
            <w:r>
              <w:rPr>
                <w:rFonts w:ascii="Calibri" w:cs="Calibri" w:eastAsia="Calibri" w:hAnsi="Calibri"/>
                <w:sz w:val="18"/>
                <w:szCs w:val="18"/>
                <w:b w:val="1"/>
                <w:bCs w:val="1"/>
                <w:color w:val="auto"/>
                <w:w w:val="87"/>
              </w:rPr>
              <w:t>$</w:t>
            </w:r>
          </w:p>
        </w:tc>
        <w:tc>
          <w:tcPr>
            <w:tcW w:w="18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947,359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0"/>
        </w:trPr>
        <w:tc>
          <w:tcPr>
            <w:tcW w:w="8860" w:type="dxa"/>
            <w:vAlign w:val="bottom"/>
          </w:tcPr>
          <w:p>
            <w:pPr>
              <w:ind w:left="20"/>
              <w:spacing w:after="0"/>
              <w:rPr>
                <w:sz w:val="20"/>
                <w:szCs w:val="20"/>
                <w:color w:val="auto"/>
              </w:rPr>
            </w:pPr>
            <w:r>
              <w:rPr>
                <w:rFonts w:ascii="Calibri" w:cs="Calibri" w:eastAsia="Calibri" w:hAnsi="Calibri"/>
                <w:sz w:val="18"/>
                <w:szCs w:val="18"/>
                <w:color w:val="auto"/>
              </w:rPr>
              <w:t>Foreign currency translaton</w:t>
            </w:r>
          </w:p>
        </w:tc>
        <w:tc>
          <w:tcPr>
            <w:tcW w:w="460" w:type="dxa"/>
            <w:vAlign w:val="bottom"/>
          </w:tcPr>
          <w:p>
            <w:pPr>
              <w:spacing w:after="0"/>
              <w:rPr>
                <w:sz w:val="19"/>
                <w:szCs w:val="19"/>
                <w:color w:val="auto"/>
              </w:rPr>
            </w:pPr>
          </w:p>
        </w:tc>
        <w:tc>
          <w:tcPr>
            <w:tcW w:w="19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(5,852 )</w:t>
            </w:r>
          </w:p>
        </w:tc>
      </w:tr>
      <w:tr>
        <w:trPr>
          <w:trHeight w:val="23"/>
        </w:trPr>
        <w:tc>
          <w:tcPr>
            <w:tcW w:w="88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1"/>
        </w:trPr>
        <w:tc>
          <w:tcPr>
            <w:tcW w:w="886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Balance at June 30, 2024</w:t>
            </w:r>
          </w:p>
        </w:tc>
        <w:tc>
          <w:tcPr>
            <w:tcW w:w="460" w:type="dxa"/>
            <w:vAlign w:val="bottom"/>
            <w:tcBorders>
              <w:bottom w:val="single" w:sz="8" w:color="CFF0FC"/>
            </w:tcBorders>
            <w:shd w:val="clear" w:color="auto" w:fill="CFF0FC"/>
          </w:tcPr>
          <w:p>
            <w:pPr>
              <w:jc w:val="right"/>
              <w:ind w:right="270"/>
              <w:spacing w:after="0" w:line="213" w:lineRule="exact"/>
              <w:rPr>
                <w:sz w:val="20"/>
                <w:szCs w:val="20"/>
                <w:color w:val="auto"/>
              </w:rPr>
            </w:pPr>
            <w:r>
              <w:rPr>
                <w:rFonts w:ascii="Calibri" w:cs="Calibri" w:eastAsia="Calibri" w:hAnsi="Calibri"/>
                <w:sz w:val="18"/>
                <w:szCs w:val="18"/>
                <w:b w:val="1"/>
                <w:bCs w:val="1"/>
                <w:color w:val="auto"/>
                <w:w w:val="87"/>
              </w:rPr>
              <w:t>$</w:t>
            </w:r>
          </w:p>
        </w:tc>
        <w:tc>
          <w:tcPr>
            <w:tcW w:w="18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941,507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88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color w:val="auto"/>
        </w:rPr>
        <w:t>We had recorded $377.1 million of cumulatve impairment charges related to our goodwill as of June 30, 2024 and December 31, 2023.</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4" w:name="page15"/>
    <w:bookmarkEnd w:id="1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40" w:type="dxa"/>
            <w:vAlign w:val="bottom"/>
          </w:tcPr>
          <w:p>
            <w:pPr>
              <w:spacing w:after="0"/>
              <w:rPr>
                <w:sz w:val="20"/>
                <w:szCs w:val="20"/>
                <w:color w:val="auto"/>
              </w:rPr>
            </w:pPr>
            <w:r>
              <w:rPr>
                <w:rFonts w:ascii="Calibri" w:cs="Calibri" w:eastAsia="Calibri" w:hAnsi="Calibri"/>
                <w:sz w:val="18"/>
                <w:szCs w:val="18"/>
                <w:i w:val="1"/>
                <w:iCs w:val="1"/>
                <w:color w:val="auto"/>
              </w:rPr>
              <w:t>Defnite-Lived Intangible Assets</w:t>
            </w:r>
          </w:p>
        </w:tc>
        <w:tc>
          <w:tcPr>
            <w:tcW w:w="1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4"/>
        </w:trPr>
        <w:tc>
          <w:tcPr>
            <w:tcW w:w="7440" w:type="dxa"/>
            <w:vAlign w:val="bottom"/>
          </w:tcPr>
          <w:p>
            <w:pPr>
              <w:spacing w:after="0"/>
              <w:rPr>
                <w:sz w:val="20"/>
                <w:szCs w:val="20"/>
                <w:color w:val="auto"/>
              </w:rPr>
            </w:pPr>
            <w:r>
              <w:rPr>
                <w:rFonts w:ascii="Calibri" w:cs="Calibri" w:eastAsia="Calibri" w:hAnsi="Calibri"/>
                <w:sz w:val="18"/>
                <w:szCs w:val="18"/>
                <w:color w:val="auto"/>
              </w:rPr>
              <w:t>The following table summarizes components of our defnite-lived intangible assets (in thousands):</w:t>
            </w: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74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b w:val="1"/>
                <w:bCs w:val="1"/>
                <w:color w:val="auto"/>
              </w:rPr>
              <w:t>June 30,</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744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Calibri" w:cs="Calibri" w:eastAsia="Calibri" w:hAnsi="Calibri"/>
                <w:sz w:val="18"/>
                <w:szCs w:val="18"/>
                <w:b w:val="1"/>
                <w:bCs w:val="1"/>
                <w:color w:val="auto"/>
              </w:rPr>
              <w:t>2024</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49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r>
      <w:tr>
        <w:trPr>
          <w:trHeight w:val="37"/>
        </w:trPr>
        <w:tc>
          <w:tcPr>
            <w:tcW w:w="744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74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Defnite-lived intangible assets</w:t>
            </w:r>
          </w:p>
        </w:tc>
        <w:tc>
          <w:tcPr>
            <w:tcW w:w="12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440" w:type="dxa"/>
            <w:vAlign w:val="bottom"/>
          </w:tcPr>
          <w:p>
            <w:pPr>
              <w:ind w:left="120"/>
              <w:spacing w:after="0" w:line="215" w:lineRule="exact"/>
              <w:rPr>
                <w:sz w:val="20"/>
                <w:szCs w:val="20"/>
                <w:color w:val="auto"/>
              </w:rPr>
            </w:pPr>
            <w:r>
              <w:rPr>
                <w:rFonts w:ascii="Calibri" w:cs="Calibri" w:eastAsia="Calibri" w:hAnsi="Calibri"/>
                <w:sz w:val="18"/>
                <w:szCs w:val="18"/>
                <w:color w:val="auto"/>
              </w:rPr>
              <w:t>Supplier relatonships</w:t>
            </w:r>
          </w:p>
        </w:tc>
        <w:tc>
          <w:tcPr>
            <w:tcW w:w="1280" w:type="dxa"/>
            <w:vAlign w:val="bottom"/>
          </w:tcPr>
          <w:p>
            <w:pPr>
              <w:jc w:val="right"/>
              <w:ind w:right="1090"/>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57,123</w:t>
            </w:r>
          </w:p>
        </w:tc>
        <w:tc>
          <w:tcPr>
            <w:tcW w:w="30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57,123</w:t>
            </w:r>
          </w:p>
        </w:tc>
        <w:tc>
          <w:tcPr>
            <w:tcW w:w="100" w:type="dxa"/>
            <w:vAlign w:val="bottom"/>
          </w:tcPr>
          <w:p>
            <w:pPr>
              <w:spacing w:after="0"/>
              <w:rPr>
                <w:sz w:val="18"/>
                <w:szCs w:val="18"/>
                <w:color w:val="auto"/>
              </w:rPr>
            </w:pPr>
          </w:p>
        </w:tc>
      </w:tr>
      <w:tr>
        <w:trPr>
          <w:trHeight w:val="28"/>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Customer relatonships</w:t>
            </w:r>
          </w:p>
        </w:tc>
        <w:tc>
          <w:tcPr>
            <w:tcW w:w="1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34,620</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34,620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440" w:type="dxa"/>
            <w:vAlign w:val="bottom"/>
          </w:tcPr>
          <w:p>
            <w:pPr>
              <w:ind w:left="120"/>
              <w:spacing w:after="0" w:line="215" w:lineRule="exact"/>
              <w:rPr>
                <w:sz w:val="20"/>
                <w:szCs w:val="20"/>
                <w:color w:val="auto"/>
              </w:rPr>
            </w:pPr>
            <w:r>
              <w:rPr>
                <w:rFonts w:ascii="Calibri" w:cs="Calibri" w:eastAsia="Calibri" w:hAnsi="Calibri"/>
                <w:sz w:val="18"/>
                <w:szCs w:val="18"/>
                <w:color w:val="auto"/>
              </w:rPr>
              <w:t>Acquired developed technology</w:t>
            </w:r>
          </w:p>
        </w:tc>
        <w:tc>
          <w:tcPr>
            <w:tcW w:w="128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29,240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29,240</w:t>
            </w:r>
          </w:p>
        </w:tc>
        <w:tc>
          <w:tcPr>
            <w:tcW w:w="100" w:type="dxa"/>
            <w:vAlign w:val="bottom"/>
          </w:tcPr>
          <w:p>
            <w:pPr>
              <w:spacing w:after="0"/>
              <w:rPr>
                <w:sz w:val="18"/>
                <w:szCs w:val="18"/>
                <w:color w:val="auto"/>
              </w:rPr>
            </w:pPr>
          </w:p>
        </w:tc>
      </w:tr>
      <w:tr>
        <w:trPr>
          <w:trHeight w:val="28"/>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Capitalized development costs</w:t>
            </w:r>
          </w:p>
        </w:tc>
        <w:tc>
          <w:tcPr>
            <w:tcW w:w="1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35,115</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28,912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440" w:type="dxa"/>
            <w:vAlign w:val="bottom"/>
          </w:tcPr>
          <w:p>
            <w:pPr>
              <w:ind w:left="120"/>
              <w:spacing w:after="0" w:line="215" w:lineRule="exact"/>
              <w:rPr>
                <w:sz w:val="20"/>
                <w:szCs w:val="20"/>
                <w:color w:val="auto"/>
              </w:rPr>
            </w:pPr>
            <w:r>
              <w:rPr>
                <w:rFonts w:ascii="Calibri" w:cs="Calibri" w:eastAsia="Calibri" w:hAnsi="Calibri"/>
                <w:sz w:val="18"/>
                <w:szCs w:val="18"/>
                <w:color w:val="auto"/>
              </w:rPr>
              <w:t>Capitalized development costs – work in progress</w:t>
            </w:r>
          </w:p>
        </w:tc>
        <w:tc>
          <w:tcPr>
            <w:tcW w:w="128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8,272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4,795</w:t>
            </w:r>
          </w:p>
        </w:tc>
        <w:tc>
          <w:tcPr>
            <w:tcW w:w="100" w:type="dxa"/>
            <w:vAlign w:val="bottom"/>
          </w:tcPr>
          <w:p>
            <w:pPr>
              <w:spacing w:after="0"/>
              <w:rPr>
                <w:sz w:val="18"/>
                <w:szCs w:val="18"/>
                <w:color w:val="auto"/>
              </w:rPr>
            </w:pPr>
          </w:p>
        </w:tc>
      </w:tr>
      <w:tr>
        <w:trPr>
          <w:trHeight w:val="28"/>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44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Foreign currency translaton</w:t>
            </w:r>
          </w:p>
        </w:tc>
        <w:tc>
          <w:tcPr>
            <w:tcW w:w="1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(2,545 )</w:t>
            </w:r>
          </w:p>
        </w:tc>
        <w:tc>
          <w:tcPr>
            <w:tcW w:w="1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7440" w:type="dxa"/>
            <w:vAlign w:val="bottom"/>
            <w:tcBorders>
              <w:top w:val="single" w:sz="8" w:color="CFF0FC"/>
            </w:tcBorders>
          </w:tcPr>
          <w:p>
            <w:pPr>
              <w:ind w:left="120"/>
              <w:spacing w:after="0" w:line="213" w:lineRule="exact"/>
              <w:rPr>
                <w:sz w:val="20"/>
                <w:szCs w:val="20"/>
                <w:color w:val="auto"/>
              </w:rPr>
            </w:pPr>
            <w:r>
              <w:rPr>
                <w:rFonts w:ascii="Calibri" w:cs="Calibri" w:eastAsia="Calibri" w:hAnsi="Calibri"/>
                <w:sz w:val="18"/>
                <w:szCs w:val="18"/>
                <w:b w:val="1"/>
                <w:bCs w:val="1"/>
                <w:color w:val="auto"/>
              </w:rPr>
              <w:t>Total gross book value</w:t>
            </w:r>
          </w:p>
        </w:tc>
        <w:tc>
          <w:tcPr>
            <w:tcW w:w="1280" w:type="dxa"/>
            <w:vAlign w:val="bottom"/>
            <w:tcBorders>
              <w:top w:val="single" w:sz="8" w:color="auto"/>
            </w:tcBorders>
          </w:tcPr>
          <w:p>
            <w:pPr>
              <w:jc w:val="right"/>
              <w:ind w:right="1090"/>
              <w:spacing w:after="0" w:line="213"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w w:val="97"/>
              </w:rPr>
              <w:t>161,825</w:t>
            </w: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156,005</w:t>
            </w:r>
          </w:p>
        </w:tc>
        <w:tc>
          <w:tcPr>
            <w:tcW w:w="100" w:type="dxa"/>
            <w:vAlign w:val="bottom"/>
            <w:tcBorders>
              <w:top w:val="single" w:sz="8" w:color="CFF0FC"/>
            </w:tcBorders>
          </w:tcPr>
          <w:p>
            <w:pPr>
              <w:spacing w:after="0"/>
              <w:rPr>
                <w:sz w:val="18"/>
                <w:szCs w:val="18"/>
                <w:color w:val="auto"/>
              </w:rPr>
            </w:pPr>
          </w:p>
        </w:tc>
      </w:tr>
      <w:tr>
        <w:trPr>
          <w:trHeight w:val="23"/>
        </w:trPr>
        <w:tc>
          <w:tcPr>
            <w:tcW w:w="74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4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Less: accumulated amortzaton</w:t>
            </w:r>
          </w:p>
        </w:tc>
        <w:tc>
          <w:tcPr>
            <w:tcW w:w="12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440" w:type="dxa"/>
            <w:vAlign w:val="bottom"/>
          </w:tcPr>
          <w:p>
            <w:pPr>
              <w:ind w:left="120"/>
              <w:spacing w:after="0" w:line="215" w:lineRule="exact"/>
              <w:rPr>
                <w:sz w:val="20"/>
                <w:szCs w:val="20"/>
                <w:color w:val="auto"/>
              </w:rPr>
            </w:pPr>
            <w:r>
              <w:rPr>
                <w:rFonts w:ascii="Calibri" w:cs="Calibri" w:eastAsia="Calibri" w:hAnsi="Calibri"/>
                <w:sz w:val="18"/>
                <w:szCs w:val="18"/>
                <w:color w:val="auto"/>
              </w:rPr>
              <w:t>Supplier relatonships</w:t>
            </w:r>
          </w:p>
        </w:tc>
        <w:tc>
          <w:tcPr>
            <w:tcW w:w="1280" w:type="dxa"/>
            <w:vAlign w:val="bottom"/>
          </w:tcPr>
          <w:p>
            <w:pPr>
              <w:jc w:val="right"/>
              <w:ind w:right="109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(9,437 )</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(2,881 )</w:t>
            </w:r>
          </w:p>
        </w:tc>
      </w:tr>
      <w:tr>
        <w:trPr>
          <w:trHeight w:val="28"/>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Customer relatonships</w:t>
            </w:r>
          </w:p>
        </w:tc>
        <w:tc>
          <w:tcPr>
            <w:tcW w:w="1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(8,778 )</w:t>
            </w:r>
          </w:p>
        </w:tc>
        <w:tc>
          <w:tcPr>
            <w:tcW w:w="1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(3,522 )</w:t>
            </w:r>
          </w:p>
        </w:tc>
      </w:tr>
      <w:tr>
        <w:trPr>
          <w:trHeight w:val="215"/>
        </w:trPr>
        <w:tc>
          <w:tcPr>
            <w:tcW w:w="7440" w:type="dxa"/>
            <w:vAlign w:val="bottom"/>
          </w:tcPr>
          <w:p>
            <w:pPr>
              <w:ind w:left="120"/>
              <w:spacing w:after="0" w:line="215" w:lineRule="exact"/>
              <w:rPr>
                <w:sz w:val="20"/>
                <w:szCs w:val="20"/>
                <w:color w:val="auto"/>
              </w:rPr>
            </w:pPr>
            <w:r>
              <w:rPr>
                <w:rFonts w:ascii="Calibri" w:cs="Calibri" w:eastAsia="Calibri" w:hAnsi="Calibri"/>
                <w:sz w:val="18"/>
                <w:szCs w:val="18"/>
                <w:color w:val="auto"/>
              </w:rPr>
              <w:t>Acquired developed technology</w:t>
            </w:r>
          </w:p>
        </w:tc>
        <w:tc>
          <w:tcPr>
            <w:tcW w:w="1280" w:type="dxa"/>
            <w:vAlign w:val="bottom"/>
          </w:tcPr>
          <w:p>
            <w:pPr>
              <w:spacing w:after="0"/>
              <w:rPr>
                <w:sz w:val="18"/>
                <w:szCs w:val="18"/>
                <w:color w:val="auto"/>
              </w:rPr>
            </w:pPr>
          </w:p>
        </w:tc>
        <w:tc>
          <w:tcPr>
            <w:tcW w:w="92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(6,279 )</w:t>
            </w:r>
          </w:p>
        </w:tc>
        <w:tc>
          <w:tcPr>
            <w:tcW w:w="180" w:type="dxa"/>
            <w:vAlign w:val="bottom"/>
          </w:tcPr>
          <w:p>
            <w:pPr>
              <w:spacing w:after="0"/>
              <w:rPr>
                <w:sz w:val="18"/>
                <w:szCs w:val="18"/>
                <w:color w:val="auto"/>
              </w:rPr>
            </w:pPr>
          </w:p>
        </w:tc>
        <w:tc>
          <w:tcPr>
            <w:tcW w:w="14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(2,551 )</w:t>
            </w:r>
          </w:p>
        </w:tc>
      </w:tr>
      <w:tr>
        <w:trPr>
          <w:trHeight w:val="28"/>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Capitalized development costs</w:t>
            </w:r>
          </w:p>
        </w:tc>
        <w:tc>
          <w:tcPr>
            <w:tcW w:w="1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(20,966 )</w:t>
            </w:r>
          </w:p>
        </w:tc>
        <w:tc>
          <w:tcPr>
            <w:tcW w:w="1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(16,433 )</w:t>
            </w:r>
          </w:p>
        </w:tc>
      </w:tr>
      <w:tr>
        <w:trPr>
          <w:trHeight w:val="219"/>
        </w:trPr>
        <w:tc>
          <w:tcPr>
            <w:tcW w:w="7440" w:type="dxa"/>
            <w:vAlign w:val="bottom"/>
          </w:tcPr>
          <w:p>
            <w:pPr>
              <w:ind w:left="120"/>
              <w:spacing w:after="0"/>
              <w:rPr>
                <w:sz w:val="20"/>
                <w:szCs w:val="20"/>
                <w:color w:val="auto"/>
              </w:rPr>
            </w:pPr>
            <w:r>
              <w:rPr>
                <w:rFonts w:ascii="Calibri" w:cs="Calibri" w:eastAsia="Calibri" w:hAnsi="Calibri"/>
                <w:sz w:val="18"/>
                <w:szCs w:val="18"/>
                <w:color w:val="auto"/>
              </w:rPr>
              <w:t>Foreign currency translaton</w:t>
            </w:r>
          </w:p>
        </w:tc>
        <w:tc>
          <w:tcPr>
            <w:tcW w:w="1280" w:type="dxa"/>
            <w:vAlign w:val="bottom"/>
          </w:tcPr>
          <w:p>
            <w:pPr>
              <w:spacing w:after="0"/>
              <w:rPr>
                <w:sz w:val="19"/>
                <w:szCs w:val="19"/>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336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(97 )</w:t>
            </w:r>
          </w:p>
        </w:tc>
      </w:tr>
      <w:tr>
        <w:trPr>
          <w:trHeight w:val="23"/>
        </w:trPr>
        <w:tc>
          <w:tcPr>
            <w:tcW w:w="74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2"/>
        </w:trPr>
        <w:tc>
          <w:tcPr>
            <w:tcW w:w="7440" w:type="dxa"/>
            <w:vAlign w:val="bottom"/>
            <w:tcBorders>
              <w:bottom w:val="single" w:sz="8" w:color="CFF0FC"/>
            </w:tcBorders>
            <w:shd w:val="clear" w:color="auto" w:fill="CFF0FC"/>
          </w:tcPr>
          <w:p>
            <w:pPr>
              <w:ind w:left="120"/>
              <w:spacing w:after="0" w:line="213" w:lineRule="exact"/>
              <w:rPr>
                <w:sz w:val="20"/>
                <w:szCs w:val="20"/>
                <w:color w:val="auto"/>
              </w:rPr>
            </w:pPr>
            <w:r>
              <w:rPr>
                <w:rFonts w:ascii="Calibri" w:cs="Calibri" w:eastAsia="Calibri" w:hAnsi="Calibri"/>
                <w:sz w:val="18"/>
                <w:szCs w:val="18"/>
                <w:b w:val="1"/>
                <w:bCs w:val="1"/>
                <w:color w:val="auto"/>
              </w:rPr>
              <w:t>Total accumulated amortzaton</w:t>
            </w:r>
          </w:p>
        </w:tc>
        <w:tc>
          <w:tcPr>
            <w:tcW w:w="1280" w:type="dxa"/>
            <w:vAlign w:val="bottom"/>
            <w:tcBorders>
              <w:bottom w:val="single" w:sz="8" w:color="CFF0FC"/>
            </w:tcBorders>
            <w:shd w:val="clear" w:color="auto" w:fill="CFF0FC"/>
          </w:tcPr>
          <w:p>
            <w:pPr>
              <w:jc w:val="right"/>
              <w:ind w:right="1090"/>
              <w:spacing w:after="0" w:line="213" w:lineRule="exact"/>
              <w:rPr>
                <w:sz w:val="20"/>
                <w:szCs w:val="20"/>
                <w:color w:val="auto"/>
              </w:rPr>
            </w:pPr>
            <w:r>
              <w:rPr>
                <w:rFonts w:ascii="Calibri" w:cs="Calibri" w:eastAsia="Calibri" w:hAnsi="Calibri"/>
                <w:sz w:val="18"/>
                <w:szCs w:val="18"/>
                <w:b w:val="1"/>
                <w:bCs w:val="1"/>
                <w:color w:val="auto"/>
                <w:w w:val="87"/>
              </w:rPr>
              <w:t>$</w:t>
            </w:r>
          </w:p>
        </w:tc>
        <w:tc>
          <w:tcPr>
            <w:tcW w:w="920" w:type="dxa"/>
            <w:vAlign w:val="bottom"/>
            <w:tcBorders>
              <w:bottom w:val="single" w:sz="8" w:color="CFF0FC"/>
            </w:tcBorders>
            <w:gridSpan w:val="2"/>
            <w:shd w:val="clear" w:color="auto" w:fill="CFF0FC"/>
          </w:tcPr>
          <w:p>
            <w:pPr>
              <w:jc w:val="right"/>
              <w:ind w:right="240"/>
              <w:spacing w:after="0" w:line="213" w:lineRule="exact"/>
              <w:rPr>
                <w:sz w:val="20"/>
                <w:szCs w:val="20"/>
                <w:color w:val="auto"/>
              </w:rPr>
            </w:pPr>
            <w:r>
              <w:rPr>
                <w:rFonts w:ascii="Calibri" w:cs="Calibri" w:eastAsia="Calibri" w:hAnsi="Calibri"/>
                <w:sz w:val="18"/>
                <w:szCs w:val="18"/>
                <w:b w:val="1"/>
                <w:bCs w:val="1"/>
                <w:color w:val="auto"/>
              </w:rPr>
              <w:t>(45,124 )</w:t>
            </w:r>
          </w:p>
        </w:tc>
        <w:tc>
          <w:tcPr>
            <w:tcW w:w="18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w:t>
            </w:r>
          </w:p>
        </w:tc>
        <w:tc>
          <w:tcPr>
            <w:tcW w:w="1420" w:type="dxa"/>
            <w:vAlign w:val="bottom"/>
            <w:tcBorders>
              <w:bottom w:val="single" w:sz="8" w:color="CFF0FC"/>
            </w:tcBorders>
            <w:gridSpan w:val="2"/>
            <w:shd w:val="clear" w:color="auto" w:fill="CFF0FC"/>
          </w:tcPr>
          <w:p>
            <w:pPr>
              <w:jc w:val="right"/>
              <w:ind w:right="40"/>
              <w:spacing w:after="0" w:line="213" w:lineRule="exact"/>
              <w:rPr>
                <w:sz w:val="20"/>
                <w:szCs w:val="20"/>
                <w:color w:val="auto"/>
              </w:rPr>
            </w:pPr>
            <w:r>
              <w:rPr>
                <w:rFonts w:ascii="Calibri" w:cs="Calibri" w:eastAsia="Calibri" w:hAnsi="Calibri"/>
                <w:sz w:val="18"/>
                <w:szCs w:val="18"/>
                <w:b w:val="1"/>
                <w:bCs w:val="1"/>
                <w:color w:val="auto"/>
              </w:rPr>
              <w:t>(25,484 )</w:t>
            </w:r>
          </w:p>
        </w:tc>
      </w:tr>
      <w:tr>
        <w:trPr>
          <w:trHeight w:val="208"/>
        </w:trPr>
        <w:tc>
          <w:tcPr>
            <w:tcW w:w="744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Indefnite-lived intangible assets</w:t>
            </w:r>
          </w:p>
        </w:tc>
        <w:tc>
          <w:tcPr>
            <w:tcW w:w="1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8"/>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Trademarks</w:t>
            </w:r>
          </w:p>
        </w:tc>
        <w:tc>
          <w:tcPr>
            <w:tcW w:w="1280" w:type="dxa"/>
            <w:vAlign w:val="bottom"/>
            <w:tcBorders>
              <w:bottom w:val="single" w:sz="8" w:color="CFF0FC"/>
            </w:tcBorders>
            <w:shd w:val="clear" w:color="auto" w:fill="CFF0FC"/>
          </w:tcPr>
          <w:p>
            <w:pPr>
              <w:jc w:val="right"/>
              <w:ind w:right="1090"/>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7"/>
              </w:rPr>
              <w:t>110,537</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110,538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440" w:type="dxa"/>
            <w:vAlign w:val="bottom"/>
          </w:tcPr>
          <w:p>
            <w:pPr>
              <w:ind w:left="120"/>
              <w:spacing w:after="0"/>
              <w:rPr>
                <w:sz w:val="20"/>
                <w:szCs w:val="20"/>
                <w:color w:val="auto"/>
              </w:rPr>
            </w:pPr>
            <w:r>
              <w:rPr>
                <w:rFonts w:ascii="Calibri" w:cs="Calibri" w:eastAsia="Calibri" w:hAnsi="Calibri"/>
                <w:sz w:val="18"/>
                <w:szCs w:val="18"/>
                <w:color w:val="auto"/>
              </w:rPr>
              <w:t>Foreign currency translaton</w:t>
            </w:r>
          </w:p>
        </w:tc>
        <w:tc>
          <w:tcPr>
            <w:tcW w:w="1280" w:type="dxa"/>
            <w:vAlign w:val="bottom"/>
          </w:tcPr>
          <w:p>
            <w:pPr>
              <w:spacing w:after="0"/>
              <w:rPr>
                <w:sz w:val="19"/>
                <w:szCs w:val="19"/>
                <w:color w:val="auto"/>
              </w:rPr>
            </w:pPr>
          </w:p>
        </w:tc>
        <w:tc>
          <w:tcPr>
            <w:tcW w:w="92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(184 )</w:t>
            </w:r>
          </w:p>
        </w:tc>
        <w:tc>
          <w:tcPr>
            <w:tcW w:w="180" w:type="dxa"/>
            <w:vAlign w:val="bottom"/>
          </w:tcPr>
          <w:p>
            <w:pPr>
              <w:spacing w:after="0"/>
              <w:rPr>
                <w:sz w:val="19"/>
                <w:szCs w:val="19"/>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96</w:t>
            </w:r>
          </w:p>
        </w:tc>
        <w:tc>
          <w:tcPr>
            <w:tcW w:w="100" w:type="dxa"/>
            <w:vAlign w:val="bottom"/>
          </w:tcPr>
          <w:p>
            <w:pPr>
              <w:spacing w:after="0"/>
              <w:rPr>
                <w:sz w:val="19"/>
                <w:szCs w:val="19"/>
                <w:color w:val="auto"/>
              </w:rPr>
            </w:pPr>
          </w:p>
        </w:tc>
      </w:tr>
      <w:tr>
        <w:trPr>
          <w:trHeight w:val="23"/>
        </w:trPr>
        <w:tc>
          <w:tcPr>
            <w:tcW w:w="74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74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Intangible assets – net</w:t>
            </w:r>
          </w:p>
        </w:tc>
        <w:tc>
          <w:tcPr>
            <w:tcW w:w="1280" w:type="dxa"/>
            <w:vAlign w:val="bottom"/>
            <w:tcBorders>
              <w:bottom w:val="single" w:sz="8" w:color="auto"/>
            </w:tcBorders>
            <w:shd w:val="clear" w:color="auto" w:fill="CFF0FC"/>
          </w:tcPr>
          <w:p>
            <w:pPr>
              <w:jc w:val="right"/>
              <w:ind w:right="1090"/>
              <w:spacing w:after="0" w:line="215"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w w:val="97"/>
              </w:rPr>
              <w:t>227,054</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241,155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-1919605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-659130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Amortzaton expense on our defnite-lived intangible assets was $10.1 million and $20.1 million for the three and six months ended June 30, 2024, respectvely, and $2.3 million and $4.6 million for the three and six months ended June 30, 2023, respectvely. Amortzaton expense is presented in Depreciaton and amortzaton in the Condensed Consolidated Statements of Operatons.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9. Investments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July 2023, we invested $6.0 million in a privately held company in the form of a convertble promissory note (the “Note”) and a warrant to purchase up to 1,874,933 shares of the company’s stock (the “Warrant”). Interest on the Note accrues at 8% per annum and outstanding principal and accrued interest is due and payable at the earlier of July 3, 2030 or a change in control of the company. The Warrant is exercisable untl the date three years afer the Note is repaid, subject to certain acceleratng events.</w:t>
      </w:r>
    </w:p>
    <w:p>
      <w:pPr>
        <w:spacing w:after="0" w:line="114" w:lineRule="exact"/>
        <w:rPr>
          <w:sz w:val="20"/>
          <w:szCs w:val="20"/>
          <w:color w:val="auto"/>
        </w:rPr>
      </w:pPr>
    </w:p>
    <w:p>
      <w:pPr>
        <w:jc w:val="both"/>
        <w:spacing w:after="0" w:line="238" w:lineRule="auto"/>
        <w:rPr>
          <w:sz w:val="20"/>
          <w:szCs w:val="20"/>
          <w:color w:val="auto"/>
        </w:rPr>
      </w:pPr>
      <w:r>
        <w:rPr>
          <w:rFonts w:ascii="Calibri" w:cs="Calibri" w:eastAsia="Calibri" w:hAnsi="Calibri"/>
          <w:sz w:val="18"/>
          <w:szCs w:val="18"/>
          <w:color w:val="auto"/>
        </w:rPr>
        <w:t xml:space="preserve">We account for the Note in accordance with ASC Topic 320, </w:t>
      </w:r>
      <w:r>
        <w:rPr>
          <w:rFonts w:ascii="Calibri" w:cs="Calibri" w:eastAsia="Calibri" w:hAnsi="Calibri"/>
          <w:sz w:val="18"/>
          <w:szCs w:val="18"/>
          <w:i w:val="1"/>
          <w:iCs w:val="1"/>
          <w:color w:val="auto"/>
        </w:rPr>
        <w:t>Investments</w:t>
      </w:r>
      <w:r>
        <w:rPr>
          <w:rFonts w:ascii="Calibri" w:cs="Calibri" w:eastAsia="Calibri" w:hAnsi="Calibri"/>
          <w:sz w:val="18"/>
          <w:szCs w:val="18"/>
          <w:color w:val="auto"/>
        </w:rPr>
        <w:t xml:space="preserve"> </w:t>
      </w:r>
      <w:r>
        <w:rPr>
          <w:rFonts w:ascii="Times New Roman" w:cs="Times New Roman" w:eastAsia="Times New Roman" w:hAnsi="Times New Roman"/>
          <w:sz w:val="18"/>
          <w:szCs w:val="18"/>
          <w:i w:val="1"/>
          <w:iCs w:val="1"/>
          <w:color w:val="auto"/>
        </w:rPr>
        <w:t>-</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Debt and Equity Securites.</w:t>
      </w:r>
      <w:r>
        <w:rPr>
          <w:rFonts w:ascii="Calibri" w:cs="Calibri" w:eastAsia="Calibri" w:hAnsi="Calibri"/>
          <w:sz w:val="18"/>
          <w:szCs w:val="18"/>
          <w:color w:val="auto"/>
        </w:rPr>
        <w:t xml:space="preserve"> The Note is classifed as an available-for-sale security and is recorded at fair value with the change in unrealized gains and losses reported as a separate component on the Condensed Consolidated Statements of Comprehensive Income (Loss) untl realized. The Note’s unrealized gain for the three and six months ended June 30, 2024 was less than $0.1 million. The Note’s amortzed cost was $3.0 million and $2.7 million at June 30, 2024 and December 31, 2023, respectvely. We did not recognize any credit losses related to the Note during the six months ended June 30, 2024.</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account for the Warrant in accordance with ASC Topic 815, </w:t>
      </w:r>
      <w:r>
        <w:rPr>
          <w:rFonts w:ascii="Calibri" w:cs="Calibri" w:eastAsia="Calibri" w:hAnsi="Calibri"/>
          <w:sz w:val="18"/>
          <w:szCs w:val="18"/>
          <w:i w:val="1"/>
          <w:iCs w:val="1"/>
          <w:color w:val="auto"/>
        </w:rPr>
        <w:t>Derivatves and Hedging</w:t>
      </w:r>
      <w:r>
        <w:rPr>
          <w:rFonts w:ascii="Calibri" w:cs="Calibri" w:eastAsia="Calibri" w:hAnsi="Calibri"/>
          <w:sz w:val="18"/>
          <w:szCs w:val="18"/>
          <w:color w:val="auto"/>
        </w:rPr>
        <w:t>, pursuant to which we record the derivatve instrument on the Condensed Consolidated Balance Sheets at fair value with changes in fair value recognized in Other expense on the Condensed Consolidated Statements of Operatons on a recurring basis. The classifcaton of the derivatve instrument, including whether it should be recorded as an asset or a liability, is evaluated at the end of each reportng period.</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10. Fair Value Measurements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account for fnancial instruments under ASC Topic 820, </w:t>
      </w:r>
      <w:r>
        <w:rPr>
          <w:rFonts w:ascii="Calibri" w:cs="Calibri" w:eastAsia="Calibri" w:hAnsi="Calibri"/>
          <w:sz w:val="18"/>
          <w:szCs w:val="18"/>
          <w:i w:val="1"/>
          <w:iCs w:val="1"/>
          <w:color w:val="auto"/>
        </w:rPr>
        <w:t>Fair Value Measurements</w:t>
      </w:r>
      <w:r>
        <w:rPr>
          <w:rFonts w:ascii="Calibri" w:cs="Calibri" w:eastAsia="Calibri" w:hAnsi="Calibri"/>
          <w:sz w:val="18"/>
          <w:szCs w:val="18"/>
          <w:color w:val="auto"/>
        </w:rPr>
        <w:t xml:space="preserve"> (“ASC 820”), which defnes fair value, establishes a framework for measuring fair value in GAAP and expands disclosures about fair value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5" w:name="page16"/>
    <w:bookmarkEnd w:id="15"/>
    <w:p>
      <w:pPr>
        <w:jc w:val="center"/>
        <w:ind w:right="40"/>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measurements. To increase consistency and comparability in fair value measurements, ASC 820 establishes a fair value hierarchy that prioritzes the inputs to valuaton techniques used to measure fair value into three levels as follows:</w:t>
      </w:r>
    </w:p>
    <w:p>
      <w:pPr>
        <w:spacing w:after="0" w:line="114"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Level 1 </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 xml:space="preserve"> Measurements that refect quoted prices (unadjusted) for identcal assets or liabilites in actve markets.</w:t>
      </w:r>
    </w:p>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Level 2 </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 xml:space="preserve"> Measurements that include other inputs that are directly or indirectly observable in the marketplace.</w:t>
      </w:r>
    </w:p>
    <w:p>
      <w:pPr>
        <w:spacing w:after="0" w:line="118" w:lineRule="exact"/>
        <w:rPr>
          <w:sz w:val="20"/>
          <w:szCs w:val="20"/>
          <w:color w:val="auto"/>
        </w:rPr>
      </w:pPr>
    </w:p>
    <w:p>
      <w:pPr>
        <w:jc w:val="both"/>
        <w:ind w:right="40"/>
        <w:spacing w:after="0"/>
        <w:rPr>
          <w:sz w:val="20"/>
          <w:szCs w:val="20"/>
          <w:color w:val="auto"/>
        </w:rPr>
      </w:pPr>
      <w:r>
        <w:rPr>
          <w:rFonts w:ascii="Calibri" w:cs="Calibri" w:eastAsia="Calibri" w:hAnsi="Calibri"/>
          <w:sz w:val="18"/>
          <w:szCs w:val="18"/>
          <w:color w:val="auto"/>
        </w:rPr>
        <w:t xml:space="preserve">Level 3 </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 xml:space="preserve"> Measurements derived from valuaton techniques in which one or more signifcant inputs or signifcant value drivers are unobservable. These fair value measurements require signifcant judgment.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Financial instruments recorded at fair value on recurring basis as of June 30, 2024 and December 31, 2023 were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40" w:type="dxa"/>
            <w:vAlign w:val="bottom"/>
            <w:gridSpan w:val="4"/>
          </w:tcPr>
          <w:p>
            <w:pPr>
              <w:jc w:val="right"/>
              <w:spacing w:after="0"/>
              <w:rPr>
                <w:sz w:val="20"/>
                <w:szCs w:val="20"/>
                <w:color w:val="auto"/>
              </w:rPr>
            </w:pPr>
            <w:r>
              <w:rPr>
                <w:rFonts w:ascii="Calibri" w:cs="Calibri" w:eastAsia="Calibri" w:hAnsi="Calibri"/>
                <w:sz w:val="18"/>
                <w:szCs w:val="18"/>
                <w:b w:val="1"/>
                <w:bCs w:val="1"/>
                <w:color w:val="auto"/>
              </w:rPr>
              <w:t>Fair Value Measurements Using</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
        </w:trPr>
        <w:tc>
          <w:tcPr>
            <w:tcW w:w="4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r>
      <w:tr>
        <w:trPr>
          <w:trHeight w:val="208"/>
        </w:trPr>
        <w:tc>
          <w:tcPr>
            <w:tcW w:w="4220" w:type="dxa"/>
            <w:vAlign w:val="bottom"/>
          </w:tcPr>
          <w:p>
            <w:pPr>
              <w:spacing w:after="0"/>
              <w:rPr>
                <w:sz w:val="18"/>
                <w:szCs w:val="18"/>
                <w:color w:val="auto"/>
              </w:rPr>
            </w:pPr>
          </w:p>
        </w:tc>
        <w:tc>
          <w:tcPr>
            <w:tcW w:w="1140" w:type="dxa"/>
            <w:vAlign w:val="bottom"/>
            <w:tcBorders>
              <w:top w:val="single" w:sz="8" w:color="auto"/>
            </w:tcBorders>
          </w:tcPr>
          <w:p>
            <w:pPr>
              <w:jc w:val="right"/>
              <w:ind w:right="70"/>
              <w:spacing w:after="0" w:line="208" w:lineRule="exact"/>
              <w:rPr>
                <w:sz w:val="20"/>
                <w:szCs w:val="20"/>
                <w:color w:val="auto"/>
              </w:rPr>
            </w:pPr>
            <w:r>
              <w:rPr>
                <w:rFonts w:ascii="Calibri" w:cs="Calibri" w:eastAsia="Calibri" w:hAnsi="Calibri"/>
                <w:sz w:val="18"/>
                <w:szCs w:val="18"/>
                <w:b w:val="1"/>
                <w:bCs w:val="1"/>
                <w:color w:val="auto"/>
              </w:rPr>
              <w:t>Level 1</w:t>
            </w: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Level 2</w:t>
            </w: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Level 3</w:t>
            </w:r>
          </w:p>
        </w:tc>
        <w:tc>
          <w:tcPr>
            <w:tcW w:w="4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50"/>
              <w:spacing w:after="0" w:line="208" w:lineRule="exact"/>
              <w:rPr>
                <w:sz w:val="20"/>
                <w:szCs w:val="20"/>
                <w:color w:val="auto"/>
              </w:rPr>
            </w:pPr>
            <w:r>
              <w:rPr>
                <w:rFonts w:ascii="Calibri" w:cs="Calibri" w:eastAsia="Calibri" w:hAnsi="Calibri"/>
                <w:sz w:val="18"/>
                <w:szCs w:val="18"/>
                <w:b w:val="1"/>
                <w:bCs w:val="1"/>
                <w:color w:val="auto"/>
              </w:rPr>
              <w:t>Total</w:t>
            </w:r>
          </w:p>
        </w:tc>
        <w:tc>
          <w:tcPr>
            <w:tcW w:w="100" w:type="dxa"/>
            <w:vAlign w:val="bottom"/>
          </w:tcPr>
          <w:p>
            <w:pPr>
              <w:spacing w:after="0"/>
              <w:rPr>
                <w:sz w:val="18"/>
                <w:szCs w:val="18"/>
                <w:color w:val="auto"/>
              </w:rPr>
            </w:pPr>
          </w:p>
        </w:tc>
      </w:tr>
      <w:tr>
        <w:trPr>
          <w:trHeight w:val="28"/>
        </w:trPr>
        <w:tc>
          <w:tcPr>
            <w:tcW w:w="4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42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June 30, 2024</w:t>
            </w:r>
          </w:p>
        </w:tc>
        <w:tc>
          <w:tcPr>
            <w:tcW w:w="1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220" w:type="dxa"/>
            <w:vAlign w:val="bottom"/>
          </w:tcPr>
          <w:p>
            <w:pPr>
              <w:ind w:left="120"/>
              <w:spacing w:after="0" w:line="215" w:lineRule="exact"/>
              <w:rPr>
                <w:sz w:val="20"/>
                <w:szCs w:val="20"/>
                <w:color w:val="auto"/>
              </w:rPr>
            </w:pPr>
            <w:r>
              <w:rPr>
                <w:rFonts w:ascii="Calibri" w:cs="Calibri" w:eastAsia="Calibri" w:hAnsi="Calibri"/>
                <w:sz w:val="18"/>
                <w:szCs w:val="18"/>
                <w:color w:val="auto"/>
              </w:rPr>
              <w:t>Note</w:t>
            </w:r>
          </w:p>
        </w:tc>
        <w:tc>
          <w:tcPr>
            <w:tcW w:w="1140" w:type="dxa"/>
            <w:vAlign w:val="bottom"/>
          </w:tcPr>
          <w:p>
            <w:pPr>
              <w:jc w:val="right"/>
              <w:ind w:right="950"/>
              <w:spacing w:after="0" w:line="215" w:lineRule="exact"/>
              <w:rPr>
                <w:sz w:val="20"/>
                <w:szCs w:val="20"/>
                <w:color w:val="auto"/>
              </w:rPr>
            </w:pPr>
            <w:r>
              <w:rPr>
                <w:rFonts w:ascii="Calibri" w:cs="Calibri" w:eastAsia="Calibri" w:hAnsi="Calibri"/>
                <w:sz w:val="18"/>
                <w:szCs w:val="18"/>
                <w:color w:val="auto"/>
                <w:w w:val="87"/>
              </w:rPr>
              <w:t>$</w:t>
            </w:r>
          </w:p>
        </w:tc>
        <w:tc>
          <w:tcPr>
            <w:tcW w:w="320" w:type="dxa"/>
            <w:vAlign w:val="bottom"/>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440" w:type="dxa"/>
            <w:vAlign w:val="bottom"/>
            <w:gridSpan w:val="2"/>
          </w:tcPr>
          <w:p>
            <w:pPr>
              <w:jc w:val="right"/>
              <w:ind w:right="89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420" w:type="dxa"/>
            <w:vAlign w:val="bottom"/>
            <w:gridSpan w:val="2"/>
          </w:tcPr>
          <w:p>
            <w:pPr>
              <w:jc w:val="right"/>
              <w:ind w:right="830"/>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3,200</w:t>
            </w:r>
          </w:p>
        </w:tc>
        <w:tc>
          <w:tcPr>
            <w:tcW w:w="72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3,200</w:t>
            </w:r>
          </w:p>
        </w:tc>
        <w:tc>
          <w:tcPr>
            <w:tcW w:w="100" w:type="dxa"/>
            <w:vAlign w:val="bottom"/>
          </w:tcPr>
          <w:p>
            <w:pPr>
              <w:spacing w:after="0"/>
              <w:rPr>
                <w:sz w:val="18"/>
                <w:szCs w:val="18"/>
                <w:color w:val="auto"/>
              </w:rPr>
            </w:pPr>
          </w:p>
        </w:tc>
      </w:tr>
      <w:tr>
        <w:trPr>
          <w:trHeight w:val="28"/>
        </w:trPr>
        <w:tc>
          <w:tcPr>
            <w:tcW w:w="4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42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Warrant</w:t>
            </w:r>
          </w:p>
        </w:tc>
        <w:tc>
          <w:tcPr>
            <w:tcW w:w="1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4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4,044</w:t>
            </w:r>
          </w:p>
        </w:tc>
        <w:tc>
          <w:tcPr>
            <w:tcW w:w="4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422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jc w:val="right"/>
              <w:ind w:right="950"/>
              <w:spacing w:after="0" w:line="208" w:lineRule="exact"/>
              <w:rPr>
                <w:sz w:val="20"/>
                <w:szCs w:val="20"/>
                <w:color w:val="auto"/>
              </w:rPr>
            </w:pPr>
            <w:r>
              <w:rPr>
                <w:rFonts w:ascii="Calibri" w:cs="Calibri" w:eastAsia="Calibri" w:hAnsi="Calibri"/>
                <w:sz w:val="18"/>
                <w:szCs w:val="18"/>
                <w:b w:val="1"/>
                <w:bCs w:val="1"/>
                <w:color w:val="auto"/>
                <w:w w:val="87"/>
              </w:rPr>
              <w:t>$</w:t>
            </w:r>
          </w:p>
        </w:tc>
        <w:tc>
          <w:tcPr>
            <w:tcW w:w="320" w:type="dxa"/>
            <w:vAlign w:val="bottom"/>
            <w:tcBorders>
              <w:top w:val="single" w:sz="8" w:color="auto"/>
            </w:tcBorders>
          </w:tcPr>
          <w:p>
            <w:pPr>
              <w:ind w:left="140"/>
              <w:spacing w:after="0" w:line="208" w:lineRule="exact"/>
              <w:rPr>
                <w:sz w:val="20"/>
                <w:szCs w:val="20"/>
                <w:color w:val="auto"/>
              </w:rPr>
            </w:pPr>
            <w:r>
              <w:rPr>
                <w:rFonts w:ascii="Calibri" w:cs="Calibri" w:eastAsia="Calibri" w:hAnsi="Calibri"/>
                <w:sz w:val="18"/>
                <w:szCs w:val="18"/>
                <w:b w:val="1"/>
                <w:bCs w:val="1"/>
                <w:color w:val="auto"/>
                <w:w w:val="97"/>
              </w:rPr>
              <w:t>—</w:t>
            </w:r>
          </w:p>
        </w:tc>
        <w:tc>
          <w:tcPr>
            <w:tcW w:w="340" w:type="dxa"/>
            <w:vAlign w:val="bottom"/>
            <w:tcBorders>
              <w:top w:val="single" w:sz="8" w:color="CFF0FC"/>
            </w:tcBorders>
          </w:tcPr>
          <w:p>
            <w:pPr>
              <w:spacing w:after="0"/>
              <w:rPr>
                <w:sz w:val="18"/>
                <w:szCs w:val="18"/>
                <w:color w:val="auto"/>
              </w:rPr>
            </w:pPr>
          </w:p>
        </w:tc>
        <w:tc>
          <w:tcPr>
            <w:tcW w:w="1100" w:type="dxa"/>
            <w:vAlign w:val="bottom"/>
            <w:tcBorders>
              <w:top w:val="single" w:sz="8" w:color="auto"/>
            </w:tcBorders>
          </w:tcPr>
          <w:p>
            <w:pPr>
              <w:jc w:val="right"/>
              <w:ind w:right="890"/>
              <w:spacing w:after="0" w:line="208" w:lineRule="exact"/>
              <w:rPr>
                <w:sz w:val="20"/>
                <w:szCs w:val="20"/>
                <w:color w:val="auto"/>
              </w:rPr>
            </w:pPr>
            <w:r>
              <w:rPr>
                <w:rFonts w:ascii="Calibri" w:cs="Calibri" w:eastAsia="Calibri" w:hAnsi="Calibri"/>
                <w:sz w:val="18"/>
                <w:szCs w:val="18"/>
                <w:b w:val="1"/>
                <w:bCs w:val="1"/>
                <w:color w:val="auto"/>
              </w:rPr>
              <w:t>$</w:t>
            </w:r>
          </w:p>
        </w:tc>
        <w:tc>
          <w:tcPr>
            <w:tcW w:w="320" w:type="dxa"/>
            <w:vAlign w:val="bottom"/>
            <w:tcBorders>
              <w:top w:val="single" w:sz="8" w:color="auto"/>
            </w:tcBorders>
          </w:tcPr>
          <w:p>
            <w:pPr>
              <w:ind w:left="140"/>
              <w:spacing w:after="0" w:line="208" w:lineRule="exact"/>
              <w:rPr>
                <w:sz w:val="20"/>
                <w:szCs w:val="20"/>
                <w:color w:val="auto"/>
              </w:rPr>
            </w:pPr>
            <w:r>
              <w:rPr>
                <w:rFonts w:ascii="Calibri" w:cs="Calibri" w:eastAsia="Calibri" w:hAnsi="Calibri"/>
                <w:sz w:val="18"/>
                <w:szCs w:val="18"/>
                <w:b w:val="1"/>
                <w:bCs w:val="1"/>
                <w:color w:val="auto"/>
                <w:w w:val="97"/>
              </w:rPr>
              <w:t>—</w:t>
            </w:r>
          </w:p>
        </w:tc>
        <w:tc>
          <w:tcPr>
            <w:tcW w:w="400" w:type="dxa"/>
            <w:vAlign w:val="bottom"/>
            <w:tcBorders>
              <w:top w:val="single" w:sz="8" w:color="CFF0FC"/>
            </w:tcBorders>
          </w:tcPr>
          <w:p>
            <w:pPr>
              <w:spacing w:after="0"/>
              <w:rPr>
                <w:sz w:val="18"/>
                <w:szCs w:val="18"/>
                <w:color w:val="auto"/>
              </w:rPr>
            </w:pPr>
          </w:p>
        </w:tc>
        <w:tc>
          <w:tcPr>
            <w:tcW w:w="1020" w:type="dxa"/>
            <w:vAlign w:val="bottom"/>
            <w:tcBorders>
              <w:top w:val="single" w:sz="8" w:color="auto"/>
            </w:tcBorders>
          </w:tcPr>
          <w:p>
            <w:pPr>
              <w:jc w:val="right"/>
              <w:ind w:right="830"/>
              <w:spacing w:after="0" w:line="208" w:lineRule="exact"/>
              <w:rPr>
                <w:sz w:val="20"/>
                <w:szCs w:val="20"/>
                <w:color w:val="auto"/>
              </w:rPr>
            </w:pPr>
            <w:r>
              <w:rPr>
                <w:rFonts w:ascii="Calibri" w:cs="Calibri" w:eastAsia="Calibri" w:hAnsi="Calibri"/>
                <w:sz w:val="18"/>
                <w:szCs w:val="18"/>
                <w:b w:val="1"/>
                <w:bCs w:val="1"/>
                <w:color w:val="auto"/>
                <w:w w:val="87"/>
              </w:rPr>
              <w:t>$</w:t>
            </w:r>
          </w:p>
        </w:tc>
        <w:tc>
          <w:tcPr>
            <w:tcW w:w="4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7,244</w:t>
            </w:r>
          </w:p>
        </w:tc>
        <w:tc>
          <w:tcPr>
            <w:tcW w:w="4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jc w:val="right"/>
              <w:ind w:right="130"/>
              <w:spacing w:after="0" w:line="208" w:lineRule="exact"/>
              <w:rPr>
                <w:sz w:val="20"/>
                <w:szCs w:val="20"/>
                <w:color w:val="auto"/>
              </w:rPr>
            </w:pPr>
            <w:r>
              <w:rPr>
                <w:rFonts w:ascii="Calibri" w:cs="Calibri" w:eastAsia="Calibri" w:hAnsi="Calibri"/>
                <w:sz w:val="18"/>
                <w:szCs w:val="18"/>
                <w:b w:val="1"/>
                <w:bCs w:val="1"/>
                <w:color w:val="auto"/>
                <w:w w:val="87"/>
              </w:rPr>
              <w:t>$</w:t>
            </w: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7,244</w:t>
            </w:r>
          </w:p>
        </w:tc>
        <w:tc>
          <w:tcPr>
            <w:tcW w:w="100" w:type="dxa"/>
            <w:vAlign w:val="bottom"/>
            <w:tcBorders>
              <w:top w:val="single" w:sz="8" w:color="CFF0FC"/>
            </w:tcBorders>
          </w:tcPr>
          <w:p>
            <w:pPr>
              <w:spacing w:after="0"/>
              <w:rPr>
                <w:sz w:val="18"/>
                <w:szCs w:val="18"/>
                <w:color w:val="auto"/>
              </w:rPr>
            </w:pPr>
          </w:p>
        </w:tc>
      </w:tr>
      <w:tr>
        <w:trPr>
          <w:trHeight w:val="28"/>
        </w:trPr>
        <w:tc>
          <w:tcPr>
            <w:tcW w:w="4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4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4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4"/>
          </w:tcPr>
          <w:p>
            <w:pPr>
              <w:jc w:val="right"/>
              <w:spacing w:after="0"/>
              <w:rPr>
                <w:sz w:val="20"/>
                <w:szCs w:val="20"/>
                <w:color w:val="auto"/>
              </w:rPr>
            </w:pPr>
            <w:r>
              <w:rPr>
                <w:rFonts w:ascii="Calibri" w:cs="Calibri" w:eastAsia="Calibri" w:hAnsi="Calibri"/>
                <w:sz w:val="18"/>
                <w:szCs w:val="18"/>
                <w:b w:val="1"/>
                <w:bCs w:val="1"/>
                <w:color w:val="auto"/>
              </w:rPr>
              <w:t>Fair Value Measurements Using</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
        </w:trPr>
        <w:tc>
          <w:tcPr>
            <w:tcW w:w="4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r>
      <w:tr>
        <w:trPr>
          <w:trHeight w:val="208"/>
        </w:trPr>
        <w:tc>
          <w:tcPr>
            <w:tcW w:w="4220" w:type="dxa"/>
            <w:vAlign w:val="bottom"/>
          </w:tcPr>
          <w:p>
            <w:pPr>
              <w:spacing w:after="0"/>
              <w:rPr>
                <w:sz w:val="18"/>
                <w:szCs w:val="18"/>
                <w:color w:val="auto"/>
              </w:rPr>
            </w:pPr>
          </w:p>
        </w:tc>
        <w:tc>
          <w:tcPr>
            <w:tcW w:w="1140" w:type="dxa"/>
            <w:vAlign w:val="bottom"/>
            <w:tcBorders>
              <w:top w:val="single" w:sz="8" w:color="auto"/>
            </w:tcBorders>
          </w:tcPr>
          <w:p>
            <w:pPr>
              <w:jc w:val="right"/>
              <w:ind w:right="70"/>
              <w:spacing w:after="0" w:line="208" w:lineRule="exact"/>
              <w:rPr>
                <w:sz w:val="20"/>
                <w:szCs w:val="20"/>
                <w:color w:val="auto"/>
              </w:rPr>
            </w:pPr>
            <w:r>
              <w:rPr>
                <w:rFonts w:ascii="Calibri" w:cs="Calibri" w:eastAsia="Calibri" w:hAnsi="Calibri"/>
                <w:sz w:val="18"/>
                <w:szCs w:val="18"/>
                <w:b w:val="1"/>
                <w:bCs w:val="1"/>
                <w:color w:val="auto"/>
              </w:rPr>
              <w:t>Level 1</w:t>
            </w: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Level 2</w:t>
            </w: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Level 3</w:t>
            </w:r>
          </w:p>
        </w:tc>
        <w:tc>
          <w:tcPr>
            <w:tcW w:w="4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50"/>
              <w:spacing w:after="0" w:line="208" w:lineRule="exact"/>
              <w:rPr>
                <w:sz w:val="20"/>
                <w:szCs w:val="20"/>
                <w:color w:val="auto"/>
              </w:rPr>
            </w:pPr>
            <w:r>
              <w:rPr>
                <w:rFonts w:ascii="Calibri" w:cs="Calibri" w:eastAsia="Calibri" w:hAnsi="Calibri"/>
                <w:sz w:val="18"/>
                <w:szCs w:val="18"/>
                <w:b w:val="1"/>
                <w:bCs w:val="1"/>
                <w:color w:val="auto"/>
              </w:rPr>
              <w:t>Total</w:t>
            </w:r>
          </w:p>
        </w:tc>
        <w:tc>
          <w:tcPr>
            <w:tcW w:w="100" w:type="dxa"/>
            <w:vAlign w:val="bottom"/>
          </w:tcPr>
          <w:p>
            <w:pPr>
              <w:spacing w:after="0"/>
              <w:rPr>
                <w:sz w:val="18"/>
                <w:szCs w:val="18"/>
                <w:color w:val="auto"/>
              </w:rPr>
            </w:pPr>
          </w:p>
        </w:tc>
      </w:tr>
      <w:tr>
        <w:trPr>
          <w:trHeight w:val="28"/>
        </w:trPr>
        <w:tc>
          <w:tcPr>
            <w:tcW w:w="4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42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December 31, 2023</w:t>
            </w:r>
          </w:p>
        </w:tc>
        <w:tc>
          <w:tcPr>
            <w:tcW w:w="1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220" w:type="dxa"/>
            <w:vAlign w:val="bottom"/>
          </w:tcPr>
          <w:p>
            <w:pPr>
              <w:ind w:left="120"/>
              <w:spacing w:after="0" w:line="215" w:lineRule="exact"/>
              <w:rPr>
                <w:sz w:val="20"/>
                <w:szCs w:val="20"/>
                <w:color w:val="auto"/>
              </w:rPr>
            </w:pPr>
            <w:r>
              <w:rPr>
                <w:rFonts w:ascii="Calibri" w:cs="Calibri" w:eastAsia="Calibri" w:hAnsi="Calibri"/>
                <w:sz w:val="18"/>
                <w:szCs w:val="18"/>
                <w:color w:val="auto"/>
              </w:rPr>
              <w:t>Note</w:t>
            </w:r>
          </w:p>
        </w:tc>
        <w:tc>
          <w:tcPr>
            <w:tcW w:w="1140" w:type="dxa"/>
            <w:vAlign w:val="bottom"/>
          </w:tcPr>
          <w:p>
            <w:pPr>
              <w:jc w:val="right"/>
              <w:ind w:right="950"/>
              <w:spacing w:after="0" w:line="215" w:lineRule="exact"/>
              <w:rPr>
                <w:sz w:val="20"/>
                <w:szCs w:val="20"/>
                <w:color w:val="auto"/>
              </w:rPr>
            </w:pPr>
            <w:r>
              <w:rPr>
                <w:rFonts w:ascii="Calibri" w:cs="Calibri" w:eastAsia="Calibri" w:hAnsi="Calibri"/>
                <w:sz w:val="18"/>
                <w:szCs w:val="18"/>
                <w:color w:val="auto"/>
                <w:w w:val="87"/>
              </w:rPr>
              <w:t>$</w:t>
            </w:r>
          </w:p>
        </w:tc>
        <w:tc>
          <w:tcPr>
            <w:tcW w:w="320" w:type="dxa"/>
            <w:vAlign w:val="bottom"/>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440" w:type="dxa"/>
            <w:vAlign w:val="bottom"/>
            <w:gridSpan w:val="2"/>
          </w:tcPr>
          <w:p>
            <w:pPr>
              <w:jc w:val="right"/>
              <w:ind w:right="89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420" w:type="dxa"/>
            <w:vAlign w:val="bottom"/>
            <w:gridSpan w:val="2"/>
          </w:tcPr>
          <w:p>
            <w:pPr>
              <w:jc w:val="right"/>
              <w:ind w:right="830"/>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2,868</w:t>
            </w:r>
          </w:p>
        </w:tc>
        <w:tc>
          <w:tcPr>
            <w:tcW w:w="72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2,868</w:t>
            </w:r>
          </w:p>
        </w:tc>
        <w:tc>
          <w:tcPr>
            <w:tcW w:w="100" w:type="dxa"/>
            <w:vAlign w:val="bottom"/>
          </w:tcPr>
          <w:p>
            <w:pPr>
              <w:spacing w:after="0"/>
              <w:rPr>
                <w:sz w:val="18"/>
                <w:szCs w:val="18"/>
                <w:color w:val="auto"/>
              </w:rPr>
            </w:pPr>
          </w:p>
        </w:tc>
      </w:tr>
      <w:tr>
        <w:trPr>
          <w:trHeight w:val="28"/>
        </w:trPr>
        <w:tc>
          <w:tcPr>
            <w:tcW w:w="4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42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Warrant</w:t>
            </w:r>
          </w:p>
        </w:tc>
        <w:tc>
          <w:tcPr>
            <w:tcW w:w="1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4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4,125</w:t>
            </w:r>
          </w:p>
        </w:tc>
        <w:tc>
          <w:tcPr>
            <w:tcW w:w="4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422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jc w:val="right"/>
              <w:ind w:right="950"/>
              <w:spacing w:after="0" w:line="208" w:lineRule="exact"/>
              <w:rPr>
                <w:sz w:val="20"/>
                <w:szCs w:val="20"/>
                <w:color w:val="auto"/>
              </w:rPr>
            </w:pPr>
            <w:r>
              <w:rPr>
                <w:rFonts w:ascii="Calibri" w:cs="Calibri" w:eastAsia="Calibri" w:hAnsi="Calibri"/>
                <w:sz w:val="18"/>
                <w:szCs w:val="18"/>
                <w:b w:val="1"/>
                <w:bCs w:val="1"/>
                <w:color w:val="auto"/>
                <w:w w:val="87"/>
              </w:rPr>
              <w:t>$</w:t>
            </w:r>
          </w:p>
        </w:tc>
        <w:tc>
          <w:tcPr>
            <w:tcW w:w="320" w:type="dxa"/>
            <w:vAlign w:val="bottom"/>
            <w:tcBorders>
              <w:top w:val="single" w:sz="8" w:color="auto"/>
            </w:tcBorders>
          </w:tcPr>
          <w:p>
            <w:pPr>
              <w:ind w:left="140"/>
              <w:spacing w:after="0" w:line="208" w:lineRule="exact"/>
              <w:rPr>
                <w:sz w:val="20"/>
                <w:szCs w:val="20"/>
                <w:color w:val="auto"/>
              </w:rPr>
            </w:pPr>
            <w:r>
              <w:rPr>
                <w:rFonts w:ascii="Calibri" w:cs="Calibri" w:eastAsia="Calibri" w:hAnsi="Calibri"/>
                <w:sz w:val="18"/>
                <w:szCs w:val="18"/>
                <w:b w:val="1"/>
                <w:bCs w:val="1"/>
                <w:color w:val="auto"/>
                <w:w w:val="97"/>
              </w:rPr>
              <w:t>—</w:t>
            </w:r>
          </w:p>
        </w:tc>
        <w:tc>
          <w:tcPr>
            <w:tcW w:w="340" w:type="dxa"/>
            <w:vAlign w:val="bottom"/>
            <w:tcBorders>
              <w:top w:val="single" w:sz="8" w:color="CFF0FC"/>
            </w:tcBorders>
          </w:tcPr>
          <w:p>
            <w:pPr>
              <w:spacing w:after="0"/>
              <w:rPr>
                <w:sz w:val="18"/>
                <w:szCs w:val="18"/>
                <w:color w:val="auto"/>
              </w:rPr>
            </w:pPr>
          </w:p>
        </w:tc>
        <w:tc>
          <w:tcPr>
            <w:tcW w:w="1100" w:type="dxa"/>
            <w:vAlign w:val="bottom"/>
            <w:tcBorders>
              <w:top w:val="single" w:sz="8" w:color="auto"/>
            </w:tcBorders>
          </w:tcPr>
          <w:p>
            <w:pPr>
              <w:jc w:val="right"/>
              <w:ind w:right="890"/>
              <w:spacing w:after="0" w:line="208" w:lineRule="exact"/>
              <w:rPr>
                <w:sz w:val="20"/>
                <w:szCs w:val="20"/>
                <w:color w:val="auto"/>
              </w:rPr>
            </w:pPr>
            <w:r>
              <w:rPr>
                <w:rFonts w:ascii="Calibri" w:cs="Calibri" w:eastAsia="Calibri" w:hAnsi="Calibri"/>
                <w:sz w:val="18"/>
                <w:szCs w:val="18"/>
                <w:b w:val="1"/>
                <w:bCs w:val="1"/>
                <w:color w:val="auto"/>
              </w:rPr>
              <w:t>$</w:t>
            </w:r>
          </w:p>
        </w:tc>
        <w:tc>
          <w:tcPr>
            <w:tcW w:w="320" w:type="dxa"/>
            <w:vAlign w:val="bottom"/>
            <w:tcBorders>
              <w:top w:val="single" w:sz="8" w:color="auto"/>
            </w:tcBorders>
          </w:tcPr>
          <w:p>
            <w:pPr>
              <w:ind w:left="140"/>
              <w:spacing w:after="0" w:line="208" w:lineRule="exact"/>
              <w:rPr>
                <w:sz w:val="20"/>
                <w:szCs w:val="20"/>
                <w:color w:val="auto"/>
              </w:rPr>
            </w:pPr>
            <w:r>
              <w:rPr>
                <w:rFonts w:ascii="Calibri" w:cs="Calibri" w:eastAsia="Calibri" w:hAnsi="Calibri"/>
                <w:sz w:val="18"/>
                <w:szCs w:val="18"/>
                <w:b w:val="1"/>
                <w:bCs w:val="1"/>
                <w:color w:val="auto"/>
                <w:w w:val="97"/>
              </w:rPr>
              <w:t>—</w:t>
            </w:r>
          </w:p>
        </w:tc>
        <w:tc>
          <w:tcPr>
            <w:tcW w:w="400" w:type="dxa"/>
            <w:vAlign w:val="bottom"/>
            <w:tcBorders>
              <w:top w:val="single" w:sz="8" w:color="CFF0FC"/>
            </w:tcBorders>
          </w:tcPr>
          <w:p>
            <w:pPr>
              <w:spacing w:after="0"/>
              <w:rPr>
                <w:sz w:val="18"/>
                <w:szCs w:val="18"/>
                <w:color w:val="auto"/>
              </w:rPr>
            </w:pPr>
          </w:p>
        </w:tc>
        <w:tc>
          <w:tcPr>
            <w:tcW w:w="1020" w:type="dxa"/>
            <w:vAlign w:val="bottom"/>
            <w:tcBorders>
              <w:top w:val="single" w:sz="8" w:color="auto"/>
            </w:tcBorders>
          </w:tcPr>
          <w:p>
            <w:pPr>
              <w:jc w:val="right"/>
              <w:ind w:right="830"/>
              <w:spacing w:after="0" w:line="208" w:lineRule="exact"/>
              <w:rPr>
                <w:sz w:val="20"/>
                <w:szCs w:val="20"/>
                <w:color w:val="auto"/>
              </w:rPr>
            </w:pPr>
            <w:r>
              <w:rPr>
                <w:rFonts w:ascii="Calibri" w:cs="Calibri" w:eastAsia="Calibri" w:hAnsi="Calibri"/>
                <w:sz w:val="18"/>
                <w:szCs w:val="18"/>
                <w:b w:val="1"/>
                <w:bCs w:val="1"/>
                <w:color w:val="auto"/>
                <w:w w:val="87"/>
              </w:rPr>
              <w:t>$</w:t>
            </w:r>
          </w:p>
        </w:tc>
        <w:tc>
          <w:tcPr>
            <w:tcW w:w="4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6,993</w:t>
            </w:r>
          </w:p>
        </w:tc>
        <w:tc>
          <w:tcPr>
            <w:tcW w:w="4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jc w:val="right"/>
              <w:ind w:right="130"/>
              <w:spacing w:after="0" w:line="208" w:lineRule="exact"/>
              <w:rPr>
                <w:sz w:val="20"/>
                <w:szCs w:val="20"/>
                <w:color w:val="auto"/>
              </w:rPr>
            </w:pPr>
            <w:r>
              <w:rPr>
                <w:rFonts w:ascii="Calibri" w:cs="Calibri" w:eastAsia="Calibri" w:hAnsi="Calibri"/>
                <w:sz w:val="18"/>
                <w:szCs w:val="18"/>
                <w:b w:val="1"/>
                <w:bCs w:val="1"/>
                <w:color w:val="auto"/>
                <w:w w:val="87"/>
              </w:rPr>
              <w:t>$</w:t>
            </w: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6,993</w:t>
            </w:r>
          </w:p>
        </w:tc>
        <w:tc>
          <w:tcPr>
            <w:tcW w:w="100" w:type="dxa"/>
            <w:vAlign w:val="bottom"/>
            <w:tcBorders>
              <w:top w:val="single" w:sz="8" w:color="CFF0FC"/>
            </w:tcBorders>
          </w:tcPr>
          <w:p>
            <w:pPr>
              <w:spacing w:after="0"/>
              <w:rPr>
                <w:sz w:val="18"/>
                <w:szCs w:val="18"/>
                <w:color w:val="auto"/>
              </w:rPr>
            </w:pPr>
          </w:p>
        </w:tc>
      </w:tr>
      <w:tr>
        <w:trPr>
          <w:trHeight w:val="28"/>
        </w:trPr>
        <w:tc>
          <w:tcPr>
            <w:tcW w:w="4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4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-1302385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-1302385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-1302385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-187960</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-187960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The fair value of the Note is determined using the income approach, utlizing Level 3 inputs. The estmated fair value of the Warrant is determined using the Black-Scholes model, which requires us to make assumptons and judgments about the variables used in the calculaton related to volatlity, expected term, dividend yield and risk-free interest rate. Because of the inherent uncertainty of valuaton, these estmated values may difer signifcantly from the values that would have been used had a ready market for the investments existed, and the diferences could be material.</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quanttatve informaton about the signifcant unobservable inputs applied to these Level 3 fair value measurements: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Calibri" w:cs="Calibri" w:eastAsia="Calibri" w:hAnsi="Calibri"/>
                <w:sz w:val="18"/>
                <w:szCs w:val="18"/>
                <w:b w:val="1"/>
                <w:bCs w:val="1"/>
                <w:color w:val="auto"/>
              </w:rPr>
              <w:t>Signifcant</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tcPr>
          <w:p>
            <w:pPr>
              <w:jc w:val="center"/>
              <w:spacing w:after="0"/>
              <w:rPr>
                <w:sz w:val="20"/>
                <w:szCs w:val="20"/>
                <w:color w:val="auto"/>
              </w:rPr>
            </w:pPr>
            <w:r>
              <w:rPr>
                <w:rFonts w:ascii="Calibri" w:cs="Calibri" w:eastAsia="Calibri" w:hAnsi="Calibri"/>
                <w:sz w:val="18"/>
                <w:szCs w:val="18"/>
                <w:b w:val="1"/>
                <w:bCs w:val="1"/>
                <w:color w:val="auto"/>
                <w:w w:val="98"/>
              </w:rPr>
              <w:t>Unobservable</w:t>
            </w:r>
          </w:p>
        </w:tc>
        <w:tc>
          <w:tcPr>
            <w:tcW w:w="220" w:type="dxa"/>
            <w:vAlign w:val="bottom"/>
          </w:tcPr>
          <w:p>
            <w:pPr>
              <w:spacing w:after="0"/>
              <w:rPr>
                <w:sz w:val="21"/>
                <w:szCs w:val="21"/>
                <w:color w:val="auto"/>
              </w:rPr>
            </w:pPr>
          </w:p>
        </w:tc>
        <w:tc>
          <w:tcPr>
            <w:tcW w:w="1800" w:type="dxa"/>
            <w:vAlign w:val="bottom"/>
            <w:gridSpan w:val="2"/>
          </w:tcPr>
          <w:p>
            <w:pPr>
              <w:jc w:val="right"/>
              <w:ind w:right="700"/>
              <w:spacing w:after="0"/>
              <w:rPr>
                <w:sz w:val="20"/>
                <w:szCs w:val="20"/>
                <w:color w:val="auto"/>
              </w:rPr>
            </w:pPr>
            <w:r>
              <w:rPr>
                <w:rFonts w:ascii="Calibri" w:cs="Calibri" w:eastAsia="Calibri" w:hAnsi="Calibri"/>
                <w:sz w:val="18"/>
                <w:szCs w:val="18"/>
                <w:b w:val="1"/>
                <w:bCs w:val="1"/>
                <w:color w:val="auto"/>
              </w:rPr>
              <w:t>June 30,</w:t>
            </w:r>
          </w:p>
        </w:tc>
        <w:tc>
          <w:tcPr>
            <w:tcW w:w="1760" w:type="dxa"/>
            <w:vAlign w:val="bottom"/>
            <w:gridSpan w:val="3"/>
          </w:tcPr>
          <w:p>
            <w:pPr>
              <w:jc w:val="right"/>
              <w:ind w:right="46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4560" w:type="dxa"/>
            <w:vAlign w:val="bottom"/>
          </w:tcPr>
          <w:p>
            <w:pPr>
              <w:ind w:left="2080"/>
              <w:spacing w:after="0"/>
              <w:rPr>
                <w:sz w:val="20"/>
                <w:szCs w:val="20"/>
                <w:color w:val="auto"/>
              </w:rPr>
            </w:pPr>
            <w:r>
              <w:rPr>
                <w:rFonts w:ascii="Calibri" w:cs="Calibri" w:eastAsia="Calibri" w:hAnsi="Calibri"/>
                <w:sz w:val="18"/>
                <w:szCs w:val="18"/>
                <w:b w:val="1"/>
                <w:bCs w:val="1"/>
                <w:color w:val="auto"/>
              </w:rPr>
              <w:t>Asset</w:t>
            </w:r>
          </w:p>
        </w:tc>
        <w:tc>
          <w:tcPr>
            <w:tcW w:w="120" w:type="dxa"/>
            <w:vAlign w:val="bottom"/>
          </w:tcPr>
          <w:p>
            <w:pPr>
              <w:spacing w:after="0"/>
              <w:rPr>
                <w:sz w:val="21"/>
                <w:szCs w:val="21"/>
                <w:color w:val="auto"/>
              </w:rPr>
            </w:pPr>
          </w:p>
        </w:tc>
        <w:tc>
          <w:tcPr>
            <w:tcW w:w="282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Inputs</w:t>
            </w:r>
          </w:p>
        </w:tc>
        <w:tc>
          <w:tcPr>
            <w:tcW w:w="1800" w:type="dxa"/>
            <w:vAlign w:val="bottom"/>
            <w:gridSpan w:val="2"/>
          </w:tcPr>
          <w:p>
            <w:pPr>
              <w:jc w:val="right"/>
              <w:ind w:right="510"/>
              <w:spacing w:after="0"/>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21"/>
                <w:szCs w:val="21"/>
                <w:color w:val="auto"/>
              </w:rPr>
            </w:pPr>
          </w:p>
        </w:tc>
        <w:tc>
          <w:tcPr>
            <w:tcW w:w="1620" w:type="dxa"/>
            <w:vAlign w:val="bottom"/>
          </w:tcPr>
          <w:p>
            <w:pPr>
              <w:jc w:val="right"/>
              <w:ind w:right="55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7"/>
        </w:trPr>
        <w:tc>
          <w:tcPr>
            <w:tcW w:w="4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17"/>
        </w:trPr>
        <w:tc>
          <w:tcPr>
            <w:tcW w:w="45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Note</w:t>
            </w:r>
          </w:p>
        </w:tc>
        <w:tc>
          <w:tcPr>
            <w:tcW w:w="120" w:type="dxa"/>
            <w:vAlign w:val="bottom"/>
            <w:tcBorders>
              <w:bottom w:val="single" w:sz="8" w:color="CFF0FC"/>
            </w:tcBorders>
            <w:shd w:val="clear" w:color="auto" w:fill="CFF0FC"/>
          </w:tcPr>
          <w:p>
            <w:pPr>
              <w:spacing w:after="0"/>
              <w:rPr>
                <w:sz w:val="18"/>
                <w:szCs w:val="18"/>
                <w:color w:val="auto"/>
              </w:rPr>
            </w:pPr>
          </w:p>
        </w:tc>
        <w:tc>
          <w:tcPr>
            <w:tcW w:w="28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Expected terms (years)</w:t>
            </w:r>
          </w:p>
        </w:tc>
        <w:tc>
          <w:tcPr>
            <w:tcW w:w="180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6.0</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6.5</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ind w:left="20"/>
              <w:spacing w:after="0" w:line="215" w:lineRule="exact"/>
              <w:rPr>
                <w:sz w:val="20"/>
                <w:szCs w:val="20"/>
                <w:color w:val="auto"/>
              </w:rPr>
            </w:pPr>
            <w:r>
              <w:rPr>
                <w:rFonts w:ascii="Calibri" w:cs="Calibri" w:eastAsia="Calibri" w:hAnsi="Calibri"/>
                <w:sz w:val="18"/>
                <w:szCs w:val="18"/>
                <w:color w:val="auto"/>
              </w:rPr>
              <w:t>Implied Yield</w:t>
            </w:r>
          </w:p>
        </w:tc>
        <w:tc>
          <w:tcPr>
            <w:tcW w:w="2020" w:type="dxa"/>
            <w:vAlign w:val="bottom"/>
            <w:gridSpan w:val="3"/>
          </w:tcPr>
          <w:p>
            <w:pPr>
              <w:jc w:val="right"/>
              <w:ind w:right="80"/>
              <w:spacing w:after="0" w:line="215" w:lineRule="exact"/>
              <w:rPr>
                <w:sz w:val="20"/>
                <w:szCs w:val="20"/>
                <w:color w:val="auto"/>
              </w:rPr>
            </w:pPr>
            <w:r>
              <w:rPr>
                <w:rFonts w:ascii="Calibri" w:cs="Calibri" w:eastAsia="Calibri" w:hAnsi="Calibri"/>
                <w:sz w:val="18"/>
                <w:szCs w:val="18"/>
                <w:color w:val="auto"/>
              </w:rPr>
              <w:t>21.5 %</w:t>
            </w:r>
          </w:p>
        </w:tc>
        <w:tc>
          <w:tcPr>
            <w:tcW w:w="176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21.7 %</w:t>
            </w:r>
          </w:p>
        </w:tc>
      </w:tr>
      <w:tr>
        <w:trPr>
          <w:trHeight w:val="28"/>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45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Warrant</w:t>
            </w:r>
          </w:p>
        </w:tc>
        <w:tc>
          <w:tcPr>
            <w:tcW w:w="120" w:type="dxa"/>
            <w:vAlign w:val="bottom"/>
            <w:tcBorders>
              <w:bottom w:val="single" w:sz="8" w:color="CFF0FC"/>
            </w:tcBorders>
            <w:shd w:val="clear" w:color="auto" w:fill="CFF0FC"/>
          </w:tcPr>
          <w:p>
            <w:pPr>
              <w:spacing w:after="0"/>
              <w:rPr>
                <w:sz w:val="19"/>
                <w:szCs w:val="19"/>
                <w:color w:val="auto"/>
              </w:rPr>
            </w:pPr>
          </w:p>
        </w:tc>
        <w:tc>
          <w:tcPr>
            <w:tcW w:w="28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Expected terms (years)</w:t>
            </w:r>
          </w:p>
        </w:tc>
        <w:tc>
          <w:tcPr>
            <w:tcW w:w="18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6.0</w:t>
            </w:r>
          </w:p>
        </w:tc>
        <w:tc>
          <w:tcPr>
            <w:tcW w:w="22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6.5</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ind w:left="20"/>
              <w:spacing w:after="0" w:line="215" w:lineRule="exact"/>
              <w:rPr>
                <w:sz w:val="20"/>
                <w:szCs w:val="20"/>
                <w:color w:val="auto"/>
              </w:rPr>
            </w:pPr>
            <w:r>
              <w:rPr>
                <w:rFonts w:ascii="Calibri" w:cs="Calibri" w:eastAsia="Calibri" w:hAnsi="Calibri"/>
                <w:sz w:val="18"/>
                <w:szCs w:val="18"/>
                <w:color w:val="auto"/>
              </w:rPr>
              <w:t>Estmated volatlity</w:t>
            </w:r>
          </w:p>
        </w:tc>
        <w:tc>
          <w:tcPr>
            <w:tcW w:w="2020" w:type="dxa"/>
            <w:vAlign w:val="bottom"/>
            <w:gridSpan w:val="3"/>
          </w:tcPr>
          <w:p>
            <w:pPr>
              <w:jc w:val="right"/>
              <w:ind w:right="80"/>
              <w:spacing w:after="0" w:line="215" w:lineRule="exact"/>
              <w:rPr>
                <w:sz w:val="20"/>
                <w:szCs w:val="20"/>
                <w:color w:val="auto"/>
              </w:rPr>
            </w:pPr>
            <w:r>
              <w:rPr>
                <w:rFonts w:ascii="Calibri" w:cs="Calibri" w:eastAsia="Calibri" w:hAnsi="Calibri"/>
                <w:sz w:val="18"/>
                <w:szCs w:val="18"/>
                <w:color w:val="auto"/>
              </w:rPr>
              <w:t>56.0 %</w:t>
            </w:r>
          </w:p>
        </w:tc>
        <w:tc>
          <w:tcPr>
            <w:tcW w:w="176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56.0 %</w:t>
            </w:r>
          </w:p>
        </w:tc>
      </w:tr>
      <w:tr>
        <w:trPr>
          <w:trHeight w:val="234"/>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Calibri" w:cs="Calibri" w:eastAsia="Calibri" w:hAnsi="Calibri"/>
                <w:sz w:val="18"/>
                <w:szCs w:val="18"/>
                <w:color w:val="auto"/>
              </w:rPr>
              <w:t>Risk-free rate</w:t>
            </w:r>
          </w:p>
        </w:tc>
        <w:tc>
          <w:tcPr>
            <w:tcW w:w="2020" w:type="dxa"/>
            <w:vAlign w:val="bottom"/>
            <w:gridSpan w:val="3"/>
          </w:tcPr>
          <w:p>
            <w:pPr>
              <w:jc w:val="right"/>
              <w:ind w:right="80"/>
              <w:spacing w:after="0"/>
              <w:rPr>
                <w:sz w:val="20"/>
                <w:szCs w:val="20"/>
                <w:color w:val="auto"/>
              </w:rPr>
            </w:pPr>
            <w:r>
              <w:rPr>
                <w:rFonts w:ascii="Calibri" w:cs="Calibri" w:eastAsia="Calibri" w:hAnsi="Calibri"/>
                <w:sz w:val="18"/>
                <w:szCs w:val="18"/>
                <w:color w:val="auto"/>
              </w:rPr>
              <w:t>4.3 %</w:t>
            </w:r>
          </w:p>
        </w:tc>
        <w:tc>
          <w:tcPr>
            <w:tcW w:w="1760" w:type="dxa"/>
            <w:vAlign w:val="bottom"/>
            <w:gridSpan w:val="3"/>
          </w:tcPr>
          <w:p>
            <w:pPr>
              <w:jc w:val="right"/>
              <w:spacing w:after="0"/>
              <w:rPr>
                <w:sz w:val="20"/>
                <w:szCs w:val="20"/>
                <w:color w:val="auto"/>
              </w:rPr>
            </w:pPr>
            <w:r>
              <w:rPr>
                <w:rFonts w:ascii="Calibri" w:cs="Calibri" w:eastAsia="Calibri" w:hAnsi="Calibri"/>
                <w:sz w:val="18"/>
                <w:szCs w:val="18"/>
                <w:color w:val="auto"/>
              </w:rPr>
              <w:t>3.9 %</w:t>
            </w:r>
          </w:p>
        </w:tc>
      </w:tr>
      <w:tr>
        <w:trPr>
          <w:trHeight w:val="243"/>
        </w:trPr>
        <w:tc>
          <w:tcPr>
            <w:tcW w:w="4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tcPr>
          <w:p>
            <w:pPr>
              <w:ind w:left="20"/>
              <w:spacing w:after="0"/>
              <w:rPr>
                <w:sz w:val="20"/>
                <w:szCs w:val="20"/>
                <w:color w:val="auto"/>
              </w:rPr>
            </w:pPr>
            <w:r>
              <w:rPr>
                <w:rFonts w:ascii="Calibri" w:cs="Calibri" w:eastAsia="Calibri" w:hAnsi="Calibri"/>
                <w:sz w:val="18"/>
                <w:szCs w:val="18"/>
                <w:color w:val="auto"/>
              </w:rPr>
              <w:t>Expected dividend yield</w:t>
            </w:r>
          </w:p>
        </w:tc>
        <w:tc>
          <w:tcPr>
            <w:tcW w:w="2020" w:type="dxa"/>
            <w:vAlign w:val="bottom"/>
            <w:gridSpan w:val="3"/>
          </w:tcPr>
          <w:p>
            <w:pPr>
              <w:jc w:val="right"/>
              <w:ind w:right="80"/>
              <w:spacing w:after="0"/>
              <w:rPr>
                <w:sz w:val="20"/>
                <w:szCs w:val="20"/>
                <w:color w:val="auto"/>
              </w:rPr>
            </w:pPr>
            <w:r>
              <w:rPr>
                <w:rFonts w:ascii="Calibri" w:cs="Calibri" w:eastAsia="Calibri" w:hAnsi="Calibri"/>
                <w:sz w:val="18"/>
                <w:szCs w:val="18"/>
                <w:color w:val="auto"/>
              </w:rPr>
              <w:t>0 %</w:t>
            </w:r>
          </w:p>
        </w:tc>
        <w:tc>
          <w:tcPr>
            <w:tcW w:w="1760" w:type="dxa"/>
            <w:vAlign w:val="bottom"/>
            <w:gridSpan w:val="3"/>
          </w:tcPr>
          <w:p>
            <w:pPr>
              <w:jc w:val="right"/>
              <w:spacing w:after="0"/>
              <w:rPr>
                <w:sz w:val="20"/>
                <w:szCs w:val="20"/>
                <w:color w:val="auto"/>
              </w:rPr>
            </w:pPr>
            <w:r>
              <w:rPr>
                <w:rFonts w:ascii="Calibri" w:cs="Calibri" w:eastAsia="Calibri" w:hAnsi="Calibri"/>
                <w:sz w:val="18"/>
                <w:szCs w:val="18"/>
                <w:color w:val="auto"/>
              </w:rPr>
              <w:t>0 %</w:t>
            </w:r>
          </w:p>
        </w:tc>
      </w:tr>
      <w:tr>
        <w:trPr>
          <w:trHeight w:val="878"/>
        </w:trPr>
        <w:tc>
          <w:tcPr>
            <w:tcW w:w="4560" w:type="dxa"/>
            <w:vAlign w:val="bottom"/>
          </w:tcPr>
          <w:p>
            <w:pPr>
              <w:spacing w:after="0"/>
              <w:rPr>
                <w:sz w:val="24"/>
                <w:szCs w:val="24"/>
                <w:color w:val="auto"/>
              </w:rPr>
            </w:pPr>
          </w:p>
        </w:tc>
        <w:tc>
          <w:tcPr>
            <w:tcW w:w="2940" w:type="dxa"/>
            <w:vAlign w:val="bottom"/>
            <w:gridSpan w:val="2"/>
          </w:tcPr>
          <w:p>
            <w:pPr>
              <w:jc w:val="right"/>
              <w:ind w:right="1690"/>
              <w:spacing w:after="0"/>
              <w:rPr>
                <w:sz w:val="20"/>
                <w:szCs w:val="20"/>
                <w:color w:val="auto"/>
              </w:rPr>
            </w:pPr>
            <w:r>
              <w:rPr>
                <w:rFonts w:ascii="Calibri" w:cs="Calibri" w:eastAsia="Calibri" w:hAnsi="Calibri"/>
                <w:sz w:val="18"/>
                <w:szCs w:val="18"/>
                <w:color w:val="auto"/>
              </w:rPr>
              <w:t>14</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73"/>
        </w:trPr>
        <w:tc>
          <w:tcPr>
            <w:tcW w:w="4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760" w:right="299" w:bottom="1440" w:gutter="0" w:footer="0" w:header="0"/>
        </w:sectPr>
      </w:pPr>
    </w:p>
    <w:bookmarkStart w:id="16" w:name="page17"/>
    <w:bookmarkEnd w:id="1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provides a reconciliaton of the fnancial instruments measured at fair value using Level 3 signifcant unobservable inputs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20" w:type="dxa"/>
            <w:vAlign w:val="bottom"/>
          </w:tcPr>
          <w:p>
            <w:pPr>
              <w:spacing w:after="0"/>
              <w:rPr>
                <w:sz w:val="19"/>
                <w:szCs w:val="19"/>
                <w:color w:val="auto"/>
              </w:rPr>
            </w:pPr>
          </w:p>
        </w:tc>
        <w:tc>
          <w:tcPr>
            <w:tcW w:w="1700" w:type="dxa"/>
            <w:vAlign w:val="bottom"/>
          </w:tcPr>
          <w:p>
            <w:pPr>
              <w:jc w:val="right"/>
              <w:ind w:right="210"/>
              <w:spacing w:after="0"/>
              <w:rPr>
                <w:sz w:val="20"/>
                <w:szCs w:val="20"/>
                <w:color w:val="auto"/>
              </w:rPr>
            </w:pPr>
            <w:r>
              <w:rPr>
                <w:rFonts w:ascii="Calibri" w:cs="Calibri" w:eastAsia="Calibri" w:hAnsi="Calibri"/>
                <w:sz w:val="18"/>
                <w:szCs w:val="18"/>
                <w:b w:val="1"/>
                <w:bCs w:val="1"/>
                <w:color w:val="auto"/>
              </w:rPr>
              <w:t>Note</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Calibri" w:cs="Calibri" w:eastAsia="Calibri" w:hAnsi="Calibri"/>
                <w:sz w:val="18"/>
                <w:szCs w:val="18"/>
                <w:b w:val="1"/>
                <w:bCs w:val="1"/>
                <w:color w:val="auto"/>
              </w:rPr>
              <w:t>Warrant</w:t>
            </w:r>
          </w:p>
        </w:tc>
      </w:tr>
      <w:tr>
        <w:trPr>
          <w:trHeight w:val="37"/>
        </w:trPr>
        <w:tc>
          <w:tcPr>
            <w:tcW w:w="612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61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Balance at January 1, 2024</w:t>
            </w:r>
          </w:p>
        </w:tc>
        <w:tc>
          <w:tcPr>
            <w:tcW w:w="1700" w:type="dxa"/>
            <w:vAlign w:val="bottom"/>
            <w:tcBorders>
              <w:bottom w:val="single" w:sz="8" w:color="CFF0FC"/>
            </w:tcBorders>
            <w:shd w:val="clear" w:color="auto" w:fill="CFF0FC"/>
          </w:tcPr>
          <w:p>
            <w:pPr>
              <w:jc w:val="right"/>
              <w:ind w:right="1510"/>
              <w:spacing w:after="0" w:line="208" w:lineRule="exact"/>
              <w:rPr>
                <w:sz w:val="20"/>
                <w:szCs w:val="20"/>
                <w:color w:val="auto"/>
              </w:rPr>
            </w:pPr>
            <w:r>
              <w:rPr>
                <w:rFonts w:ascii="Calibri" w:cs="Calibri" w:eastAsia="Calibri" w:hAnsi="Calibri"/>
                <w:sz w:val="18"/>
                <w:szCs w:val="18"/>
                <w:b w:val="1"/>
                <w:bCs w:val="1"/>
                <w:color w:val="auto"/>
                <w:w w:val="87"/>
              </w:rPr>
              <w:t>$</w:t>
            </w:r>
          </w:p>
        </w:tc>
        <w:tc>
          <w:tcPr>
            <w:tcW w:w="7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2,868</w:t>
            </w:r>
          </w:p>
        </w:tc>
        <w:tc>
          <w:tcPr>
            <w:tcW w:w="800" w:type="dxa"/>
            <w:vAlign w:val="bottom"/>
            <w:tcBorders>
              <w:bottom w:val="single" w:sz="8" w:color="CFF0FC"/>
            </w:tcBorders>
            <w:gridSpan w:val="2"/>
            <w:shd w:val="clear" w:color="auto" w:fill="CFF0FC"/>
          </w:tcPr>
          <w:p>
            <w:pPr>
              <w:jc w:val="right"/>
              <w:ind w:right="290"/>
              <w:spacing w:after="0" w:line="208" w:lineRule="exact"/>
              <w:rPr>
                <w:sz w:val="20"/>
                <w:szCs w:val="20"/>
                <w:color w:val="auto"/>
              </w:rPr>
            </w:pPr>
            <w:r>
              <w:rPr>
                <w:rFonts w:ascii="Calibri" w:cs="Calibri" w:eastAsia="Calibri" w:hAnsi="Calibri"/>
                <w:sz w:val="18"/>
                <w:szCs w:val="18"/>
                <w:b w:val="1"/>
                <w:bCs w:val="1"/>
                <w:color w:val="auto"/>
              </w:rPr>
              <w:t>$</w:t>
            </w:r>
          </w:p>
        </w:tc>
        <w:tc>
          <w:tcPr>
            <w:tcW w:w="18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4,125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120" w:type="dxa"/>
            <w:vAlign w:val="bottom"/>
          </w:tcPr>
          <w:p>
            <w:pPr>
              <w:ind w:left="20"/>
              <w:spacing w:after="0" w:line="215" w:lineRule="exact"/>
              <w:rPr>
                <w:sz w:val="20"/>
                <w:szCs w:val="20"/>
                <w:color w:val="auto"/>
              </w:rPr>
            </w:pPr>
            <w:r>
              <w:rPr>
                <w:rFonts w:ascii="Calibri" w:cs="Calibri" w:eastAsia="Calibri" w:hAnsi="Calibri"/>
                <w:sz w:val="18"/>
                <w:szCs w:val="18"/>
                <w:color w:val="auto"/>
              </w:rPr>
              <w:t>Accreton of discount</w:t>
            </w:r>
          </w:p>
        </w:tc>
        <w:tc>
          <w:tcPr>
            <w:tcW w:w="17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51</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6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1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Interest paid-in-kind</w:t>
            </w:r>
          </w:p>
        </w:tc>
        <w:tc>
          <w:tcPr>
            <w:tcW w:w="17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239</w:t>
            </w:r>
          </w:p>
        </w:tc>
        <w:tc>
          <w:tcPr>
            <w:tcW w:w="3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6120" w:type="dxa"/>
            <w:vAlign w:val="bottom"/>
          </w:tcPr>
          <w:p>
            <w:pPr>
              <w:ind w:left="20"/>
              <w:spacing w:after="0" w:line="215" w:lineRule="exact"/>
              <w:rPr>
                <w:sz w:val="20"/>
                <w:szCs w:val="20"/>
                <w:color w:val="auto"/>
              </w:rPr>
            </w:pPr>
            <w:r>
              <w:rPr>
                <w:rFonts w:ascii="Calibri" w:cs="Calibri" w:eastAsia="Calibri" w:hAnsi="Calibri"/>
                <w:sz w:val="18"/>
                <w:szCs w:val="18"/>
                <w:color w:val="auto"/>
              </w:rPr>
              <w:t>Total unrealized gains or losses:</w:t>
            </w: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6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1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Recognized in earnings</w:t>
            </w:r>
          </w:p>
        </w:tc>
        <w:tc>
          <w:tcPr>
            <w:tcW w:w="17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(81 )</w:t>
            </w:r>
          </w:p>
        </w:tc>
      </w:tr>
      <w:tr>
        <w:trPr>
          <w:trHeight w:val="220"/>
        </w:trPr>
        <w:tc>
          <w:tcPr>
            <w:tcW w:w="6120" w:type="dxa"/>
            <w:vAlign w:val="bottom"/>
          </w:tcPr>
          <w:p>
            <w:pPr>
              <w:ind w:left="120"/>
              <w:spacing w:after="0"/>
              <w:rPr>
                <w:sz w:val="20"/>
                <w:szCs w:val="20"/>
                <w:color w:val="auto"/>
              </w:rPr>
            </w:pPr>
            <w:r>
              <w:rPr>
                <w:rFonts w:ascii="Calibri" w:cs="Calibri" w:eastAsia="Calibri" w:hAnsi="Calibri"/>
                <w:sz w:val="18"/>
                <w:szCs w:val="18"/>
                <w:color w:val="auto"/>
              </w:rPr>
              <w:t>Recognized in Other comprehensive loss</w:t>
            </w:r>
          </w:p>
        </w:tc>
        <w:tc>
          <w:tcPr>
            <w:tcW w:w="1700" w:type="dxa"/>
            <w:vAlign w:val="bottom"/>
          </w:tcPr>
          <w:p>
            <w:pPr>
              <w:spacing w:after="0"/>
              <w:rPr>
                <w:sz w:val="19"/>
                <w:szCs w:val="19"/>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42</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6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1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Balance at June 30, 2024</w:t>
            </w:r>
          </w:p>
        </w:tc>
        <w:tc>
          <w:tcPr>
            <w:tcW w:w="1700" w:type="dxa"/>
            <w:vAlign w:val="bottom"/>
            <w:tcBorders>
              <w:bottom w:val="single" w:sz="8" w:color="auto"/>
            </w:tcBorders>
            <w:shd w:val="clear" w:color="auto" w:fill="CFF0FC"/>
          </w:tcPr>
          <w:p>
            <w:pPr>
              <w:jc w:val="right"/>
              <w:ind w:right="1510"/>
              <w:spacing w:after="0" w:line="215" w:lineRule="exact"/>
              <w:rPr>
                <w:sz w:val="20"/>
                <w:szCs w:val="20"/>
                <w:color w:val="auto"/>
              </w:rPr>
            </w:pPr>
            <w:r>
              <w:rPr>
                <w:rFonts w:ascii="Calibri" w:cs="Calibri" w:eastAsia="Calibri" w:hAnsi="Calibri"/>
                <w:sz w:val="18"/>
                <w:szCs w:val="18"/>
                <w:b w:val="1"/>
                <w:bCs w:val="1"/>
                <w:color w:val="auto"/>
                <w:w w:val="87"/>
              </w:rPr>
              <w:t>$</w:t>
            </w:r>
          </w:p>
        </w:tc>
        <w:tc>
          <w:tcPr>
            <w:tcW w:w="7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3,200</w:t>
            </w:r>
          </w:p>
        </w:tc>
        <w:tc>
          <w:tcPr>
            <w:tcW w:w="32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line="215" w:lineRule="exact"/>
              <w:rPr>
                <w:sz w:val="20"/>
                <w:szCs w:val="20"/>
                <w:color w:val="auto"/>
              </w:rPr>
            </w:pPr>
            <w:r>
              <w:rPr>
                <w:rFonts w:ascii="Calibri" w:cs="Calibri" w:eastAsia="Calibri" w:hAnsi="Calibri"/>
                <w:sz w:val="18"/>
                <w:szCs w:val="18"/>
                <w:b w:val="1"/>
                <w:bCs w:val="1"/>
                <w:color w:val="auto"/>
                <w:w w:val="87"/>
              </w:rPr>
              <w:t>$</w:t>
            </w:r>
          </w:p>
        </w:tc>
        <w:tc>
          <w:tcPr>
            <w:tcW w:w="18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4,044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Other fnancial instruments, including accounts receivable and accounts payable, are carried at cost, which approximates their fair value because of their short-term nature.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11. Accrued Expenses and Other Current Liabilities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Accrued expenses and other current liabilites consisted of the following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80" w:type="dxa"/>
            <w:vAlign w:val="bottom"/>
          </w:tcPr>
          <w:p>
            <w:pPr>
              <w:spacing w:after="0"/>
              <w:rPr>
                <w:sz w:val="19"/>
                <w:szCs w:val="19"/>
                <w:color w:val="auto"/>
              </w:rPr>
            </w:pPr>
          </w:p>
        </w:tc>
        <w:tc>
          <w:tcPr>
            <w:tcW w:w="1620" w:type="dxa"/>
            <w:vAlign w:val="bottom"/>
          </w:tcPr>
          <w:p>
            <w:pPr>
              <w:jc w:val="right"/>
              <w:ind w:right="50"/>
              <w:spacing w:after="0"/>
              <w:rPr>
                <w:sz w:val="20"/>
                <w:szCs w:val="20"/>
                <w:color w:val="auto"/>
              </w:rPr>
            </w:pPr>
            <w:r>
              <w:rPr>
                <w:rFonts w:ascii="Calibri" w:cs="Calibri" w:eastAsia="Calibri" w:hAnsi="Calibri"/>
                <w:sz w:val="18"/>
                <w:szCs w:val="18"/>
                <w:b w:val="1"/>
                <w:bCs w:val="1"/>
                <w:color w:val="auto"/>
              </w:rPr>
              <w:t>June 30,</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60" w:type="dxa"/>
            <w:vAlign w:val="bottom"/>
            <w:gridSpan w:val="2"/>
          </w:tcPr>
          <w:p>
            <w:pPr>
              <w:ind w:left="32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6080" w:type="dxa"/>
            <w:vAlign w:val="bottom"/>
          </w:tcPr>
          <w:p>
            <w:pPr>
              <w:spacing w:after="0"/>
              <w:rPr>
                <w:sz w:val="21"/>
                <w:szCs w:val="21"/>
                <w:color w:val="auto"/>
              </w:rPr>
            </w:pPr>
          </w:p>
        </w:tc>
        <w:tc>
          <w:tcPr>
            <w:tcW w:w="1620" w:type="dxa"/>
            <w:vAlign w:val="bottom"/>
          </w:tcPr>
          <w:p>
            <w:pPr>
              <w:jc w:val="right"/>
              <w:ind w:right="170"/>
              <w:spacing w:after="0"/>
              <w:rPr>
                <w:sz w:val="20"/>
                <w:szCs w:val="20"/>
                <w:color w:val="auto"/>
              </w:rPr>
            </w:pPr>
            <w:r>
              <w:rPr>
                <w:rFonts w:ascii="Calibri" w:cs="Calibri" w:eastAsia="Calibri" w:hAnsi="Calibri"/>
                <w:sz w:val="18"/>
                <w:szCs w:val="18"/>
                <w:b w:val="1"/>
                <w:bCs w:val="1"/>
                <w:color w:val="auto"/>
              </w:rPr>
              <w:t>2024</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60" w:type="dxa"/>
            <w:vAlign w:val="bottom"/>
          </w:tcPr>
          <w:p>
            <w:pPr>
              <w:jc w:val="right"/>
              <w:ind w:right="97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r>
      <w:tr>
        <w:trPr>
          <w:trHeight w:val="37"/>
        </w:trPr>
        <w:tc>
          <w:tcPr>
            <w:tcW w:w="608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60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Accrued marketng expense</w:t>
            </w:r>
          </w:p>
        </w:tc>
        <w:tc>
          <w:tcPr>
            <w:tcW w:w="1620" w:type="dxa"/>
            <w:vAlign w:val="bottom"/>
            <w:tcBorders>
              <w:bottom w:val="single" w:sz="8" w:color="CFF0FC"/>
            </w:tcBorders>
            <w:shd w:val="clear" w:color="auto" w:fill="CFF0FC"/>
          </w:tcPr>
          <w:p>
            <w:pPr>
              <w:jc w:val="right"/>
              <w:ind w:right="1430"/>
              <w:spacing w:after="0" w:line="208" w:lineRule="exact"/>
              <w:rPr>
                <w:sz w:val="20"/>
                <w:szCs w:val="20"/>
                <w:color w:val="auto"/>
              </w:rPr>
            </w:pPr>
            <w:r>
              <w:rPr>
                <w:rFonts w:ascii="Calibri" w:cs="Calibri" w:eastAsia="Calibri" w:hAnsi="Calibri"/>
                <w:sz w:val="18"/>
                <w:szCs w:val="18"/>
                <w:color w:val="auto"/>
                <w:w w:val="87"/>
              </w:rPr>
              <w:t>$</w:t>
            </w:r>
          </w:p>
        </w:tc>
        <w:tc>
          <w:tcPr>
            <w:tcW w:w="7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36,549</w:t>
            </w:r>
          </w:p>
        </w:tc>
        <w:tc>
          <w:tcPr>
            <w:tcW w:w="640" w:type="dxa"/>
            <w:vAlign w:val="bottom"/>
            <w:tcBorders>
              <w:bottom w:val="single" w:sz="8" w:color="CFF0FC"/>
            </w:tcBorders>
            <w:gridSpan w:val="2"/>
            <w:shd w:val="clear" w:color="auto" w:fill="CFF0FC"/>
          </w:tcPr>
          <w:p>
            <w:pPr>
              <w:jc w:val="right"/>
              <w:ind w:right="230"/>
              <w:spacing w:after="0" w:line="208" w:lineRule="exact"/>
              <w:rPr>
                <w:sz w:val="20"/>
                <w:szCs w:val="20"/>
                <w:color w:val="auto"/>
              </w:rPr>
            </w:pPr>
            <w:r>
              <w:rPr>
                <w:rFonts w:ascii="Calibri" w:cs="Calibri" w:eastAsia="Calibri" w:hAnsi="Calibri"/>
                <w:sz w:val="18"/>
                <w:szCs w:val="18"/>
                <w:color w:val="auto"/>
              </w:rPr>
              <w:t>$</w:t>
            </w:r>
          </w:p>
        </w:tc>
        <w:tc>
          <w:tcPr>
            <w:tcW w:w="20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39,210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08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customer credits</w:t>
            </w:r>
          </w:p>
        </w:tc>
        <w:tc>
          <w:tcPr>
            <w:tcW w:w="1620" w:type="dxa"/>
            <w:vAlign w:val="bottom"/>
          </w:tcPr>
          <w:p>
            <w:pPr>
              <w:spacing w:after="0"/>
              <w:rPr>
                <w:sz w:val="18"/>
                <w:szCs w:val="18"/>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58,620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jc w:val="right"/>
              <w:spacing w:after="0" w:line="215" w:lineRule="exact"/>
              <w:rPr>
                <w:sz w:val="20"/>
                <w:szCs w:val="20"/>
                <w:color w:val="auto"/>
              </w:rPr>
            </w:pPr>
            <w:r>
              <w:rPr>
                <w:rFonts w:ascii="Calibri" w:cs="Calibri" w:eastAsia="Calibri" w:hAnsi="Calibri"/>
                <w:sz w:val="18"/>
                <w:szCs w:val="18"/>
                <w:color w:val="auto"/>
              </w:rPr>
              <w:t>64,318</w:t>
            </w:r>
          </w:p>
        </w:tc>
        <w:tc>
          <w:tcPr>
            <w:tcW w:w="100" w:type="dxa"/>
            <w:vAlign w:val="bottom"/>
          </w:tcPr>
          <w:p>
            <w:pPr>
              <w:spacing w:after="0"/>
              <w:rPr>
                <w:sz w:val="18"/>
                <w:szCs w:val="18"/>
                <w:color w:val="auto"/>
              </w:rPr>
            </w:pPr>
          </w:p>
        </w:tc>
      </w:tr>
      <w:tr>
        <w:trPr>
          <w:trHeight w:val="28"/>
        </w:trPr>
        <w:tc>
          <w:tcPr>
            <w:tcW w:w="6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0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Accrued future customer compensaton</w:t>
            </w:r>
          </w:p>
        </w:tc>
        <w:tc>
          <w:tcPr>
            <w:tcW w:w="16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28,833</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33,010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608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payroll</w:t>
            </w:r>
          </w:p>
        </w:tc>
        <w:tc>
          <w:tcPr>
            <w:tcW w:w="1620" w:type="dxa"/>
            <w:vAlign w:val="bottom"/>
          </w:tcPr>
          <w:p>
            <w:pPr>
              <w:spacing w:after="0"/>
              <w:rPr>
                <w:sz w:val="18"/>
                <w:szCs w:val="18"/>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10,813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jc w:val="right"/>
              <w:spacing w:after="0" w:line="215" w:lineRule="exact"/>
              <w:rPr>
                <w:sz w:val="20"/>
                <w:szCs w:val="20"/>
                <w:color w:val="auto"/>
              </w:rPr>
            </w:pPr>
            <w:r>
              <w:rPr>
                <w:rFonts w:ascii="Calibri" w:cs="Calibri" w:eastAsia="Calibri" w:hAnsi="Calibri"/>
                <w:sz w:val="18"/>
                <w:szCs w:val="18"/>
                <w:color w:val="auto"/>
              </w:rPr>
              <w:t>17,381</w:t>
            </w:r>
          </w:p>
        </w:tc>
        <w:tc>
          <w:tcPr>
            <w:tcW w:w="100" w:type="dxa"/>
            <w:vAlign w:val="bottom"/>
          </w:tcPr>
          <w:p>
            <w:pPr>
              <w:spacing w:after="0"/>
              <w:rPr>
                <w:sz w:val="18"/>
                <w:szCs w:val="18"/>
                <w:color w:val="auto"/>
              </w:rPr>
            </w:pPr>
          </w:p>
        </w:tc>
      </w:tr>
      <w:tr>
        <w:trPr>
          <w:trHeight w:val="28"/>
        </w:trPr>
        <w:tc>
          <w:tcPr>
            <w:tcW w:w="6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0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Accrued operatng expenses</w:t>
            </w:r>
          </w:p>
        </w:tc>
        <w:tc>
          <w:tcPr>
            <w:tcW w:w="16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17,308</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20,828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080" w:type="dxa"/>
            <w:vAlign w:val="bottom"/>
          </w:tcPr>
          <w:p>
            <w:pPr>
              <w:ind w:left="20"/>
              <w:spacing w:after="0"/>
              <w:rPr>
                <w:sz w:val="20"/>
                <w:szCs w:val="20"/>
                <w:color w:val="auto"/>
              </w:rPr>
            </w:pPr>
            <w:r>
              <w:rPr>
                <w:rFonts w:ascii="Calibri" w:cs="Calibri" w:eastAsia="Calibri" w:hAnsi="Calibri"/>
                <w:sz w:val="18"/>
                <w:szCs w:val="18"/>
                <w:color w:val="auto"/>
              </w:rPr>
              <w:t>Other current liabilites</w:t>
            </w:r>
          </w:p>
        </w:tc>
        <w:tc>
          <w:tcPr>
            <w:tcW w:w="1620" w:type="dxa"/>
            <w:vAlign w:val="bottom"/>
          </w:tcPr>
          <w:p>
            <w:pPr>
              <w:spacing w:after="0"/>
              <w:rPr>
                <w:sz w:val="19"/>
                <w:szCs w:val="19"/>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16,860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jc w:val="right"/>
              <w:spacing w:after="0" w:line="215" w:lineRule="exact"/>
              <w:rPr>
                <w:sz w:val="20"/>
                <w:szCs w:val="20"/>
                <w:color w:val="auto"/>
              </w:rPr>
            </w:pPr>
            <w:r>
              <w:rPr>
                <w:rFonts w:ascii="Calibri" w:cs="Calibri" w:eastAsia="Calibri" w:hAnsi="Calibri"/>
                <w:sz w:val="18"/>
                <w:szCs w:val="18"/>
                <w:color w:val="auto"/>
              </w:rPr>
              <w:t>16,895</w:t>
            </w:r>
          </w:p>
        </w:tc>
        <w:tc>
          <w:tcPr>
            <w:tcW w:w="100" w:type="dxa"/>
            <w:vAlign w:val="bottom"/>
          </w:tcPr>
          <w:p>
            <w:pPr>
              <w:spacing w:after="0"/>
              <w:rPr>
                <w:sz w:val="19"/>
                <w:szCs w:val="19"/>
                <w:color w:val="auto"/>
              </w:rPr>
            </w:pPr>
          </w:p>
        </w:tc>
      </w:tr>
      <w:tr>
        <w:trPr>
          <w:trHeight w:val="23"/>
        </w:trPr>
        <w:tc>
          <w:tcPr>
            <w:tcW w:w="60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0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Total accrued expenses and other current liabilites</w:t>
            </w:r>
          </w:p>
        </w:tc>
        <w:tc>
          <w:tcPr>
            <w:tcW w:w="1620" w:type="dxa"/>
            <w:vAlign w:val="bottom"/>
            <w:tcBorders>
              <w:bottom w:val="single" w:sz="8" w:color="auto"/>
            </w:tcBorders>
            <w:shd w:val="clear" w:color="auto" w:fill="CFF0FC"/>
          </w:tcPr>
          <w:p>
            <w:pPr>
              <w:jc w:val="right"/>
              <w:ind w:right="1430"/>
              <w:spacing w:after="0" w:line="215" w:lineRule="exact"/>
              <w:rPr>
                <w:sz w:val="20"/>
                <w:szCs w:val="20"/>
                <w:color w:val="auto"/>
              </w:rPr>
            </w:pPr>
            <w:r>
              <w:rPr>
                <w:rFonts w:ascii="Calibri" w:cs="Calibri" w:eastAsia="Calibri" w:hAnsi="Calibri"/>
                <w:sz w:val="18"/>
                <w:szCs w:val="18"/>
                <w:b w:val="1"/>
                <w:bCs w:val="1"/>
                <w:color w:val="auto"/>
                <w:w w:val="87"/>
              </w:rPr>
              <w:t>$</w:t>
            </w:r>
          </w:p>
        </w:tc>
        <w:tc>
          <w:tcPr>
            <w:tcW w:w="7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168,983</w:t>
            </w:r>
          </w:p>
        </w:tc>
        <w:tc>
          <w:tcPr>
            <w:tcW w:w="2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line="215" w:lineRule="exact"/>
              <w:rPr>
                <w:sz w:val="20"/>
                <w:szCs w:val="20"/>
                <w:color w:val="auto"/>
              </w:rPr>
            </w:pPr>
            <w:r>
              <w:rPr>
                <w:rFonts w:ascii="Calibri" w:cs="Calibri" w:eastAsia="Calibri" w:hAnsi="Calibri"/>
                <w:sz w:val="18"/>
                <w:szCs w:val="18"/>
                <w:b w:val="1"/>
                <w:bCs w:val="1"/>
                <w:color w:val="auto"/>
                <w:w w:val="87"/>
              </w:rPr>
              <w:t>$</w:t>
            </w:r>
          </w:p>
        </w:tc>
        <w:tc>
          <w:tcPr>
            <w:tcW w:w="20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191,642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Accrued customer credits represent credits issued and outstanding for cancellatons or other service issues related to recorded sales transactons. The accrued amount is reduced by the amount of credits estmated to go unused, or breakage, provided that the credits are not subject to escheatment. We estmate breakage based on historical usage trends and available data on comparable programs, and we recognize breakage in proporton to the patern of redempton for customer credits. Our breakage estmates could be impacted by future actvity difering from our estmates, the efects of which could be material.</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three and six months ended June 30, 2024, $1.5 million and $3.0 million of accrued customer credits were redeemed, respectvely, and we recognized $4.5 million and $6.5 million of revenue from breakage, respectvely. During the three and six months ended June 30, 2023, $2.6 million and $5.2 million of accrued customer credits were redeemed, respectvely, and we recognized $6.1 million and $10.7 million of revenue from breakage, respectvely. Breakage amounts are net of reductons in associated accounts receivable balances.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Accrued future customer compensaton represents an estmate of the amount of customer compensaton due from cancellaton charges in the future. These provisions, which are based on historic experience, revenue volumes for future events and management’s estmate of the likelihood of future cancellatons, are recognized as a component of Revenues in the Condensed Consolidated Statements of Operatons. The expected recoveries of these obligatons from tcket sellers and partners are included in Prepaid expenses and other current assets in the Condensed Consolidated Balance Sheets. This estmated accrual could be impacted by future actvity difering from our estmates, the efects of which could be material. During the three and six months ended June 30, 2024, we recognized a net increase in revenue of $0.6 million and $0.3 million, respectvely, and during the three and six months ended June 30, 2023, we recognized a net increase in revenue of $1.1 million and a net decrease in revenue of $0.2 million, respectvely, in each case from the reversals of previously recorded revenue and changes to accrued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7" w:name="page18"/>
    <w:bookmarkEnd w:id="17"/>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future customer compensaton related to event cancellatons where the performance obligatons were satsfed in prior periods.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200" w:type="dxa"/>
            <w:vAlign w:val="bottom"/>
          </w:tcPr>
          <w:p>
            <w:pPr>
              <w:spacing w:after="0"/>
              <w:rPr>
                <w:sz w:val="20"/>
                <w:szCs w:val="20"/>
                <w:color w:val="auto"/>
              </w:rPr>
            </w:pPr>
            <w:r>
              <w:rPr>
                <w:rFonts w:ascii="Calibri" w:cs="Calibri" w:eastAsia="Calibri" w:hAnsi="Calibri"/>
                <w:sz w:val="18"/>
                <w:szCs w:val="18"/>
                <w:b w:val="1"/>
                <w:bCs w:val="1"/>
                <w:color w:val="auto"/>
              </w:rPr>
              <w:t>12. Debt</w:t>
            </w:r>
          </w:p>
        </w:tc>
        <w:tc>
          <w:tcPr>
            <w:tcW w:w="1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4"/>
        </w:trPr>
        <w:tc>
          <w:tcPr>
            <w:tcW w:w="7200" w:type="dxa"/>
            <w:vAlign w:val="bottom"/>
          </w:tcPr>
          <w:p>
            <w:pPr>
              <w:spacing w:after="0"/>
              <w:rPr>
                <w:sz w:val="20"/>
                <w:szCs w:val="20"/>
                <w:color w:val="auto"/>
              </w:rPr>
            </w:pPr>
            <w:r>
              <w:rPr>
                <w:rFonts w:ascii="Calibri" w:cs="Calibri" w:eastAsia="Calibri" w:hAnsi="Calibri"/>
                <w:sz w:val="18"/>
                <w:szCs w:val="18"/>
                <w:color w:val="auto"/>
              </w:rPr>
              <w:t>Our outstanding debt is comprised of the following (in thousands):</w:t>
            </w: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7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b w:val="1"/>
                <w:bCs w:val="1"/>
                <w:color w:val="auto"/>
              </w:rPr>
              <w:t>June 30,</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right"/>
              <w:ind w:right="46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720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Calibri" w:cs="Calibri" w:eastAsia="Calibri" w:hAnsi="Calibri"/>
                <w:sz w:val="18"/>
                <w:szCs w:val="18"/>
                <w:b w:val="1"/>
                <w:bCs w:val="1"/>
                <w:color w:val="auto"/>
              </w:rPr>
              <w:t>2024</w:t>
            </w: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59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r>
      <w:tr>
        <w:trPr>
          <w:trHeight w:val="37"/>
        </w:trPr>
        <w:tc>
          <w:tcPr>
            <w:tcW w:w="72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72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February 2022 First Lien Loan</w:t>
            </w:r>
          </w:p>
        </w:tc>
        <w:tc>
          <w:tcPr>
            <w:tcW w:w="1280" w:type="dxa"/>
            <w:vAlign w:val="bottom"/>
            <w:tcBorders>
              <w:bottom w:val="single" w:sz="8" w:color="CFF0FC"/>
            </w:tcBorders>
            <w:shd w:val="clear" w:color="auto" w:fill="CFF0FC"/>
          </w:tcPr>
          <w:p>
            <w:pPr>
              <w:jc w:val="right"/>
              <w:ind w:right="1090"/>
              <w:spacing w:after="0" w:line="208"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CFF0FC"/>
            </w:tcBorders>
            <w:gridSpan w:val="2"/>
            <w:shd w:val="clear" w:color="auto" w:fill="CFF0FC"/>
          </w:tcPr>
          <w:p>
            <w:pPr>
              <w:jc w:val="right"/>
              <w:ind w:right="360"/>
              <w:spacing w:after="0" w:line="208"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14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270,188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200" w:type="dxa"/>
            <w:vAlign w:val="bottom"/>
          </w:tcPr>
          <w:p>
            <w:pPr>
              <w:ind w:left="20"/>
              <w:spacing w:after="0" w:line="215" w:lineRule="exact"/>
              <w:rPr>
                <w:sz w:val="20"/>
                <w:szCs w:val="20"/>
                <w:color w:val="auto"/>
              </w:rPr>
            </w:pPr>
            <w:r>
              <w:rPr>
                <w:rFonts w:ascii="Calibri" w:cs="Calibri" w:eastAsia="Calibri" w:hAnsi="Calibri"/>
                <w:sz w:val="18"/>
                <w:szCs w:val="18"/>
                <w:color w:val="auto"/>
              </w:rPr>
              <w:t>Shoko Chukin Bank Loan</w:t>
            </w:r>
          </w:p>
        </w:tc>
        <w:tc>
          <w:tcPr>
            <w:tcW w:w="1280" w:type="dxa"/>
            <w:vAlign w:val="bottom"/>
          </w:tcPr>
          <w:p>
            <w:pPr>
              <w:spacing w:after="0"/>
              <w:rPr>
                <w:sz w:val="18"/>
                <w:szCs w:val="18"/>
                <w:color w:val="auto"/>
              </w:rPr>
            </w:pPr>
          </w:p>
        </w:tc>
        <w:tc>
          <w:tcPr>
            <w:tcW w:w="960" w:type="dxa"/>
            <w:vAlign w:val="bottom"/>
            <w:gridSpan w:val="2"/>
          </w:tcPr>
          <w:p>
            <w:pPr>
              <w:jc w:val="right"/>
              <w:ind w:right="36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2,954</w:t>
            </w:r>
          </w:p>
        </w:tc>
        <w:tc>
          <w:tcPr>
            <w:tcW w:w="100" w:type="dxa"/>
            <w:vAlign w:val="bottom"/>
          </w:tcPr>
          <w:p>
            <w:pPr>
              <w:spacing w:after="0"/>
              <w:rPr>
                <w:sz w:val="18"/>
                <w:szCs w:val="18"/>
                <w:color w:val="auto"/>
              </w:rPr>
            </w:pPr>
          </w:p>
        </w:tc>
      </w:tr>
      <w:tr>
        <w:trPr>
          <w:trHeight w:val="28"/>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2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June 2024 First Lien Loan</w:t>
            </w:r>
          </w:p>
        </w:tc>
        <w:tc>
          <w:tcPr>
            <w:tcW w:w="1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7"/>
              </w:rPr>
              <w:t>395,000</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08"/>
        </w:trPr>
        <w:tc>
          <w:tcPr>
            <w:tcW w:w="72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Total long-term debt, gross</w:t>
            </w:r>
          </w:p>
        </w:tc>
        <w:tc>
          <w:tcPr>
            <w:tcW w:w="1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w w:val="97"/>
              </w:rPr>
              <w:t>395,000</w:t>
            </w:r>
          </w:p>
        </w:tc>
        <w:tc>
          <w:tcPr>
            <w:tcW w:w="3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273,142</w:t>
            </w:r>
          </w:p>
        </w:tc>
        <w:tc>
          <w:tcPr>
            <w:tcW w:w="100" w:type="dxa"/>
            <w:vAlign w:val="bottom"/>
            <w:tcBorders>
              <w:top w:val="single" w:sz="8" w:color="CFF0FC"/>
            </w:tcBorders>
          </w:tcPr>
          <w:p>
            <w:pPr>
              <w:spacing w:after="0"/>
              <w:rPr>
                <w:sz w:val="18"/>
                <w:szCs w:val="18"/>
                <w:color w:val="auto"/>
              </w:rPr>
            </w:pPr>
          </w:p>
        </w:tc>
      </w:tr>
      <w:tr>
        <w:trPr>
          <w:trHeight w:val="28"/>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2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Less: unamortzed debt issuance costs</w:t>
            </w:r>
          </w:p>
        </w:tc>
        <w:tc>
          <w:tcPr>
            <w:tcW w:w="1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gridSpan w:val="2"/>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(4,544 )</w:t>
            </w:r>
          </w:p>
        </w:tc>
        <w:tc>
          <w:tcPr>
            <w:tcW w:w="22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(4,577 )</w:t>
            </w:r>
          </w:p>
        </w:tc>
      </w:tr>
      <w:tr>
        <w:trPr>
          <w:trHeight w:val="208"/>
        </w:trPr>
        <w:tc>
          <w:tcPr>
            <w:tcW w:w="72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Total long-term debt, net of issuance costs</w:t>
            </w:r>
          </w:p>
        </w:tc>
        <w:tc>
          <w:tcPr>
            <w:tcW w:w="1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w w:val="97"/>
              </w:rPr>
              <w:t>390,456</w:t>
            </w:r>
          </w:p>
        </w:tc>
        <w:tc>
          <w:tcPr>
            <w:tcW w:w="3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268,565</w:t>
            </w:r>
          </w:p>
        </w:tc>
        <w:tc>
          <w:tcPr>
            <w:tcW w:w="100" w:type="dxa"/>
            <w:vAlign w:val="bottom"/>
            <w:tcBorders>
              <w:top w:val="single" w:sz="8" w:color="CFF0FC"/>
            </w:tcBorders>
          </w:tcPr>
          <w:p>
            <w:pPr>
              <w:spacing w:after="0"/>
              <w:rPr>
                <w:sz w:val="18"/>
                <w:szCs w:val="18"/>
                <w:color w:val="auto"/>
              </w:rPr>
            </w:pPr>
          </w:p>
        </w:tc>
      </w:tr>
      <w:tr>
        <w:trPr>
          <w:trHeight w:val="28"/>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2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Less: current porton</w:t>
            </w:r>
          </w:p>
        </w:tc>
        <w:tc>
          <w:tcPr>
            <w:tcW w:w="1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gridSpan w:val="2"/>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(3,950 )</w:t>
            </w:r>
          </w:p>
        </w:tc>
        <w:tc>
          <w:tcPr>
            <w:tcW w:w="22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(3,933 )</w:t>
            </w:r>
          </w:p>
        </w:tc>
      </w:tr>
      <w:tr>
        <w:trPr>
          <w:trHeight w:val="237"/>
        </w:trPr>
        <w:tc>
          <w:tcPr>
            <w:tcW w:w="720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b w:val="1"/>
                <w:bCs w:val="1"/>
                <w:color w:val="auto"/>
              </w:rPr>
              <w:t>Total long-term debt, net</w:t>
            </w:r>
          </w:p>
        </w:tc>
        <w:tc>
          <w:tcPr>
            <w:tcW w:w="1280" w:type="dxa"/>
            <w:vAlign w:val="bottom"/>
            <w:tcBorders>
              <w:top w:val="single" w:sz="8" w:color="auto"/>
              <w:bottom w:val="single" w:sz="8" w:color="auto"/>
            </w:tcBorders>
          </w:tcPr>
          <w:p>
            <w:pPr>
              <w:jc w:val="right"/>
              <w:ind w:right="1090"/>
              <w:spacing w:after="0" w:line="215"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w w:val="97"/>
              </w:rPr>
              <w:t>386,506</w:t>
            </w:r>
          </w:p>
        </w:tc>
        <w:tc>
          <w:tcPr>
            <w:tcW w:w="3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w w:val="87"/>
              </w:rPr>
              <w:t>$</w:t>
            </w:r>
          </w:p>
        </w:tc>
        <w:tc>
          <w:tcPr>
            <w:tcW w:w="14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264,632</w:t>
            </w:r>
          </w:p>
        </w:tc>
        <w:tc>
          <w:tcPr>
            <w:tcW w:w="100" w:type="dxa"/>
            <w:vAlign w:val="bottom"/>
            <w:tcBorders>
              <w:top w:val="single" w:sz="8" w:color="CFF0FC"/>
            </w:tcBorders>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-822325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-504825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-187960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June 2017 Term Loans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June 2017, we entered into a $575.0 million frst lien debt facility, comprising a $50.0 million revolving credit facility and a $525.0 million term loan (the “June 2017 First Lien Loan”), and a second lien credit facility, comprising a $185.0 million second lien term loan (the “June 2017 Second Lien Loan”). The June 2017 First Lien Loan was amended to upsize the commited amount by $115.0 million in July 2018. In October 2019, we paid of the June 2017 Second Lien Loan balance. The revolving credit facility component of the frst lien debt facility was retred in May 2020. In October 2021, we made an early principal payment related to the June 2017 First Lien Loan of $148.2 million in connecton with, and using the proceeds from, the merger transacton with Horizon Acquisiton Corporaton (the “Merger Transacton”) and a related private investment in public equity. On February 3, 2022, we repaid the outstanding balance of $190.7 million from the June 2017 First Lien Loan and refnanced the remaining balance with a $275.0 million term loan (as discussed in the “February 2022 First Lien Loan” secton below).</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February 2022 First Lien Loan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February 3, 2022, we entered into an amendment which refnanced the remaining balance of the June 2017 First Lien Loan with a $275.0 million term loan (the “February 2022 First Lien Loan”) and added a $100.0 million revolving credit facility (the “Revolving Facility”) with a maturity date of February 3, 2027. On June 14, 2024, we refnanced the remaining $269.5 million balance of the February 2022 First Lien Loan, which carried an interest rate of SOFR (as defned herein and subject to a 0.5% foor) plus a margin of 3.25%, with a $395.0 million term loan (as discussed in the “June 2024 First Lien Loan” secton below).</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June 2024 First Lien Loan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June 14, 2024, we entered into an amendment which refnanced the remaining balance of the February 2022 First Lien Loan with a $395.0 million term loan (the “June 2024 First Lien Loan”) with a maturity date of February 3, 2029.</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terms of the June 2024 First Lien Loan specify a secured overnight fnancing rate (“SOFR”)-based foatng interest rate and contain a springing fnancial covenant that requires compliance with a frst lien net leverage rato when revolver borrowings exceed certain levels. All obligatons under the June 2024 First Lien Loan are unconditonally guaranteed by Hoya Intermediate and substantally all of Hoya Intermediate’s existng and future direct and indirect wholly owned domestc subsidiaries (collectvely, the “Guarantors”). The June 2024 First Lien Loan requires quarterly amortzaton payments of $1.0 million. The Revolving Facility does not require periodic payments. All obligatons under the June 2024 First Lien Loan are secured, subject to permited liens and other exceptons, by frst-priority perfected security interests in substantally all of our and the Guarantors’ assets. The June 2024 First Lien Loan carries an interest rate of SOFR (subject to a 0.5% foor) plus a margin of 3.00%; provided that such margin may be reduced to 2.75% if the corporate ratng assigned to us by Moody’s Investors Service, Inc. and S&amp;P Global Ratngs is at least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8" w:name="page19"/>
    <w:bookmarkEnd w:id="18"/>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Ba3/BB- (in each case, stable or beter). The efectve interest rate on the June 2024 First Lien Loan was 8.64% per annum at June 30, 2024.</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June 2024 First Lien Loan is held by third-party fnancial insttutons and is carried at the outstanding principal balance, less debt issuance costs and any unamortzed discount or premium. Because the fair value was estmated using quoted prices that are directly observable in the marketplace, it is estmated on a Level 2 basis. At June 30, 2024, the fair value of the June 2024 First Lien Loan approximated the carrying value.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subject to certain reportng and compliance-related covenants to remain in good standing under the June 2024 First Lien Loan. These covenants, among other things, limit our ability to incur additonal indebtedness and, in certain circumstances, to enter into transactons with afliates, create liens, merge or consolidate and make certain payments. Non-compliance with these covenants and failure to remedy could result in the acceleraton of the loans or foreclosure on the collateral. As of June 30, 2024, we were in compliance with all debt covenants related to the June 2024 First Lien Loan and had no outstanding borrowings under the Revolving Facility.</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refnancing of the February 2022 First Lien Loan with the June 2024 First Lien Loan was accounted for as a debt modifcaton. We recognized an expense of $1.7 million for third-party fees incurred in relaton to the debt modifcaton during the three and six months ended June 30, 2024, which is presented in Other expense on the Condensed Consolidated Statements of Operatons.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Shoko Chukin Bank Loan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our acquisiton of Wavedash, we assumed long-term debt owed to Shoko Chukin Bank (the “Shoko Chukin Bank Loan”) of JPY 458.3 million (approximately $3.1 million), which had an original maturity date of June 24, 2026 and was subject to a fxed interest rate of 1.27% per annum. On April 4, 2024, we paid of the Shoko Chukin Bank Loan balance in its entrety.</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13. Financial Instruments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We issued the following warrants during the year ended December 31, 2021 in connecton with the Merger Transacton: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Public Warrants</w:t>
      </w:r>
    </w:p>
    <w:p>
      <w:pPr>
        <w:spacing w:after="0" w:line="109"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We issued to former warrant holders of Horizon Acquisiton Corporaton warrants to purchase 18,132,776 shares of our Class A common stock at an exercise price of $11.50 per share (the “Public Warrants”), of which warrants to purchase 5,166,666 shares were issued to Horizon Sponsor, LLC. The Public Warrants are traded on the Nasdaq Stock Market under the symbol “SEATW.” As of June 30, 2024, there were 6,766,853 Public Warrants outstanding.</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Private Warrants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issued to Horizon Sponsor, LLC warrants to purchase 6,519,791 shares of our Class A common stock at an exercise price of $11.50 per share (the “Private Warrants”). As of June 30, 2024, there were 6,519,791 Private Warrants outstanding.</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Exercise Warrants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issued to Horizon Sponsor, LLC warrants to purchase 17,000,000 shares of our Class A common stock at an exercise price of $10.00 per share (the “$10 Exercise Warrants”) and warrants to purchase 17,000,000 shares of our Class A common stock at an exercise of $15.00 per share (the “$15 Exercise Warrants” and, together with the $10 Exercise Warrants, the “Exercise Warrants”). As of June 30, 2024, there were 34,000,000 Exercise Warrants outstanding (comprised of 17,000,000 $10 Exercise Warrants and 17,000,000 $15 Exercise Warrants).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Hoya Intermediate Warrants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Hoya Intermediate issued to Hoya Topco, LLC (“Hoya Topco”) warrants to purchase 3,000,000 Intermediate Units at an exercise price of $10.00 per unit (the “$10 Hoya Intermediate Warrants”) and warrants to purchase 3,000,000 Intermediate Units at an exercise of $15.00 per unit (the “$15 Hoya Intermediate Warrants” and, together with the $10 Hoya Intermediate Warrants, the “Hoya Intermediate Warrants”).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9" w:name="page20"/>
    <w:bookmarkEnd w:id="19"/>
    <w:p>
      <w:pPr>
        <w:jc w:val="center"/>
        <w:ind w:right="40"/>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A porton of the Hoya Intermediate Warrants, consistng of warrants to purchase 1,000,000 Intermediate Units at exercise prices of $10.00 and $15.00 per unit, respectvely (the “Opton Contngent Warrants”), were issued in tandem with stock optons we issued to members of our management team (the “Management Optons”). The Opton Contngent Warrants only become exercisable by Hoya Topco if a Management Opton is forfeited or expires unexercised.</w:t>
      </w:r>
    </w:p>
    <w:p>
      <w:pPr>
        <w:spacing w:after="0" w:line="111"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On December 7, 2023, Hoya Topco voluntarily terminated a porton of the Hoya Intermediate Warrants, consistng of Opton Contngent Warrants to purchase 1,000,000 Intermediate Units at exercise prices of $10.00 and $15.00 per unit, respectvely.</w:t>
      </w:r>
    </w:p>
    <w:p>
      <w:pPr>
        <w:spacing w:after="0" w:line="110"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As of June 30, 2024, there were 4,000,000 Hoya Intermediate Warrants outstanding (comprised of 2,000,000 $10 Hoya Intermediate Warrants and 2,000,000 $15 Hoya Intermediate Warrants).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80" w:type="dxa"/>
            <w:vAlign w:val="bottom"/>
            <w:gridSpan w:val="2"/>
          </w:tcPr>
          <w:p>
            <w:pPr>
              <w:spacing w:after="0"/>
              <w:rPr>
                <w:sz w:val="20"/>
                <w:szCs w:val="20"/>
                <w:color w:val="auto"/>
              </w:rPr>
            </w:pPr>
            <w:r>
              <w:rPr>
                <w:rFonts w:ascii="Calibri" w:cs="Calibri" w:eastAsia="Calibri" w:hAnsi="Calibri"/>
                <w:sz w:val="18"/>
                <w:szCs w:val="18"/>
                <w:color w:val="auto"/>
              </w:rPr>
              <w:t>The following assumptons were used to calculate the fair value of the Hoya Intermediate Warrants: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8"/>
        </w:trPr>
        <w:tc>
          <w:tcPr>
            <w:tcW w:w="5520" w:type="dxa"/>
            <w:vAlign w:val="bottom"/>
          </w:tcPr>
          <w:p>
            <w:pPr>
              <w:spacing w:after="0"/>
              <w:rPr>
                <w:sz w:val="24"/>
                <w:szCs w:val="24"/>
                <w:color w:val="auto"/>
              </w:rPr>
            </w:pPr>
          </w:p>
        </w:tc>
        <w:tc>
          <w:tcPr>
            <w:tcW w:w="1960" w:type="dxa"/>
            <w:vAlign w:val="bottom"/>
          </w:tcPr>
          <w:p>
            <w:pPr>
              <w:ind w:left="1020"/>
              <w:spacing w:after="0"/>
              <w:rPr>
                <w:sz w:val="20"/>
                <w:szCs w:val="20"/>
                <w:color w:val="auto"/>
              </w:rPr>
            </w:pPr>
            <w:r>
              <w:rPr>
                <w:rFonts w:ascii="Calibri" w:cs="Calibri" w:eastAsia="Calibri" w:hAnsi="Calibri"/>
                <w:sz w:val="18"/>
                <w:szCs w:val="18"/>
                <w:b w:val="1"/>
                <w:bCs w:val="1"/>
                <w:color w:val="auto"/>
              </w:rPr>
              <w:t>June 30,</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2"/>
          </w:tcPr>
          <w:p>
            <w:pPr>
              <w:jc w:val="right"/>
              <w:ind w:right="98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7480" w:type="dxa"/>
            <w:vAlign w:val="bottom"/>
            <w:gridSpan w:val="2"/>
          </w:tcPr>
          <w:p>
            <w:pPr>
              <w:ind w:left="6660"/>
              <w:spacing w:after="0"/>
              <w:rPr>
                <w:sz w:val="20"/>
                <w:szCs w:val="20"/>
                <w:color w:val="auto"/>
              </w:rPr>
            </w:pPr>
            <w:r>
              <w:rPr>
                <w:rFonts w:ascii="Calibri" w:cs="Calibri" w:eastAsia="Calibri" w:hAnsi="Calibri"/>
                <w:sz w:val="18"/>
                <w:szCs w:val="18"/>
                <w:b w:val="1"/>
                <w:bCs w:val="1"/>
                <w:color w:val="auto"/>
              </w:rPr>
              <w:t>2024</w:t>
            </w: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60" w:type="dxa"/>
            <w:vAlign w:val="bottom"/>
          </w:tcPr>
          <w:p>
            <w:pPr>
              <w:jc w:val="right"/>
              <w:ind w:right="1070"/>
              <w:spacing w:after="0"/>
              <w:rPr>
                <w:sz w:val="20"/>
                <w:szCs w:val="20"/>
                <w:color w:val="auto"/>
              </w:rPr>
            </w:pPr>
            <w:r>
              <w:rPr>
                <w:rFonts w:ascii="Calibri" w:cs="Calibri" w:eastAsia="Calibri" w:hAnsi="Calibri"/>
                <w:sz w:val="18"/>
                <w:szCs w:val="18"/>
                <w:b w:val="1"/>
                <w:bCs w:val="1"/>
                <w:color w:val="auto"/>
              </w:rPr>
              <w:t>2023</w:t>
            </w:r>
          </w:p>
        </w:tc>
        <w:tc>
          <w:tcPr>
            <w:tcW w:w="140" w:type="dxa"/>
            <w:vAlign w:val="bottom"/>
          </w:tcPr>
          <w:p>
            <w:pPr>
              <w:spacing w:after="0"/>
              <w:rPr>
                <w:sz w:val="21"/>
                <w:szCs w:val="21"/>
                <w:color w:val="auto"/>
              </w:rPr>
            </w:pPr>
          </w:p>
        </w:tc>
      </w:tr>
      <w:tr>
        <w:trPr>
          <w:trHeight w:val="37"/>
        </w:trPr>
        <w:tc>
          <w:tcPr>
            <w:tcW w:w="5520" w:type="dxa"/>
            <w:vAlign w:val="bottom"/>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08"/>
        </w:trPr>
        <w:tc>
          <w:tcPr>
            <w:tcW w:w="7480" w:type="dxa"/>
            <w:vAlign w:val="bottom"/>
            <w:gridSpan w:val="2"/>
          </w:tcPr>
          <w:p>
            <w:pPr>
              <w:ind w:left="20"/>
              <w:spacing w:after="0" w:line="208" w:lineRule="exact"/>
              <w:rPr>
                <w:sz w:val="20"/>
                <w:szCs w:val="20"/>
                <w:color w:val="auto"/>
              </w:rPr>
            </w:pPr>
            <w:r>
              <w:rPr>
                <w:rFonts w:ascii="Calibri" w:cs="Calibri" w:eastAsia="Calibri" w:hAnsi="Calibri"/>
                <w:sz w:val="18"/>
                <w:szCs w:val="18"/>
                <w:color w:val="auto"/>
              </w:rPr>
              <w:t>Estmated volatlity</w:t>
            </w:r>
          </w:p>
        </w:tc>
        <w:tc>
          <w:tcPr>
            <w:tcW w:w="1000" w:type="dxa"/>
            <w:vAlign w:val="bottom"/>
            <w:gridSpan w:val="2"/>
          </w:tcPr>
          <w:p>
            <w:pPr>
              <w:jc w:val="right"/>
              <w:ind w:right="180"/>
              <w:spacing w:after="0" w:line="208" w:lineRule="exact"/>
              <w:rPr>
                <w:sz w:val="20"/>
                <w:szCs w:val="20"/>
                <w:color w:val="auto"/>
              </w:rPr>
            </w:pPr>
            <w:r>
              <w:rPr>
                <w:rFonts w:ascii="Calibri" w:cs="Calibri" w:eastAsia="Calibri" w:hAnsi="Calibri"/>
                <w:sz w:val="18"/>
                <w:szCs w:val="18"/>
                <w:color w:val="auto"/>
              </w:rPr>
              <w:t>48.0 %</w:t>
            </w:r>
          </w:p>
        </w:tc>
        <w:tc>
          <w:tcPr>
            <w:tcW w:w="2800" w:type="dxa"/>
            <w:vAlign w:val="bottom"/>
            <w:gridSpan w:val="2"/>
          </w:tcPr>
          <w:p>
            <w:pPr>
              <w:jc w:val="right"/>
              <w:spacing w:after="0" w:line="208" w:lineRule="exact"/>
              <w:rPr>
                <w:sz w:val="20"/>
                <w:szCs w:val="20"/>
                <w:color w:val="auto"/>
              </w:rPr>
            </w:pPr>
            <w:r>
              <w:rPr>
                <w:rFonts w:ascii="Calibri" w:cs="Calibri" w:eastAsia="Calibri" w:hAnsi="Calibri"/>
                <w:sz w:val="18"/>
                <w:szCs w:val="18"/>
                <w:color w:val="auto"/>
              </w:rPr>
              <w:t>48.0 %</w:t>
            </w:r>
          </w:p>
        </w:tc>
      </w:tr>
      <w:tr>
        <w:trPr>
          <w:trHeight w:val="234"/>
        </w:trPr>
        <w:tc>
          <w:tcPr>
            <w:tcW w:w="7480" w:type="dxa"/>
            <w:vAlign w:val="bottom"/>
            <w:gridSpan w:val="2"/>
          </w:tcPr>
          <w:p>
            <w:pPr>
              <w:ind w:left="20"/>
              <w:spacing w:after="0"/>
              <w:rPr>
                <w:sz w:val="20"/>
                <w:szCs w:val="20"/>
                <w:color w:val="auto"/>
              </w:rPr>
            </w:pPr>
            <w:r>
              <w:rPr>
                <w:rFonts w:ascii="Calibri" w:cs="Calibri" w:eastAsia="Calibri" w:hAnsi="Calibri"/>
                <w:sz w:val="18"/>
                <w:szCs w:val="18"/>
                <w:color w:val="auto"/>
              </w:rPr>
              <w:t>Expected term (years)</w:t>
            </w:r>
          </w:p>
        </w:tc>
        <w:tc>
          <w:tcPr>
            <w:tcW w:w="680" w:type="dxa"/>
            <w:vAlign w:val="bottom"/>
          </w:tcPr>
          <w:p>
            <w:pPr>
              <w:jc w:val="right"/>
              <w:spacing w:after="0"/>
              <w:rPr>
                <w:sz w:val="20"/>
                <w:szCs w:val="20"/>
                <w:color w:val="auto"/>
              </w:rPr>
            </w:pPr>
            <w:r>
              <w:rPr>
                <w:rFonts w:ascii="Calibri" w:cs="Calibri" w:eastAsia="Calibri" w:hAnsi="Calibri"/>
                <w:sz w:val="18"/>
                <w:szCs w:val="18"/>
                <w:color w:val="auto"/>
              </w:rPr>
              <w:t>7.3</w:t>
            </w:r>
          </w:p>
        </w:tc>
        <w:tc>
          <w:tcPr>
            <w:tcW w:w="320" w:type="dxa"/>
            <w:vAlign w:val="bottom"/>
          </w:tcPr>
          <w:p>
            <w:pPr>
              <w:spacing w:after="0"/>
              <w:rPr>
                <w:sz w:val="20"/>
                <w:szCs w:val="20"/>
                <w:color w:val="auto"/>
              </w:rPr>
            </w:pPr>
          </w:p>
        </w:tc>
        <w:tc>
          <w:tcPr>
            <w:tcW w:w="2660" w:type="dxa"/>
            <w:vAlign w:val="bottom"/>
          </w:tcPr>
          <w:p>
            <w:pPr>
              <w:jc w:val="right"/>
              <w:spacing w:after="0"/>
              <w:rPr>
                <w:sz w:val="20"/>
                <w:szCs w:val="20"/>
                <w:color w:val="auto"/>
              </w:rPr>
            </w:pPr>
            <w:r>
              <w:rPr>
                <w:rFonts w:ascii="Calibri" w:cs="Calibri" w:eastAsia="Calibri" w:hAnsi="Calibri"/>
                <w:sz w:val="18"/>
                <w:szCs w:val="18"/>
                <w:color w:val="auto"/>
              </w:rPr>
              <w:t>7.8</w:t>
            </w:r>
          </w:p>
        </w:tc>
        <w:tc>
          <w:tcPr>
            <w:tcW w:w="140" w:type="dxa"/>
            <w:vAlign w:val="bottom"/>
          </w:tcPr>
          <w:p>
            <w:pPr>
              <w:spacing w:after="0"/>
              <w:rPr>
                <w:sz w:val="20"/>
                <w:szCs w:val="20"/>
                <w:color w:val="auto"/>
              </w:rPr>
            </w:pPr>
          </w:p>
        </w:tc>
      </w:tr>
      <w:tr>
        <w:trPr>
          <w:trHeight w:val="243"/>
        </w:trPr>
        <w:tc>
          <w:tcPr>
            <w:tcW w:w="7480" w:type="dxa"/>
            <w:vAlign w:val="bottom"/>
            <w:gridSpan w:val="2"/>
          </w:tcPr>
          <w:p>
            <w:pPr>
              <w:ind w:left="20"/>
              <w:spacing w:after="0"/>
              <w:rPr>
                <w:sz w:val="20"/>
                <w:szCs w:val="20"/>
                <w:color w:val="auto"/>
              </w:rPr>
            </w:pPr>
            <w:r>
              <w:rPr>
                <w:rFonts w:ascii="Calibri" w:cs="Calibri" w:eastAsia="Calibri" w:hAnsi="Calibri"/>
                <w:sz w:val="18"/>
                <w:szCs w:val="18"/>
                <w:color w:val="auto"/>
              </w:rPr>
              <w:t>Risk-free rate</w:t>
            </w:r>
          </w:p>
        </w:tc>
        <w:tc>
          <w:tcPr>
            <w:tcW w:w="100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4.3 %</w:t>
            </w:r>
          </w:p>
        </w:tc>
        <w:tc>
          <w:tcPr>
            <w:tcW w:w="2800" w:type="dxa"/>
            <w:vAlign w:val="bottom"/>
            <w:gridSpan w:val="2"/>
          </w:tcPr>
          <w:p>
            <w:pPr>
              <w:jc w:val="right"/>
              <w:spacing w:after="0"/>
              <w:rPr>
                <w:sz w:val="20"/>
                <w:szCs w:val="20"/>
                <w:color w:val="auto"/>
              </w:rPr>
            </w:pPr>
            <w:r>
              <w:rPr>
                <w:rFonts w:ascii="Calibri" w:cs="Calibri" w:eastAsia="Calibri" w:hAnsi="Calibri"/>
                <w:sz w:val="18"/>
                <w:szCs w:val="18"/>
                <w:color w:val="auto"/>
              </w:rPr>
              <w:t>3.9 %</w:t>
            </w:r>
          </w:p>
        </w:tc>
      </w:tr>
      <w:tr>
        <w:trPr>
          <w:trHeight w:val="243"/>
        </w:trPr>
        <w:tc>
          <w:tcPr>
            <w:tcW w:w="7480" w:type="dxa"/>
            <w:vAlign w:val="bottom"/>
            <w:gridSpan w:val="2"/>
          </w:tcPr>
          <w:p>
            <w:pPr>
              <w:ind w:left="20"/>
              <w:spacing w:after="0"/>
              <w:rPr>
                <w:sz w:val="20"/>
                <w:szCs w:val="20"/>
                <w:color w:val="auto"/>
              </w:rPr>
            </w:pPr>
            <w:r>
              <w:rPr>
                <w:rFonts w:ascii="Calibri" w:cs="Calibri" w:eastAsia="Calibri" w:hAnsi="Calibri"/>
                <w:sz w:val="18"/>
                <w:szCs w:val="18"/>
                <w:color w:val="auto"/>
              </w:rPr>
              <w:t>Expected dividend yield</w:t>
            </w:r>
          </w:p>
        </w:tc>
        <w:tc>
          <w:tcPr>
            <w:tcW w:w="100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0.0 %</w:t>
            </w:r>
          </w:p>
        </w:tc>
        <w:tc>
          <w:tcPr>
            <w:tcW w:w="2800" w:type="dxa"/>
            <w:vAlign w:val="bottom"/>
            <w:gridSpan w:val="2"/>
          </w:tcPr>
          <w:p>
            <w:pPr>
              <w:jc w:val="right"/>
              <w:spacing w:after="0"/>
              <w:rPr>
                <w:sz w:val="20"/>
                <w:szCs w:val="20"/>
                <w:color w:val="auto"/>
              </w:rPr>
            </w:pPr>
            <w:r>
              <w:rPr>
                <w:rFonts w:ascii="Calibri" w:cs="Calibri" w:eastAsia="Calibri" w:hAnsi="Calibri"/>
                <w:sz w:val="18"/>
                <w:szCs w:val="18"/>
                <w:color w:val="auto"/>
              </w:rPr>
              <w:t>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-593090</wp:posOffset>
            </wp:positionV>
            <wp:extent cx="713232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3"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For the three and six months ended June 30, 2024, the fair value of the Hoya Intermediate Warrants decreased by $1.3 million and $1.8 million, respectvely. For three and six months ended June 30, 2023, the fair value of both the Hoya Intermediate Warrants and the Opton Contngent Warrants increased by $1.0 million and $0.7 million, respectvely. The change in fair value of the Hoya Intermediate Warrants and the Opton Contngent Warrants is presented in Other expense on the Condensed Consolidated Statements of Operatons.</w:t>
      </w:r>
    </w:p>
    <w:p>
      <w:pPr>
        <w:spacing w:after="0" w:line="111"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Upon the valid exercise of a Hoya Intermediate Warrant for Intermediate Units, we will issue an equivalent number of shares of our Class B common stock to Hoya Topco.</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Mirror Warrants</w:t>
      </w:r>
    </w:p>
    <w:p>
      <w:pPr>
        <w:spacing w:after="0" w:line="109"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Hoya Intermediate issued to us warrants to purchase 17,000,000 of its common units (“Intermediate Units”) at an exercise price of $10.00 per unit (the “$10 Mirror Warrants”), warrants to purchase 17,000,000 Intermediate Units at an exercise of $15.00 per unit (the “$15 Mirror Warrants”), and warrants to purchase 24,652,557 Intermediate Units at an exercise price of $11.50 per unit (the “$11.50 Mirror Warrants” and, together with the $10 Mirror Warrants and the $15 Mirror Warrants, the “Mirror Warrants”). Upon the valid exercise of a Public, Private or Exercise Warrant, Hoya Intermediate will issue to us an equivalent number of Intermediate Units. Similarly, if a Public, Private or Exercise Warrant is tendered, an equivalent number of Mirror Warrants will be tendered. As of June 30, 2024, there were 47,286,644 Mirror Warrants outstanding (comprised of 17,000,000 $10 Mirror Warrants, 17,000,000 $15 Mirror Warrants and 13,286,644 $11.50 Mirror Warrants).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14. Equity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Share Repurchase Programs</w:t>
      </w:r>
    </w:p>
    <w:p>
      <w:pPr>
        <w:spacing w:after="0" w:line="109"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On February 29, 2024, our Board of Directors (our “Board”) authorized a share repurchase program for up to $100.0 million of our Class A common stock, which program was publicly announced on March 5, 2024 and does not have a fxed expiraton date (the “2024 Repurchase Program”). As of June 30, 2024, we had repurchased approximately 3.5 million shares of our Class A Common Stock for approximately $20.0 million under the 2024 Repurchase Program and paid less than $0.1 million in commissions. As of June 30, 2024, approximately $80.0 million remained available for future repurchases under the 2024 Repurchase Program.</w:t>
      </w:r>
    </w:p>
    <w:p>
      <w:pPr>
        <w:spacing w:after="0" w:line="112"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On May 25, 2022, our Board authorized a share repurchase program for up to $40.0 million of our Class A common stock, which program was publicly announced on May 26, 2022 (the “2022 Repurchase Program”). The 2022 Repurchase Program’s authorizaton was fully utlized during 2022 and the three months ended March 31, 2023.</w:t>
      </w: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60" w:right="299" w:bottom="1440" w:gutter="0" w:footer="0" w:header="0"/>
        </w:sectPr>
      </w:pPr>
    </w:p>
    <w:bookmarkStart w:id="20" w:name="page21"/>
    <w:bookmarkEnd w:id="2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Cumulatvely under the 2022 Repurchase Program, we repurchased 5.3 million shares of our Class A common stock for $40.0 million and paid $0.1 million in commissions.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Share repurchases are accounted for as Treasury stock in the Condensed Consolidated Balance Sheets.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Accumulated Other Comprehensive Income (Loss)</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following table presents the changes in each component of Accumulated other comprehensive income (loss) atributable to Class A Common Stockholders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ind w:right="330"/>
              <w:spacing w:after="0"/>
              <w:rPr>
                <w:sz w:val="20"/>
                <w:szCs w:val="20"/>
                <w:color w:val="auto"/>
              </w:rPr>
            </w:pPr>
            <w:r>
              <w:rPr>
                <w:rFonts w:ascii="Calibri" w:cs="Calibri" w:eastAsia="Calibri" w:hAnsi="Calibri"/>
                <w:sz w:val="18"/>
                <w:szCs w:val="18"/>
                <w:b w:val="1"/>
                <w:bCs w:val="1"/>
                <w:color w:val="auto"/>
              </w:rPr>
              <w:t>Unrealized gain on</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gridSpan w:val="2"/>
          </w:tcPr>
          <w:p>
            <w:pPr>
              <w:jc w:val="right"/>
              <w:ind w:right="1120"/>
              <w:spacing w:after="0"/>
              <w:rPr>
                <w:sz w:val="20"/>
                <w:szCs w:val="20"/>
                <w:color w:val="auto"/>
              </w:rPr>
            </w:pPr>
            <w:r>
              <w:rPr>
                <w:rFonts w:ascii="Calibri" w:cs="Calibri" w:eastAsia="Calibri" w:hAnsi="Calibri"/>
                <w:sz w:val="18"/>
                <w:szCs w:val="18"/>
                <w:b w:val="1"/>
                <w:bCs w:val="1"/>
                <w:color w:val="auto"/>
              </w:rPr>
              <w:t>Foreign currency</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right"/>
              <w:ind w:right="570"/>
              <w:spacing w:after="0" w:line="216" w:lineRule="exact"/>
              <w:rPr>
                <w:sz w:val="20"/>
                <w:szCs w:val="20"/>
                <w:color w:val="auto"/>
              </w:rPr>
            </w:pPr>
            <w:r>
              <w:rPr>
                <w:rFonts w:ascii="Calibri" w:cs="Calibri" w:eastAsia="Calibri" w:hAnsi="Calibri"/>
                <w:sz w:val="18"/>
                <w:szCs w:val="18"/>
                <w:b w:val="1"/>
                <w:bCs w:val="1"/>
                <w:color w:val="auto"/>
              </w:rPr>
              <w:t>investments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2"/>
          </w:tcPr>
          <w:p>
            <w:pPr>
              <w:jc w:val="right"/>
              <w:ind w:right="900"/>
              <w:spacing w:after="0" w:line="216" w:lineRule="exact"/>
              <w:rPr>
                <w:sz w:val="20"/>
                <w:szCs w:val="20"/>
                <w:color w:val="auto"/>
              </w:rPr>
            </w:pPr>
            <w:r>
              <w:rPr>
                <w:rFonts w:ascii="Calibri" w:cs="Calibri" w:eastAsia="Calibri" w:hAnsi="Calibri"/>
                <w:sz w:val="18"/>
                <w:szCs w:val="18"/>
                <w:b w:val="1"/>
                <w:bCs w:val="1"/>
                <w:color w:val="auto"/>
              </w:rPr>
              <w:t>translaton adjustment</w:t>
            </w:r>
          </w:p>
        </w:tc>
        <w:tc>
          <w:tcPr>
            <w:tcW w:w="260" w:type="dxa"/>
            <w:vAlign w:val="bottom"/>
          </w:tcPr>
          <w:p>
            <w:pPr>
              <w:spacing w:after="0"/>
              <w:rPr>
                <w:sz w:val="18"/>
                <w:szCs w:val="18"/>
                <w:color w:val="auto"/>
              </w:rPr>
            </w:pPr>
          </w:p>
        </w:tc>
        <w:tc>
          <w:tcPr>
            <w:tcW w:w="1000" w:type="dxa"/>
            <w:vAlign w:val="bottom"/>
            <w:gridSpan w:val="2"/>
          </w:tcPr>
          <w:p>
            <w:pPr>
              <w:jc w:val="right"/>
              <w:ind w:right="500"/>
              <w:spacing w:after="0" w:line="216" w:lineRule="exact"/>
              <w:rPr>
                <w:sz w:val="20"/>
                <w:szCs w:val="20"/>
                <w:color w:val="auto"/>
              </w:rPr>
            </w:pPr>
            <w:r>
              <w:rPr>
                <w:rFonts w:ascii="Calibri" w:cs="Calibri" w:eastAsia="Calibri" w:hAnsi="Calibri"/>
                <w:sz w:val="18"/>
                <w:szCs w:val="18"/>
                <w:b w:val="1"/>
                <w:bCs w:val="1"/>
                <w:color w:val="auto"/>
              </w:rPr>
              <w:t>Total</w:t>
            </w:r>
          </w:p>
        </w:tc>
      </w:tr>
      <w:tr>
        <w:trPr>
          <w:trHeight w:val="37"/>
        </w:trPr>
        <w:tc>
          <w:tcPr>
            <w:tcW w:w="42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42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Balance at January 1, 2024</w:t>
            </w:r>
          </w:p>
        </w:tc>
        <w:tc>
          <w:tcPr>
            <w:tcW w:w="280" w:type="dxa"/>
            <w:vAlign w:val="bottom"/>
            <w:tcBorders>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b w:val="1"/>
                <w:bCs w:val="1"/>
                <w:color w:val="auto"/>
              </w:rPr>
              <w:t>$</w:t>
            </w:r>
          </w:p>
        </w:tc>
        <w:tc>
          <w:tcPr>
            <w:tcW w:w="19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106</w:t>
            </w:r>
          </w:p>
        </w:tc>
        <w:tc>
          <w:tcPr>
            <w:tcW w:w="700" w:type="dxa"/>
            <w:vAlign w:val="bottom"/>
            <w:tcBorders>
              <w:bottom w:val="single" w:sz="8" w:color="CFF0FC"/>
            </w:tcBorders>
            <w:gridSpan w:val="2"/>
            <w:shd w:val="clear" w:color="auto" w:fill="CFF0FC"/>
          </w:tcPr>
          <w:p>
            <w:pPr>
              <w:jc w:val="right"/>
              <w:ind w:right="150"/>
              <w:spacing w:after="0" w:line="208" w:lineRule="exact"/>
              <w:rPr>
                <w:sz w:val="20"/>
                <w:szCs w:val="20"/>
                <w:color w:val="auto"/>
              </w:rPr>
            </w:pPr>
            <w:r>
              <w:rPr>
                <w:rFonts w:ascii="Calibri" w:cs="Calibri" w:eastAsia="Calibri" w:hAnsi="Calibri"/>
                <w:sz w:val="18"/>
                <w:szCs w:val="18"/>
                <w:b w:val="1"/>
                <w:bCs w:val="1"/>
                <w:color w:val="auto"/>
              </w:rPr>
              <w:t>$</w:t>
            </w:r>
          </w:p>
        </w:tc>
        <w:tc>
          <w:tcPr>
            <w:tcW w:w="24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641</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b w:val="1"/>
                <w:bCs w:val="1"/>
                <w:color w:val="auto"/>
                <w:w w:val="87"/>
              </w:rPr>
              <w:t>$</w:t>
            </w:r>
          </w:p>
        </w:tc>
        <w:tc>
          <w:tcPr>
            <w:tcW w:w="9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747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0"/>
        </w:trPr>
        <w:tc>
          <w:tcPr>
            <w:tcW w:w="4280" w:type="dxa"/>
            <w:vAlign w:val="bottom"/>
          </w:tcPr>
          <w:p>
            <w:pPr>
              <w:ind w:left="20"/>
              <w:spacing w:after="0"/>
              <w:rPr>
                <w:sz w:val="20"/>
                <w:szCs w:val="20"/>
                <w:color w:val="auto"/>
              </w:rPr>
            </w:pPr>
            <w:r>
              <w:rPr>
                <w:rFonts w:ascii="Calibri" w:cs="Calibri" w:eastAsia="Calibri" w:hAnsi="Calibri"/>
                <w:sz w:val="18"/>
                <w:szCs w:val="18"/>
                <w:color w:val="auto"/>
              </w:rPr>
              <w:t>Recognized in Other comprehensive loss</w:t>
            </w:r>
          </w:p>
        </w:tc>
        <w:tc>
          <w:tcPr>
            <w:tcW w:w="280" w:type="dxa"/>
            <w:vAlign w:val="bottom"/>
          </w:tcPr>
          <w:p>
            <w:pPr>
              <w:spacing w:after="0"/>
              <w:rPr>
                <w:sz w:val="19"/>
                <w:szCs w:val="19"/>
                <w:color w:val="auto"/>
              </w:rPr>
            </w:pPr>
          </w:p>
        </w:tc>
        <w:tc>
          <w:tcPr>
            <w:tcW w:w="1940" w:type="dxa"/>
            <w:vAlign w:val="bottom"/>
          </w:tcPr>
          <w:p>
            <w:pPr>
              <w:jc w:val="right"/>
              <w:spacing w:after="0" w:line="215" w:lineRule="exact"/>
              <w:rPr>
                <w:sz w:val="20"/>
                <w:szCs w:val="20"/>
                <w:color w:val="auto"/>
              </w:rPr>
            </w:pPr>
            <w:r>
              <w:rPr>
                <w:rFonts w:ascii="Calibri" w:cs="Calibri" w:eastAsia="Calibri" w:hAnsi="Calibri"/>
                <w:sz w:val="18"/>
                <w:szCs w:val="18"/>
                <w:color w:val="auto"/>
              </w:rPr>
              <w:t>27</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(1,990 )</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(1,963 )</w:t>
            </w:r>
          </w:p>
        </w:tc>
      </w:tr>
      <w:tr>
        <w:trPr>
          <w:trHeight w:val="23"/>
        </w:trPr>
        <w:tc>
          <w:tcPr>
            <w:tcW w:w="4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4280" w:type="dxa"/>
            <w:vAlign w:val="bottom"/>
            <w:shd w:val="clear" w:color="auto" w:fill="CFF0FC"/>
          </w:tcPr>
          <w:p>
            <w:pPr>
              <w:ind w:left="20"/>
              <w:spacing w:after="0"/>
              <w:rPr>
                <w:sz w:val="20"/>
                <w:szCs w:val="20"/>
                <w:color w:val="auto"/>
              </w:rPr>
            </w:pPr>
            <w:r>
              <w:rPr>
                <w:rFonts w:ascii="Calibri" w:cs="Calibri" w:eastAsia="Calibri" w:hAnsi="Calibri"/>
                <w:sz w:val="18"/>
                <w:szCs w:val="18"/>
                <w:b w:val="1"/>
                <w:bCs w:val="1"/>
                <w:color w:val="auto"/>
              </w:rPr>
              <w:t>Balance at June 30, 2024</w:t>
            </w:r>
          </w:p>
        </w:tc>
        <w:tc>
          <w:tcPr>
            <w:tcW w:w="280" w:type="dxa"/>
            <w:vAlign w:val="bottom"/>
            <w:shd w:val="clear" w:color="auto" w:fill="CFF0FC"/>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19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133</w:t>
            </w:r>
          </w:p>
        </w:tc>
        <w:tc>
          <w:tcPr>
            <w:tcW w:w="3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line="215" w:lineRule="exact"/>
              <w:rPr>
                <w:sz w:val="20"/>
                <w:szCs w:val="20"/>
                <w:color w:val="auto"/>
              </w:rPr>
            </w:pPr>
            <w:r>
              <w:rPr>
                <w:rFonts w:ascii="Calibri" w:cs="Calibri" w:eastAsia="Calibri" w:hAnsi="Calibri"/>
                <w:sz w:val="18"/>
                <w:szCs w:val="18"/>
                <w:b w:val="1"/>
                <w:bCs w:val="1"/>
                <w:color w:val="auto"/>
                <w:w w:val="87"/>
              </w:rPr>
              <w:t>$</w:t>
            </w:r>
          </w:p>
        </w:tc>
        <w:tc>
          <w:tcPr>
            <w:tcW w:w="2780" w:type="dxa"/>
            <w:vAlign w:val="bottom"/>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b w:val="1"/>
                <w:bCs w:val="1"/>
                <w:color w:val="auto"/>
              </w:rPr>
              <w:t>(1,349 )</w:t>
            </w:r>
          </w:p>
        </w:tc>
        <w:tc>
          <w:tcPr>
            <w:tcW w:w="260" w:type="dxa"/>
            <w:vAlign w:val="bottom"/>
            <w:shd w:val="clear" w:color="auto" w:fill="CFF0FC"/>
          </w:tcPr>
          <w:p>
            <w:pPr>
              <w:jc w:val="right"/>
              <w:ind w:right="70"/>
              <w:spacing w:after="0" w:line="215" w:lineRule="exact"/>
              <w:rPr>
                <w:sz w:val="20"/>
                <w:szCs w:val="20"/>
                <w:color w:val="auto"/>
              </w:rPr>
            </w:pPr>
            <w:r>
              <w:rPr>
                <w:rFonts w:ascii="Calibri" w:cs="Calibri" w:eastAsia="Calibri" w:hAnsi="Calibri"/>
                <w:sz w:val="18"/>
                <w:szCs w:val="18"/>
                <w:b w:val="1"/>
                <w:bCs w:val="1"/>
                <w:color w:val="auto"/>
                <w:w w:val="87"/>
              </w:rPr>
              <w:t>$</w:t>
            </w:r>
          </w:p>
        </w:tc>
        <w:tc>
          <w:tcPr>
            <w:tcW w:w="100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b w:val="1"/>
                <w:bCs w:val="1"/>
                <w:color w:val="auto"/>
              </w:rPr>
              <w:t>(1,216 )</w:t>
            </w: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9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-25400</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15. Commitments and Contingencies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Litgaton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From tme to tme, we are involved in various claims and legal actons arising in the ordinary course of business, none of which, in the opinion of management, could have a material efect on our business, fnancial positon or results of operatons other than those maters discussed herein.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were a co-defendant in a class acton lawsuit in Canada alleging a failure to disclose service fees prior to checkout. A fnal order approving the setlement of this lawsuit was entered by the court in August 2020. In January 2022, we issued coupons to certain members of the class. Other members of the class were notfed in 2022 that they are eligible to submit a claim for a coupon. As of June 30, 2024 and December 31, 2023, a liability of $0.9 million was recorded in Accrued expenses and other current liabilites in the Condensed Consolidated Balance Sheets related to expected claim submissions and credit redemptons as of the measurement date.</w:t>
      </w:r>
    </w:p>
    <w:p>
      <w:pPr>
        <w:spacing w:after="0" w:line="11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We have been a defendant in multple class acton lawsuits related to customer compensaton for cancellatons, primarily as a result of COVID-19 restrictons. A fnal order approving the setlement of one such lawsuit was entered by the court in November 2021, pursuant to which we paid $4.5 million (afer insurance) to fund a claims setlement pool in 2021 that was fully disbursed in 2022. A fnal order approving the setlement of another such lawsuit was entered by the court on January 31, 2023, pursuant to which we paid $3.3 million (afer insurance) to cover legal and administratve fees and approved claims (payments for which were made in August 2023). We had no accrued liability as of June 30, 2024 and December 31, 2023 related to these maters.</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a defendant in a lawsuit related to an alleged violaton of the Illinois Biometric Informaton Privacy Act. In June 2024, we reached an agreement to setle this lawsuit for $0.3 million, subject to court approval, which we expect to be covered in full by insurance. We had no accrued liability as of June 30, 2024 and December 31, 2023 related to this mater.</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Other</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2018, the U.S. Supreme Court issued its decision in South Dakota v. Wayfair Inc., which overturned previous case law that had precluded state and local governments from imposing sales tax collecton requirements on retailers without a physical presence. In response, most jurisdictons have adopted laws that atempt to impose tax collecton obligatons on out-of-state companies, and we have registered and begun collectng tax where required by statute. It is reasonably possible that state or local governments will contnue to adopt or interpret laws such that we are required to calculate, collect and remit taxes on sales in their jurisdictons. A successful asserton by one or more jurisdictons could result in material tax liabilites, including uncollected taxes on past sales, as well as penaltes and interest. Based on our analysis of certain state and local regulatons, specifcally related to marketplace facilitators and tcket sales, we have recorded liabilites in all jurisdictons where we believe a risk of loss is probable. We contnuously monitor state and local regulatons and will implement required collecton and remitance procedures if and when we are subject to such regulatons.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June 30, 2024 and December 31, 2023, we recorded a liability of $2.3 million and $3.2 million, respectvely, related to uncollected state and local taxes in the U.S. This liability is recorded in Accrued expenses and other current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1" w:name="page22"/>
    <w:bookmarkEnd w:id="2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liabilites in the Condensed Consolidated Balance Sheets. This liability is inclusive of jurisdictons where we believe it is probable we should remit but have not yet begun collectng from customers, and is reduced by abatements received. The net expense related to uncollected state and local taxes in the U.S. recorded in General and administratve expenses in the Condensed Consolidated Statements of Operatons during the three and six months ended June 30, 2024 was $2.3 million, and $(0.4) million, respectvely.</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16. Related-Party Transactions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Viral Naton Inc.</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Viral Naton Inc. (“Viral Naton”) is a marketng agency that creates viral and social media infuencer campaigns and provides advertsing, marketng and technology services. Todd Boehly, a member of our Board, serves on the board of directors of Viral Naton and is the Co-Founder, Chairman and CEO of Eldridge Industries, LLC (“Eldridge”), which owns greater than 10% of Viral Naton. For Viral Naton’s services, we incurred an expense of zero and $0.3 million during the three and six months ended June 30, 2024 and less than $0.1 million during the three and six months ended June 30, 2023, respectvely, which is presented in Marketng and selling expenses on the Condensed Consolidated Statements of Operatons.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Rolling Stone, LLC</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Rolling Stone, LLC (“Rolling Stone”) is a high-profle magazine and media platorm focused on music, flm, television and news coverage. Todd Boehly, a member of our Board, is the Co-Founder, Chairman and CEO of Eldridge, which owns greater than 10% of Rolling Stone. In connecton with a partnership with Rolling Stone, we incurred zero expense for the three and six months ended June 30, 2024 and an expense of $0.3 million and $0.6 million for the three and six months ended June 30, 2023, respectvely, which is presented in Marketng and selling expenses on the Condensed Consolidated Statements of Operatons.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Los Angeles Dodgers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Los Angeles Dodgers (the “Dodgers”) is a Major League Baseball team based in Los Angeles, California. Todd Boehly, a member of our Board, owns greater than 10% of the Dodgers. As part of our strategic partnership with the Dodgers, including our designaton as an Ofcial Ticket Marketplace of the Dodgers and certain other advertsing, marketng, promotonal and sponsorship benefts, we incurred an expense of $1.1 million for the three and six months ended June 30, 2024 and zero expense for the three and six months ended June 30, 2023, respectvely, which is presented in Marketng and selling expenses on the Condensed Consolidated Statements of Operatons. Additonally, we recorded a prepaid expense of $0.9 million as of June 30, 2024, which is presented in Prepaid expenses and other current assets on the Condensed Consolidated Balance Sheets.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Tax Receivable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connecton with the Merger Transacton, we entered into a Tax Receivable Agreement (the “TRA”) with the existng Hoya Intermediate shareholders. For more informaton, see “Tax Receivable Agreement” in Note 17, </w:t>
      </w:r>
      <w:r>
        <w:rPr>
          <w:rFonts w:ascii="Calibri" w:cs="Calibri" w:eastAsia="Calibri" w:hAnsi="Calibri"/>
          <w:sz w:val="18"/>
          <w:szCs w:val="18"/>
          <w:i w:val="1"/>
          <w:iCs w:val="1"/>
          <w:color w:val="auto"/>
        </w:rPr>
        <w:t>Income Taxes</w:t>
      </w:r>
      <w:r>
        <w:rPr>
          <w:rFonts w:ascii="Calibri" w:cs="Calibri" w:eastAsia="Calibri" w:hAnsi="Calibri"/>
          <w:sz w:val="18"/>
          <w:szCs w:val="18"/>
          <w:color w:val="auto"/>
        </w:rPr>
        <w: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17. Income Taxes</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For the three and six months ended June 30, 2024, we recorded a $0.6 million and $2.9 million income tax expense in contnuing operatons, respectvely. Our efectve income tax rate difered from the 21% U.S. federal statutory rate due to a non-controlling interest adjustment for VSI’s allocable share of Hoya Intermediate’s income (loss), state taxes, equity-based compensaton and limitatons on compensaton deductons. For the three and six months ended June 30, 2023, we recorded a $24.5 million and $24.2 million income tax beneft in contnuing operatons, respectvely. Our efectve income tax rate difered from the 21% U.S. federal statutory rate primarily due to the release of our valuaton allowance on our U.S. net operatng losses, interest limitatons and tax credit carryforwards, of which $25.3 million was recorded as a discrete tax beneft during the three and six months ended June 30, 2023.</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2" w:name="page23"/>
    <w:bookmarkEnd w:id="22"/>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June 30, 2024 and December 31, 2023, our deferred tax assets were primarily the result of our investment in partnership, tax receivable agreement, net operatng losses, interest limitatons and tax credit carryforwards. As of each reportng date, management considers new evidence, both positve and negatve, that could afect its view of the future realizaton of deferred tax assets. During the three and six months ended June 30, 2023, we released our valuaton allowance on our U.S. net operatng losses, interest limitatons and tax credit carryforwards. Certain tax atributes remain subject to an annual limitaton under Secton 382 of the Internal Revenue Code of 1986 as a result of the historical acquisitons. We maintain a partal valuaton allowance on our investments in partnership related to the porton of the basis diference that we do not expect to realize on a more likely than not basis.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Tax Receivable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Merger Transacton, we entered into the TRA with the existng Hoya Intermediate shareholders that provides for our payment to such shareholders of 85% of the amount of the tax savings, if any, that we realize (or, under certain circumstances, are deemed to realize) as a result of, or atributable to, (i) increases in the tax basis of assets owned directly or indirectly by Hoya Intermediate or its subsidiaries from, among other things, any redemptons or exchanges of Intermediate Units, (ii) existng tax basis (including depreciaton and amortzaton deductons arising from such tax basis) in long-lived assets owned directly or indirectly by Hoya Intermediate and its subsidiaries and (iii) certain other tax benefts (including deductons in respect of imputed interest) related to us making payments under the TRA.</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Amounts payable under the TRA are contngent upon the generaton of future taxable income over the term of the TRA and future changes in tax laws. If we do not generate sufcient taxable income in the aggregate over the term of the TRA to utlize the tax benefts, then we would not be required to make the related payments. As of June 30, 2024, we estmate that the tax savings associated with all tax atributes described above would require us to pay $165.7 million, primarily over the next 15 years. As of June 30, 2024, $3.5 million is due within the next 12 months.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18. EQUITY-BASED COMPENSATION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2021 Incentve Award Plan, as amended (the “2021 Plan”), was approved and adopted in order to facilitate the grant of equity incentve awards to our employees, non-employee directors and consultants. The 2021 Plan became efectve on October 18, 2021 upon consummaton of the Merger Transacton, and the First Amendment to the 2021 Plan became efectve on February 5, 2024.</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Restricted Stock Units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Restricted stock units (“RSUs”) are awards denominated in a hypothetcal equivalent number of shares of our Class A common stock. The value of each RSU is equal to the fair value of our Class A common stock on the grant date. Each RSU converts into shares of our Class A Common stock upon vestng.</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six months ended June 30, 2024 and 2023, we granted 10.7 million and 2.5 million RSUs, respectvely, to certain employees at a weighted average grant date fair value of $5.35 per share and $7.17 per share, respectvely. RSUs granted to employees vest over three years, with one-third vestng on the one-year anniversary of the grant date and the remaining porton vestng on a quarterly basis thereafer, subject to the employee’s contnued employment through the applicable vestng date.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six months ended June 30, 2024 and 2023, we granted 0.3 million and 0.1 million RSUs, respectvely, to our directors at a weighted average grant date fair value of $5.24 per share and $7.68 per share, respectvely. RSUs granted to directors fully vest on the earlier of (i) one day prior to the date of our frst annual meetng of stockholders following the grant date and (ii) the one-year anniversary of the grant date, subject to the director’s contnued service on our Board.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six months ended June 30, 2023, we granted less than 0.1 million RSUs to certain of our consultants at a weighted average grant date fair value of $7.98 per share. RSUs granted to consultants vest in equal annual installments over three years, subject to the consultant’s contnued service through the applicable vestng date. We did not grant any RSUs to our consultants during the six months ended June 30, 2024.</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3" w:name="page24"/>
    <w:bookmarkEnd w:id="23"/>
    <w:p>
      <w:pPr>
        <w:jc w:val="center"/>
        <w:ind w:right="40"/>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960" w:type="dxa"/>
            <w:vAlign w:val="bottom"/>
            <w:gridSpan w:val="3"/>
          </w:tcPr>
          <w:p>
            <w:pPr>
              <w:spacing w:after="0"/>
              <w:rPr>
                <w:sz w:val="20"/>
                <w:szCs w:val="20"/>
                <w:color w:val="auto"/>
              </w:rPr>
            </w:pPr>
            <w:r>
              <w:rPr>
                <w:rFonts w:ascii="Calibri" w:cs="Calibri" w:eastAsia="Calibri" w:hAnsi="Calibri"/>
                <w:sz w:val="18"/>
                <w:szCs w:val="18"/>
                <w:color w:val="auto"/>
              </w:rPr>
              <w:t>A summary of the total actvity for RSUs is as follows (in thousands, except per share data):</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8"/>
        </w:trPr>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2"/>
          </w:tcPr>
          <w:p>
            <w:pPr>
              <w:jc w:val="center"/>
              <w:ind w:right="280"/>
              <w:spacing w:after="0"/>
              <w:rPr>
                <w:sz w:val="20"/>
                <w:szCs w:val="20"/>
                <w:color w:val="auto"/>
              </w:rPr>
            </w:pPr>
            <w:r>
              <w:rPr>
                <w:rFonts w:ascii="Calibri" w:cs="Calibri" w:eastAsia="Calibri" w:hAnsi="Calibri"/>
                <w:sz w:val="18"/>
                <w:szCs w:val="18"/>
                <w:b w:val="1"/>
                <w:bCs w:val="1"/>
                <w:color w:val="auto"/>
                <w:w w:val="96"/>
              </w:rPr>
              <w:t>Weighted Average Grant Date Fair Value</w:t>
            </w:r>
          </w:p>
        </w:tc>
      </w:tr>
      <w:tr>
        <w:trPr>
          <w:trHeight w:val="216"/>
        </w:trPr>
        <w:tc>
          <w:tcPr>
            <w:tcW w:w="5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tcPr>
          <w:p>
            <w:pPr>
              <w:ind w:left="980"/>
              <w:spacing w:after="0" w:line="216" w:lineRule="exact"/>
              <w:rPr>
                <w:sz w:val="20"/>
                <w:szCs w:val="20"/>
                <w:color w:val="auto"/>
              </w:rPr>
            </w:pPr>
            <w:r>
              <w:rPr>
                <w:rFonts w:ascii="Calibri" w:cs="Calibri" w:eastAsia="Calibri" w:hAnsi="Calibri"/>
                <w:sz w:val="18"/>
                <w:szCs w:val="18"/>
                <w:b w:val="1"/>
                <w:bCs w:val="1"/>
                <w:color w:val="auto"/>
              </w:rPr>
              <w:t>Shares</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2"/>
          </w:tcPr>
          <w:p>
            <w:pPr>
              <w:jc w:val="center"/>
              <w:ind w:right="220"/>
              <w:spacing w:after="0" w:line="216" w:lineRule="exact"/>
              <w:rPr>
                <w:sz w:val="20"/>
                <w:szCs w:val="20"/>
                <w:color w:val="auto"/>
              </w:rPr>
            </w:pPr>
            <w:r>
              <w:rPr>
                <w:rFonts w:ascii="Calibri" w:cs="Calibri" w:eastAsia="Calibri" w:hAnsi="Calibri"/>
                <w:sz w:val="18"/>
                <w:szCs w:val="18"/>
                <w:b w:val="1"/>
                <w:bCs w:val="1"/>
                <w:color w:val="auto"/>
                <w:w w:val="97"/>
              </w:rPr>
              <w:t>Per Share</w:t>
            </w:r>
          </w:p>
        </w:tc>
      </w:tr>
      <w:tr>
        <w:trPr>
          <w:trHeight w:val="37"/>
        </w:trPr>
        <w:tc>
          <w:tcPr>
            <w:tcW w:w="5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6960" w:type="dxa"/>
            <w:vAlign w:val="bottom"/>
            <w:tcBorders>
              <w:bottom w:val="single" w:sz="8" w:color="CFF0FC"/>
            </w:tcBorders>
            <w:gridSpan w:val="3"/>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Unvested at December 31, 2023</w:t>
            </w:r>
          </w:p>
        </w:tc>
        <w:tc>
          <w:tcPr>
            <w:tcW w:w="74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3,866</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gridSpan w:val="2"/>
            <w:shd w:val="clear" w:color="auto" w:fill="CFF0FC"/>
          </w:tcPr>
          <w:p>
            <w:pPr>
              <w:jc w:val="right"/>
              <w:ind w:right="20"/>
              <w:spacing w:after="0" w:line="208" w:lineRule="exact"/>
              <w:rPr>
                <w:sz w:val="20"/>
                <w:szCs w:val="20"/>
                <w:color w:val="auto"/>
              </w:rPr>
            </w:pPr>
            <w:r>
              <w:rPr>
                <w:rFonts w:ascii="Calibri" w:cs="Calibri" w:eastAsia="Calibri" w:hAnsi="Calibri"/>
                <w:sz w:val="18"/>
                <w:szCs w:val="18"/>
                <w:b w:val="1"/>
                <w:bCs w:val="1"/>
                <w:color w:val="auto"/>
              </w:rPr>
              <w:t>$</w:t>
            </w:r>
          </w:p>
        </w:tc>
        <w:tc>
          <w:tcPr>
            <w:tcW w:w="3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8.35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960" w:type="dxa"/>
            <w:vAlign w:val="bottom"/>
            <w:gridSpan w:val="3"/>
          </w:tcPr>
          <w:p>
            <w:pPr>
              <w:ind w:left="120"/>
              <w:spacing w:after="0" w:line="215" w:lineRule="exact"/>
              <w:rPr>
                <w:sz w:val="20"/>
                <w:szCs w:val="20"/>
                <w:color w:val="auto"/>
              </w:rPr>
            </w:pPr>
            <w:r>
              <w:rPr>
                <w:rFonts w:ascii="Calibri" w:cs="Calibri" w:eastAsia="Calibri" w:hAnsi="Calibri"/>
                <w:sz w:val="18"/>
                <w:szCs w:val="18"/>
                <w:color w:val="auto"/>
              </w:rPr>
              <w:t>Granted</w:t>
            </w:r>
          </w:p>
        </w:tc>
        <w:tc>
          <w:tcPr>
            <w:tcW w:w="7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10,940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jc w:val="right"/>
              <w:spacing w:after="0" w:line="215" w:lineRule="exact"/>
              <w:rPr>
                <w:sz w:val="20"/>
                <w:szCs w:val="20"/>
                <w:color w:val="auto"/>
              </w:rPr>
            </w:pPr>
            <w:r>
              <w:rPr>
                <w:rFonts w:ascii="Calibri" w:cs="Calibri" w:eastAsia="Calibri" w:hAnsi="Calibri"/>
                <w:sz w:val="18"/>
                <w:szCs w:val="18"/>
                <w:color w:val="auto"/>
              </w:rPr>
              <w:t>5.34</w:t>
            </w:r>
          </w:p>
        </w:tc>
        <w:tc>
          <w:tcPr>
            <w:tcW w:w="100" w:type="dxa"/>
            <w:vAlign w:val="bottom"/>
          </w:tcPr>
          <w:p>
            <w:pPr>
              <w:spacing w:after="0"/>
              <w:rPr>
                <w:sz w:val="18"/>
                <w:szCs w:val="18"/>
                <w:color w:val="auto"/>
              </w:rPr>
            </w:pPr>
          </w:p>
        </w:tc>
      </w:tr>
      <w:tr>
        <w:trPr>
          <w:trHeight w:val="28"/>
        </w:trPr>
        <w:tc>
          <w:tcPr>
            <w:tcW w:w="5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60" w:type="dxa"/>
            <w:vAlign w:val="bottom"/>
            <w:tcBorders>
              <w:bottom w:val="single" w:sz="8" w:color="CFF0FC"/>
            </w:tcBorders>
            <w:gridSpan w:val="3"/>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Forfeited</w:t>
            </w:r>
          </w:p>
        </w:tc>
        <w:tc>
          <w:tcPr>
            <w:tcW w:w="920" w:type="dxa"/>
            <w:vAlign w:val="bottom"/>
            <w:tcBorders>
              <w:bottom w:val="single" w:sz="8" w:color="CFF0FC"/>
            </w:tcBorders>
            <w:gridSpan w:val="3"/>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(225 )</w:t>
            </w: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7.37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9"/>
        </w:trPr>
        <w:tc>
          <w:tcPr>
            <w:tcW w:w="6960" w:type="dxa"/>
            <w:vAlign w:val="bottom"/>
            <w:gridSpan w:val="3"/>
          </w:tcPr>
          <w:p>
            <w:pPr>
              <w:ind w:left="120"/>
              <w:spacing w:after="0" w:line="215" w:lineRule="exact"/>
              <w:rPr>
                <w:sz w:val="20"/>
                <w:szCs w:val="20"/>
                <w:color w:val="auto"/>
              </w:rPr>
            </w:pPr>
            <w:r>
              <w:rPr>
                <w:rFonts w:ascii="Calibri" w:cs="Calibri" w:eastAsia="Calibri" w:hAnsi="Calibri"/>
                <w:sz w:val="18"/>
                <w:szCs w:val="18"/>
                <w:color w:val="auto"/>
              </w:rPr>
              <w:t>Vested</w:t>
            </w:r>
          </w:p>
        </w:tc>
        <w:tc>
          <w:tcPr>
            <w:tcW w:w="920" w:type="dxa"/>
            <w:vAlign w:val="bottom"/>
            <w:gridSpan w:val="3"/>
          </w:tcPr>
          <w:p>
            <w:pPr>
              <w:jc w:val="right"/>
              <w:ind w:right="100"/>
              <w:spacing w:after="0" w:line="215" w:lineRule="exact"/>
              <w:rPr>
                <w:sz w:val="20"/>
                <w:szCs w:val="20"/>
                <w:color w:val="auto"/>
              </w:rPr>
            </w:pPr>
            <w:r>
              <w:rPr>
                <w:rFonts w:ascii="Calibri" w:cs="Calibri" w:eastAsia="Calibri" w:hAnsi="Calibri"/>
                <w:sz w:val="18"/>
                <w:szCs w:val="18"/>
                <w:color w:val="auto"/>
              </w:rPr>
              <w:t>(1,486 )</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Calibri" w:cs="Calibri" w:eastAsia="Calibri" w:hAnsi="Calibri"/>
                <w:sz w:val="18"/>
                <w:szCs w:val="18"/>
                <w:color w:val="auto"/>
              </w:rPr>
              <w:t>8.14</w:t>
            </w:r>
          </w:p>
        </w:tc>
        <w:tc>
          <w:tcPr>
            <w:tcW w:w="100" w:type="dxa"/>
            <w:vAlign w:val="bottom"/>
          </w:tcPr>
          <w:p>
            <w:pPr>
              <w:spacing w:after="0"/>
              <w:rPr>
                <w:sz w:val="19"/>
                <w:szCs w:val="19"/>
                <w:color w:val="auto"/>
              </w:rPr>
            </w:pPr>
          </w:p>
        </w:tc>
      </w:tr>
      <w:tr>
        <w:trPr>
          <w:trHeight w:val="23"/>
        </w:trPr>
        <w:tc>
          <w:tcPr>
            <w:tcW w:w="5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960" w:type="dxa"/>
            <w:vAlign w:val="bottom"/>
            <w:gridSpan w:val="3"/>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Unvested at June 30, 2024</w:t>
            </w:r>
          </w:p>
        </w:tc>
        <w:tc>
          <w:tcPr>
            <w:tcW w:w="74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13,095</w:t>
            </w:r>
          </w:p>
        </w:tc>
        <w:tc>
          <w:tcPr>
            <w:tcW w:w="180" w:type="dxa"/>
            <w:vAlign w:val="bottom"/>
            <w:shd w:val="clear" w:color="auto" w:fill="CFF0FC"/>
          </w:tcPr>
          <w:p>
            <w:pPr>
              <w:spacing w:after="0"/>
              <w:rPr>
                <w:sz w:val="24"/>
                <w:szCs w:val="24"/>
                <w:color w:val="auto"/>
              </w:rPr>
            </w:pPr>
          </w:p>
        </w:tc>
        <w:tc>
          <w:tcPr>
            <w:tcW w:w="160" w:type="dxa"/>
            <w:vAlign w:val="bottom"/>
            <w:gridSpan w:val="2"/>
            <w:shd w:val="clear" w:color="auto" w:fill="CFF0FC"/>
          </w:tcPr>
          <w:p>
            <w:pPr>
              <w:jc w:val="right"/>
              <w:ind w:right="20"/>
              <w:spacing w:after="0"/>
              <w:rPr>
                <w:sz w:val="20"/>
                <w:szCs w:val="20"/>
                <w:color w:val="auto"/>
              </w:rPr>
            </w:pPr>
            <w:r>
              <w:rPr>
                <w:rFonts w:ascii="Calibri" w:cs="Calibri" w:eastAsia="Calibri" w:hAnsi="Calibri"/>
                <w:sz w:val="18"/>
                <w:szCs w:val="18"/>
                <w:b w:val="1"/>
                <w:bCs w:val="1"/>
                <w:color w:val="auto"/>
              </w:rPr>
              <w:t>$</w:t>
            </w:r>
          </w:p>
        </w:tc>
        <w:tc>
          <w:tcPr>
            <w:tcW w:w="3100" w:type="dxa"/>
            <w:vAlign w:val="bottom"/>
            <w:shd w:val="clear" w:color="auto" w:fill="CFF0FC"/>
          </w:tcPr>
          <w:p>
            <w:pPr>
              <w:jc w:val="right"/>
              <w:spacing w:after="0"/>
              <w:rPr>
                <w:sz w:val="20"/>
                <w:szCs w:val="20"/>
                <w:color w:val="auto"/>
              </w:rPr>
            </w:pPr>
            <w:r>
              <w:rPr>
                <w:rFonts w:ascii="Calibri" w:cs="Calibri" w:eastAsia="Calibri" w:hAnsi="Calibri"/>
                <w:sz w:val="18"/>
                <w:szCs w:val="18"/>
                <w:b w:val="1"/>
                <w:bCs w:val="1"/>
                <w:color w:val="auto"/>
              </w:rPr>
              <w:t>5.88</w:t>
            </w:r>
          </w:p>
        </w:tc>
        <w:tc>
          <w:tcPr>
            <w:tcW w:w="100" w:type="dxa"/>
            <w:vAlign w:val="bottom"/>
            <w:shd w:val="clear" w:color="auto" w:fill="CFF0FC"/>
          </w:tcPr>
          <w:p>
            <w:pPr>
              <w:spacing w:after="0"/>
              <w:rPr>
                <w:sz w:val="24"/>
                <w:szCs w:val="24"/>
                <w:color w:val="auto"/>
              </w:rPr>
            </w:pPr>
          </w:p>
        </w:tc>
      </w:tr>
      <w:tr>
        <w:trPr>
          <w:trHeight w:val="403"/>
        </w:trPr>
        <w:tc>
          <w:tcPr>
            <w:tcW w:w="52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360" w:type="dxa"/>
            <w:vAlign w:val="bottom"/>
            <w:tcBorders>
              <w:top w:val="single" w:sz="8" w:color="CFF0FC"/>
            </w:tcBorders>
            <w:gridSpan w:val="4"/>
          </w:tcPr>
          <w:p>
            <w:pPr>
              <w:ind w:left="20"/>
              <w:spacing w:after="0"/>
              <w:rPr>
                <w:sz w:val="20"/>
                <w:szCs w:val="20"/>
                <w:color w:val="auto"/>
              </w:rPr>
            </w:pPr>
            <w:r>
              <w:rPr>
                <w:rFonts w:ascii="Calibri" w:cs="Calibri" w:eastAsia="Calibri" w:hAnsi="Calibri"/>
                <w:sz w:val="18"/>
                <w:szCs w:val="18"/>
                <w:b w:val="1"/>
                <w:bCs w:val="1"/>
                <w:color w:val="auto"/>
                <w:w w:val="99"/>
              </w:rPr>
              <w:t>Weighted Average Grant Date Fair Value Per</w:t>
            </w:r>
          </w:p>
        </w:tc>
      </w:tr>
      <w:tr>
        <w:trPr>
          <w:trHeight w:val="216"/>
        </w:trPr>
        <w:tc>
          <w:tcPr>
            <w:tcW w:w="5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tcPr>
          <w:p>
            <w:pPr>
              <w:ind w:left="940"/>
              <w:spacing w:after="0" w:line="216" w:lineRule="exact"/>
              <w:rPr>
                <w:sz w:val="20"/>
                <w:szCs w:val="20"/>
                <w:color w:val="auto"/>
              </w:rPr>
            </w:pPr>
            <w:r>
              <w:rPr>
                <w:rFonts w:ascii="Calibri" w:cs="Calibri" w:eastAsia="Calibri" w:hAnsi="Calibri"/>
                <w:sz w:val="18"/>
                <w:szCs w:val="18"/>
                <w:b w:val="1"/>
                <w:bCs w:val="1"/>
                <w:color w:val="auto"/>
              </w:rPr>
              <w:t>Shares</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2"/>
          </w:tcPr>
          <w:p>
            <w:pPr>
              <w:jc w:val="center"/>
              <w:ind w:right="260"/>
              <w:spacing w:after="0" w:line="216" w:lineRule="exact"/>
              <w:rPr>
                <w:sz w:val="20"/>
                <w:szCs w:val="20"/>
                <w:color w:val="auto"/>
              </w:rPr>
            </w:pPr>
            <w:r>
              <w:rPr>
                <w:rFonts w:ascii="Calibri" w:cs="Calibri" w:eastAsia="Calibri" w:hAnsi="Calibri"/>
                <w:sz w:val="18"/>
                <w:szCs w:val="18"/>
                <w:b w:val="1"/>
                <w:bCs w:val="1"/>
                <w:color w:val="auto"/>
                <w:w w:val="98"/>
              </w:rPr>
              <w:t>Share</w:t>
            </w:r>
          </w:p>
        </w:tc>
      </w:tr>
      <w:tr>
        <w:trPr>
          <w:trHeight w:val="37"/>
        </w:trPr>
        <w:tc>
          <w:tcPr>
            <w:tcW w:w="5200" w:type="dxa"/>
            <w:vAlign w:val="bottom"/>
          </w:tcPr>
          <w:p>
            <w:pPr>
              <w:spacing w:after="0"/>
              <w:rPr>
                <w:sz w:val="3"/>
                <w:szCs w:val="3"/>
                <w:color w:val="auto"/>
              </w:rPr>
            </w:pPr>
          </w:p>
        </w:tc>
        <w:tc>
          <w:tcPr>
            <w:tcW w:w="1760" w:type="dxa"/>
            <w:vAlign w:val="bottom"/>
            <w:tcBorders>
              <w:bottom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6960" w:type="dxa"/>
            <w:vAlign w:val="bottom"/>
            <w:tcBorders>
              <w:bottom w:val="single" w:sz="8" w:color="CFF0FC"/>
            </w:tcBorders>
            <w:gridSpan w:val="3"/>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Unvested at December 31, 2022</w:t>
            </w:r>
          </w:p>
        </w:tc>
        <w:tc>
          <w:tcPr>
            <w:tcW w:w="7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2,551</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gridSpan w:val="2"/>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w:t>
            </w:r>
          </w:p>
        </w:tc>
        <w:tc>
          <w:tcPr>
            <w:tcW w:w="3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10.99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960" w:type="dxa"/>
            <w:vAlign w:val="bottom"/>
            <w:gridSpan w:val="3"/>
          </w:tcPr>
          <w:p>
            <w:pPr>
              <w:ind w:left="120"/>
              <w:spacing w:after="0" w:line="215" w:lineRule="exact"/>
              <w:rPr>
                <w:sz w:val="20"/>
                <w:szCs w:val="20"/>
                <w:color w:val="auto"/>
              </w:rPr>
            </w:pPr>
            <w:r>
              <w:rPr>
                <w:rFonts w:ascii="Calibri" w:cs="Calibri" w:eastAsia="Calibri" w:hAnsi="Calibri"/>
                <w:sz w:val="18"/>
                <w:szCs w:val="18"/>
                <w:color w:val="auto"/>
              </w:rPr>
              <w:t>Granted</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2,685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jc w:val="right"/>
              <w:spacing w:after="0" w:line="215" w:lineRule="exact"/>
              <w:rPr>
                <w:sz w:val="20"/>
                <w:szCs w:val="20"/>
                <w:color w:val="auto"/>
              </w:rPr>
            </w:pPr>
            <w:r>
              <w:rPr>
                <w:rFonts w:ascii="Calibri" w:cs="Calibri" w:eastAsia="Calibri" w:hAnsi="Calibri"/>
                <w:sz w:val="18"/>
                <w:szCs w:val="18"/>
                <w:color w:val="auto"/>
              </w:rPr>
              <w:t>7.21</w:t>
            </w:r>
          </w:p>
        </w:tc>
        <w:tc>
          <w:tcPr>
            <w:tcW w:w="100" w:type="dxa"/>
            <w:vAlign w:val="bottom"/>
          </w:tcPr>
          <w:p>
            <w:pPr>
              <w:spacing w:after="0"/>
              <w:rPr>
                <w:sz w:val="18"/>
                <w:szCs w:val="18"/>
                <w:color w:val="auto"/>
              </w:rPr>
            </w:pPr>
          </w:p>
        </w:tc>
      </w:tr>
      <w:tr>
        <w:trPr>
          <w:trHeight w:val="28"/>
        </w:trPr>
        <w:tc>
          <w:tcPr>
            <w:tcW w:w="520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60" w:type="dxa"/>
            <w:vAlign w:val="bottom"/>
            <w:tcBorders>
              <w:bottom w:val="single" w:sz="8" w:color="CFF0FC"/>
            </w:tcBorders>
            <w:gridSpan w:val="3"/>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Forfeited</w:t>
            </w:r>
          </w:p>
        </w:tc>
        <w:tc>
          <w:tcPr>
            <w:tcW w:w="920" w:type="dxa"/>
            <w:vAlign w:val="bottom"/>
            <w:tcBorders>
              <w:bottom w:val="single" w:sz="8" w:color="CFF0FC"/>
            </w:tcBorders>
            <w:gridSpan w:val="3"/>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(138 )</w:t>
            </w: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9.02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960" w:type="dxa"/>
            <w:vAlign w:val="bottom"/>
            <w:gridSpan w:val="3"/>
          </w:tcPr>
          <w:p>
            <w:pPr>
              <w:ind w:left="120"/>
              <w:spacing w:after="0" w:line="215" w:lineRule="exact"/>
              <w:rPr>
                <w:sz w:val="20"/>
                <w:szCs w:val="20"/>
                <w:color w:val="auto"/>
              </w:rPr>
            </w:pPr>
            <w:r>
              <w:rPr>
                <w:rFonts w:ascii="Calibri" w:cs="Calibri" w:eastAsia="Calibri" w:hAnsi="Calibri"/>
                <w:sz w:val="18"/>
                <w:szCs w:val="18"/>
                <w:color w:val="auto"/>
              </w:rPr>
              <w:t>Vested</w:t>
            </w:r>
          </w:p>
        </w:tc>
        <w:tc>
          <w:tcPr>
            <w:tcW w:w="92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(801 )</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Calibri" w:cs="Calibri" w:eastAsia="Calibri" w:hAnsi="Calibri"/>
                <w:sz w:val="18"/>
                <w:szCs w:val="18"/>
                <w:color w:val="auto"/>
              </w:rPr>
              <w:t>7.65</w:t>
            </w:r>
          </w:p>
        </w:tc>
        <w:tc>
          <w:tcPr>
            <w:tcW w:w="100" w:type="dxa"/>
            <w:vAlign w:val="bottom"/>
          </w:tcPr>
          <w:p>
            <w:pPr>
              <w:spacing w:after="0"/>
              <w:rPr>
                <w:sz w:val="19"/>
                <w:szCs w:val="19"/>
                <w:color w:val="auto"/>
              </w:rPr>
            </w:pPr>
          </w:p>
        </w:tc>
      </w:tr>
      <w:tr>
        <w:trPr>
          <w:trHeight w:val="23"/>
        </w:trPr>
        <w:tc>
          <w:tcPr>
            <w:tcW w:w="520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52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Unvested at June 30, 2023</w:t>
            </w:r>
          </w:p>
        </w:tc>
        <w:tc>
          <w:tcPr>
            <w:tcW w:w="1760" w:type="dxa"/>
            <w:vAlign w:val="bottom"/>
            <w:tcBorders>
              <w:bottom w:val="single" w:sz="8" w:color="auto"/>
            </w:tcBorders>
            <w:gridSpan w:val="2"/>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4,297</w:t>
            </w:r>
          </w:p>
        </w:tc>
        <w:tc>
          <w:tcPr>
            <w:tcW w:w="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gridSpan w:val="2"/>
            <w:shd w:val="clear" w:color="auto" w:fill="CFF0FC"/>
          </w:tcPr>
          <w:p>
            <w:pPr>
              <w:ind w:left="20"/>
              <w:spacing w:after="0"/>
              <w:rPr>
                <w:sz w:val="20"/>
                <w:szCs w:val="20"/>
                <w:color w:val="auto"/>
              </w:rPr>
            </w:pPr>
            <w:r>
              <w:rPr>
                <w:rFonts w:ascii="Calibri" w:cs="Calibri" w:eastAsia="Calibri" w:hAnsi="Calibri"/>
                <w:sz w:val="18"/>
                <w:szCs w:val="18"/>
                <w:b w:val="1"/>
                <w:bCs w:val="1"/>
                <w:color w:val="auto"/>
              </w:rPr>
              <w:t>$</w:t>
            </w:r>
          </w:p>
        </w:tc>
        <w:tc>
          <w:tcPr>
            <w:tcW w:w="3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b w:val="1"/>
                <w:bCs w:val="1"/>
                <w:color w:val="auto"/>
              </w:rPr>
              <w:t>9.31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-1268095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-1250950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Stock Optons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Stock optons provide for the purchase of shares of our Class A common stock in the future at an exercise price set on the grant date.</w:t>
      </w:r>
    </w:p>
    <w:p>
      <w:pPr>
        <w:spacing w:after="0" w:line="109"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On March 10, 2023, we granted to certain of our employees 3.6 million stock optons with an exercise price of $7.17 per share and a grant date fair value of $3.30 per opton. Stock optons granted to our employees vest over three years, with one-third vestng on the frst anniversary of the grant date and the remaining porton vestng on a quarterly basis thereafer, subject to the employee’s contnued employment through the applicable vestng date. Stock optons granted to our employees have a contractual term of ten years from the grant date, and their fair value is estmated on the grant date using the Black-Scholes model.</w:t>
      </w:r>
    </w:p>
    <w:p>
      <w:pPr>
        <w:spacing w:after="0" w:line="112"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On June 14, 2023, we granted to certain of our consultants 0.9 million stock optons divided into three tranches of 0.2 million, 0.3 million and 0.4 million, respectvely, with exercise prices of $7.98, $17.00 and $23.00 per share, respectvely, and grant date fair values of $3.22, $1.87 and $1.44 per opton, respectvely. Stock optons granted to our consultants vest in equal annual installments over three years, subject to the consultant’s contnued service through the applicable vestng date. Stock optons granted to our consultants have a contractual term of seven years from the grant date, and their fair value is estmated on the grant date using the Hull White model.</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40" w:type="dxa"/>
            <w:vAlign w:val="bottom"/>
            <w:gridSpan w:val="2"/>
          </w:tcPr>
          <w:p>
            <w:pPr>
              <w:spacing w:after="0"/>
              <w:rPr>
                <w:sz w:val="20"/>
                <w:szCs w:val="20"/>
                <w:color w:val="auto"/>
              </w:rPr>
            </w:pPr>
            <w:r>
              <w:rPr>
                <w:rFonts w:ascii="Calibri" w:cs="Calibri" w:eastAsia="Calibri" w:hAnsi="Calibri"/>
                <w:sz w:val="18"/>
                <w:szCs w:val="18"/>
                <w:color w:val="auto"/>
              </w:rPr>
              <w:t>The following assumptons were used to calculate the fair value of the stock optons:</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8"/>
        </w:trPr>
        <w:tc>
          <w:tcPr>
            <w:tcW w:w="5340" w:type="dxa"/>
            <w:vAlign w:val="bottom"/>
          </w:tcPr>
          <w:p>
            <w:pPr>
              <w:spacing w:after="0"/>
              <w:rPr>
                <w:sz w:val="24"/>
                <w:szCs w:val="24"/>
                <w:color w:val="auto"/>
              </w:rPr>
            </w:pPr>
          </w:p>
        </w:tc>
        <w:tc>
          <w:tcPr>
            <w:tcW w:w="2100" w:type="dxa"/>
            <w:vAlign w:val="bottom"/>
          </w:tcPr>
          <w:p>
            <w:pPr>
              <w:ind w:left="840"/>
              <w:spacing w:after="0"/>
              <w:rPr>
                <w:sz w:val="20"/>
                <w:szCs w:val="20"/>
                <w:color w:val="auto"/>
              </w:rPr>
            </w:pPr>
            <w:r>
              <w:rPr>
                <w:rFonts w:ascii="Calibri" w:cs="Calibri" w:eastAsia="Calibri" w:hAnsi="Calibri"/>
                <w:sz w:val="18"/>
                <w:szCs w:val="18"/>
                <w:b w:val="1"/>
                <w:bCs w:val="1"/>
                <w:color w:val="auto"/>
              </w:rPr>
              <w:t>June 14, 2023</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3"/>
          </w:tcPr>
          <w:p>
            <w:pPr>
              <w:jc w:val="right"/>
              <w:ind w:right="1000"/>
              <w:spacing w:after="0"/>
              <w:rPr>
                <w:sz w:val="20"/>
                <w:szCs w:val="20"/>
                <w:color w:val="auto"/>
              </w:rPr>
            </w:pPr>
            <w:r>
              <w:rPr>
                <w:rFonts w:ascii="Calibri" w:cs="Calibri" w:eastAsia="Calibri" w:hAnsi="Calibri"/>
                <w:sz w:val="18"/>
                <w:szCs w:val="18"/>
                <w:b w:val="1"/>
                <w:bCs w:val="1"/>
                <w:color w:val="auto"/>
              </w:rPr>
              <w:t>March 10, 2023</w:t>
            </w:r>
          </w:p>
        </w:tc>
      </w:tr>
      <w:tr>
        <w:trPr>
          <w:trHeight w:val="37"/>
        </w:trPr>
        <w:tc>
          <w:tcPr>
            <w:tcW w:w="5340" w:type="dxa"/>
            <w:vAlign w:val="bottom"/>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140" w:type="dxa"/>
            <w:vAlign w:val="bottom"/>
            <w:gridSpan w:val="2"/>
          </w:tcPr>
          <w:p>
            <w:pPr>
              <w:spacing w:after="0"/>
              <w:rPr>
                <w:sz w:val="3"/>
                <w:szCs w:val="3"/>
                <w:color w:val="auto"/>
              </w:rPr>
            </w:pPr>
          </w:p>
        </w:tc>
      </w:tr>
      <w:tr>
        <w:trPr>
          <w:trHeight w:val="208"/>
        </w:trPr>
        <w:tc>
          <w:tcPr>
            <w:tcW w:w="7440" w:type="dxa"/>
            <w:vAlign w:val="bottom"/>
            <w:gridSpan w:val="2"/>
          </w:tcPr>
          <w:p>
            <w:pPr>
              <w:ind w:left="20"/>
              <w:spacing w:after="0" w:line="208" w:lineRule="exact"/>
              <w:rPr>
                <w:sz w:val="20"/>
                <w:szCs w:val="20"/>
                <w:color w:val="auto"/>
              </w:rPr>
            </w:pPr>
            <w:r>
              <w:rPr>
                <w:rFonts w:ascii="Calibri" w:cs="Calibri" w:eastAsia="Calibri" w:hAnsi="Calibri"/>
                <w:sz w:val="18"/>
                <w:szCs w:val="18"/>
                <w:color w:val="auto"/>
              </w:rPr>
              <w:t>Volatlity</w:t>
            </w:r>
          </w:p>
        </w:tc>
        <w:tc>
          <w:tcPr>
            <w:tcW w:w="860" w:type="dxa"/>
            <w:vAlign w:val="bottom"/>
            <w:gridSpan w:val="2"/>
          </w:tcPr>
          <w:p>
            <w:pPr>
              <w:jc w:val="right"/>
              <w:ind w:right="140"/>
              <w:spacing w:after="0" w:line="208" w:lineRule="exact"/>
              <w:rPr>
                <w:sz w:val="20"/>
                <w:szCs w:val="20"/>
                <w:color w:val="auto"/>
              </w:rPr>
            </w:pPr>
            <w:r>
              <w:rPr>
                <w:rFonts w:ascii="Calibri" w:cs="Calibri" w:eastAsia="Calibri" w:hAnsi="Calibri"/>
                <w:sz w:val="18"/>
                <w:szCs w:val="18"/>
                <w:color w:val="auto"/>
              </w:rPr>
              <w:t>42.0 %</w:t>
            </w:r>
          </w:p>
        </w:tc>
        <w:tc>
          <w:tcPr>
            <w:tcW w:w="2980" w:type="dxa"/>
            <w:vAlign w:val="bottom"/>
            <w:gridSpan w:val="3"/>
          </w:tcPr>
          <w:p>
            <w:pPr>
              <w:jc w:val="right"/>
              <w:spacing w:after="0" w:line="208" w:lineRule="exact"/>
              <w:rPr>
                <w:sz w:val="20"/>
                <w:szCs w:val="20"/>
                <w:color w:val="auto"/>
              </w:rPr>
            </w:pPr>
            <w:r>
              <w:rPr>
                <w:rFonts w:ascii="Calibri" w:cs="Calibri" w:eastAsia="Calibri" w:hAnsi="Calibri"/>
                <w:sz w:val="18"/>
                <w:szCs w:val="18"/>
                <w:color w:val="auto"/>
              </w:rPr>
              <w:t>42.0 %</w:t>
            </w:r>
          </w:p>
        </w:tc>
      </w:tr>
      <w:tr>
        <w:trPr>
          <w:trHeight w:val="234"/>
        </w:trPr>
        <w:tc>
          <w:tcPr>
            <w:tcW w:w="7440" w:type="dxa"/>
            <w:vAlign w:val="bottom"/>
            <w:gridSpan w:val="2"/>
          </w:tcPr>
          <w:p>
            <w:pPr>
              <w:ind w:left="20"/>
              <w:spacing w:after="0"/>
              <w:rPr>
                <w:sz w:val="20"/>
                <w:szCs w:val="20"/>
                <w:color w:val="auto"/>
              </w:rPr>
            </w:pPr>
            <w:r>
              <w:rPr>
                <w:rFonts w:ascii="Calibri" w:cs="Calibri" w:eastAsia="Calibri" w:hAnsi="Calibri"/>
                <w:sz w:val="18"/>
                <w:szCs w:val="18"/>
                <w:color w:val="auto"/>
              </w:rPr>
              <w:t>Expected term (years)</w:t>
            </w:r>
          </w:p>
        </w:tc>
        <w:tc>
          <w:tcPr>
            <w:tcW w:w="580" w:type="dxa"/>
            <w:vAlign w:val="bottom"/>
          </w:tcPr>
          <w:p>
            <w:pPr>
              <w:jc w:val="right"/>
              <w:spacing w:after="0"/>
              <w:rPr>
                <w:sz w:val="20"/>
                <w:szCs w:val="20"/>
                <w:color w:val="auto"/>
              </w:rPr>
            </w:pPr>
            <w:r>
              <w:rPr>
                <w:rFonts w:ascii="Calibri" w:cs="Calibri" w:eastAsia="Calibri" w:hAnsi="Calibri"/>
                <w:sz w:val="18"/>
                <w:szCs w:val="18"/>
                <w:color w:val="auto"/>
              </w:rPr>
              <w:t>7.0</w:t>
            </w:r>
          </w:p>
        </w:tc>
        <w:tc>
          <w:tcPr>
            <w:tcW w:w="28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Calibri" w:cs="Calibri" w:eastAsia="Calibri" w:hAnsi="Calibri"/>
                <w:sz w:val="18"/>
                <w:szCs w:val="18"/>
                <w:color w:val="auto"/>
              </w:rPr>
              <w:t>5.9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7440" w:type="dxa"/>
            <w:vAlign w:val="bottom"/>
            <w:gridSpan w:val="2"/>
          </w:tcPr>
          <w:p>
            <w:pPr>
              <w:ind w:left="20"/>
              <w:spacing w:after="0"/>
              <w:rPr>
                <w:sz w:val="20"/>
                <w:szCs w:val="20"/>
                <w:color w:val="auto"/>
              </w:rPr>
            </w:pPr>
            <w:r>
              <w:rPr>
                <w:rFonts w:ascii="Calibri" w:cs="Calibri" w:eastAsia="Calibri" w:hAnsi="Calibri"/>
                <w:sz w:val="18"/>
                <w:szCs w:val="18"/>
                <w:color w:val="auto"/>
              </w:rPr>
              <w:t>Risk-free rate</w:t>
            </w:r>
          </w:p>
        </w:tc>
        <w:tc>
          <w:tcPr>
            <w:tcW w:w="86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4.0 %</w:t>
            </w:r>
          </w:p>
        </w:tc>
        <w:tc>
          <w:tcPr>
            <w:tcW w:w="2980" w:type="dxa"/>
            <w:vAlign w:val="bottom"/>
            <w:gridSpan w:val="3"/>
          </w:tcPr>
          <w:p>
            <w:pPr>
              <w:jc w:val="right"/>
              <w:spacing w:after="0"/>
              <w:rPr>
                <w:sz w:val="20"/>
                <w:szCs w:val="20"/>
                <w:color w:val="auto"/>
              </w:rPr>
            </w:pPr>
            <w:r>
              <w:rPr>
                <w:rFonts w:ascii="Calibri" w:cs="Calibri" w:eastAsia="Calibri" w:hAnsi="Calibri"/>
                <w:sz w:val="18"/>
                <w:szCs w:val="18"/>
                <w:color w:val="auto"/>
              </w:rPr>
              <w:t>3.9 %</w:t>
            </w:r>
          </w:p>
        </w:tc>
      </w:tr>
      <w:tr>
        <w:trPr>
          <w:trHeight w:val="243"/>
        </w:trPr>
        <w:tc>
          <w:tcPr>
            <w:tcW w:w="7440" w:type="dxa"/>
            <w:vAlign w:val="bottom"/>
            <w:gridSpan w:val="2"/>
          </w:tcPr>
          <w:p>
            <w:pPr>
              <w:ind w:left="20"/>
              <w:spacing w:after="0"/>
              <w:rPr>
                <w:sz w:val="20"/>
                <w:szCs w:val="20"/>
                <w:color w:val="auto"/>
              </w:rPr>
            </w:pPr>
            <w:r>
              <w:rPr>
                <w:rFonts w:ascii="Calibri" w:cs="Calibri" w:eastAsia="Calibri" w:hAnsi="Calibri"/>
                <w:sz w:val="18"/>
                <w:szCs w:val="18"/>
                <w:color w:val="auto"/>
              </w:rPr>
              <w:t>Dividend yield</w:t>
            </w:r>
          </w:p>
        </w:tc>
        <w:tc>
          <w:tcPr>
            <w:tcW w:w="86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0.0 %</w:t>
            </w:r>
          </w:p>
        </w:tc>
        <w:tc>
          <w:tcPr>
            <w:tcW w:w="2980" w:type="dxa"/>
            <w:vAlign w:val="bottom"/>
            <w:gridSpan w:val="3"/>
          </w:tcPr>
          <w:p>
            <w:pPr>
              <w:jc w:val="right"/>
              <w:spacing w:after="0"/>
              <w:rPr>
                <w:sz w:val="20"/>
                <w:szCs w:val="20"/>
                <w:color w:val="auto"/>
              </w:rPr>
            </w:pPr>
            <w:r>
              <w:rPr>
                <w:rFonts w:ascii="Calibri" w:cs="Calibri" w:eastAsia="Calibri" w:hAnsi="Calibri"/>
                <w:sz w:val="18"/>
                <w:szCs w:val="18"/>
                <w:color w:val="auto"/>
              </w:rPr>
              <w:t>0.0 %</w:t>
            </w:r>
          </w:p>
        </w:tc>
      </w:tr>
      <w:tr>
        <w:trPr>
          <w:trHeight w:val="878"/>
        </w:trPr>
        <w:tc>
          <w:tcPr>
            <w:tcW w:w="7440" w:type="dxa"/>
            <w:vAlign w:val="bottom"/>
            <w:gridSpan w:val="2"/>
          </w:tcPr>
          <w:p>
            <w:pPr>
              <w:ind w:left="5540"/>
              <w:spacing w:after="0"/>
              <w:rPr>
                <w:sz w:val="20"/>
                <w:szCs w:val="20"/>
                <w:color w:val="auto"/>
              </w:rPr>
            </w:pPr>
            <w:r>
              <w:rPr>
                <w:rFonts w:ascii="Calibri" w:cs="Calibri" w:eastAsia="Calibri" w:hAnsi="Calibri"/>
                <w:sz w:val="18"/>
                <w:szCs w:val="18"/>
                <w:color w:val="auto"/>
              </w:rPr>
              <w:t>22</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73"/>
        </w:trPr>
        <w:tc>
          <w:tcPr>
            <w:tcW w:w="53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-1653540</wp:posOffset>
            </wp:positionV>
            <wp:extent cx="713232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760" w:right="299" w:bottom="1440" w:gutter="0" w:footer="0" w:header="0"/>
        </w:sectPr>
      </w:pPr>
    </w:p>
    <w:bookmarkStart w:id="24" w:name="page25"/>
    <w:bookmarkEnd w:id="2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60" w:type="dxa"/>
            <w:vAlign w:val="bottom"/>
            <w:gridSpan w:val="7"/>
          </w:tcPr>
          <w:p>
            <w:pPr>
              <w:spacing w:after="0"/>
              <w:rPr>
                <w:sz w:val="20"/>
                <w:szCs w:val="20"/>
                <w:color w:val="auto"/>
              </w:rPr>
            </w:pPr>
            <w:r>
              <w:rPr>
                <w:rFonts w:ascii="Calibri" w:cs="Calibri" w:eastAsia="Calibri" w:hAnsi="Calibri"/>
                <w:sz w:val="18"/>
                <w:szCs w:val="18"/>
                <w:color w:val="auto"/>
              </w:rPr>
              <w:t>A summary of actvity for stock optons is as follows (in thousands, except per opton data):</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8"/>
        </w:trPr>
        <w:tc>
          <w:tcPr>
            <w:tcW w:w="3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center"/>
              <w:ind w:right="220"/>
              <w:spacing w:after="0"/>
              <w:rPr>
                <w:sz w:val="20"/>
                <w:szCs w:val="20"/>
                <w:color w:val="auto"/>
              </w:rPr>
            </w:pPr>
            <w:r>
              <w:rPr>
                <w:rFonts w:ascii="Calibri" w:cs="Calibri" w:eastAsia="Calibri" w:hAnsi="Calibri"/>
                <w:sz w:val="18"/>
                <w:szCs w:val="18"/>
                <w:b w:val="1"/>
                <w:bCs w:val="1"/>
                <w:color w:val="auto"/>
                <w:w w:val="95"/>
              </w:rPr>
              <w:t>Weighted Average</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jc w:val="center"/>
              <w:ind w:left="10"/>
              <w:spacing w:after="0"/>
              <w:rPr>
                <w:sz w:val="20"/>
                <w:szCs w:val="20"/>
                <w:color w:val="auto"/>
              </w:rPr>
            </w:pPr>
            <w:r>
              <w:rPr>
                <w:rFonts w:ascii="Calibri" w:cs="Calibri" w:eastAsia="Calibri" w:hAnsi="Calibri"/>
                <w:sz w:val="18"/>
                <w:szCs w:val="18"/>
                <w:b w:val="1"/>
                <w:bCs w:val="1"/>
                <w:color w:val="auto"/>
                <w:w w:val="95"/>
              </w:rPr>
              <w:t>Weighted Average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20"/>
              <w:spacing w:after="0" w:line="216" w:lineRule="exact"/>
              <w:rPr>
                <w:sz w:val="20"/>
                <w:szCs w:val="20"/>
                <w:color w:val="auto"/>
              </w:rPr>
            </w:pPr>
            <w:r>
              <w:rPr>
                <w:rFonts w:ascii="Calibri" w:cs="Calibri" w:eastAsia="Calibri" w:hAnsi="Calibri"/>
                <w:sz w:val="18"/>
                <w:szCs w:val="18"/>
                <w:b w:val="1"/>
                <w:bCs w:val="1"/>
                <w:color w:val="auto"/>
                <w:w w:val="97"/>
              </w:rPr>
              <w:t>Exercise Price Per</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Remaining Contractual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Aggregate Intrinsic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820" w:type="dxa"/>
            <w:vAlign w:val="bottom"/>
            <w:gridSpan w:val="2"/>
          </w:tcPr>
          <w:p>
            <w:pPr>
              <w:jc w:val="right"/>
              <w:ind w:right="280"/>
              <w:spacing w:after="0" w:line="216" w:lineRule="exact"/>
              <w:rPr>
                <w:sz w:val="20"/>
                <w:szCs w:val="20"/>
                <w:color w:val="auto"/>
              </w:rPr>
            </w:pPr>
            <w:r>
              <w:rPr>
                <w:rFonts w:ascii="Calibri" w:cs="Calibri" w:eastAsia="Calibri" w:hAnsi="Calibri"/>
                <w:sz w:val="18"/>
                <w:szCs w:val="18"/>
                <w:b w:val="1"/>
                <w:bCs w:val="1"/>
                <w:color w:val="auto"/>
              </w:rPr>
              <w:t>Outstanding Optons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180"/>
              <w:spacing w:after="0" w:line="216" w:lineRule="exact"/>
              <w:rPr>
                <w:sz w:val="20"/>
                <w:szCs w:val="20"/>
                <w:color w:val="auto"/>
              </w:rPr>
            </w:pPr>
            <w:r>
              <w:rPr>
                <w:rFonts w:ascii="Calibri" w:cs="Calibri" w:eastAsia="Calibri" w:hAnsi="Calibri"/>
                <w:sz w:val="18"/>
                <w:szCs w:val="18"/>
                <w:b w:val="1"/>
                <w:bCs w:val="1"/>
                <w:color w:val="auto"/>
              </w:rPr>
              <w:t>Opton</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jc w:val="center"/>
              <w:ind w:left="50"/>
              <w:spacing w:after="0" w:line="216" w:lineRule="exact"/>
              <w:rPr>
                <w:sz w:val="20"/>
                <w:szCs w:val="20"/>
                <w:color w:val="auto"/>
              </w:rPr>
            </w:pPr>
            <w:r>
              <w:rPr>
                <w:rFonts w:ascii="Calibri" w:cs="Calibri" w:eastAsia="Calibri" w:hAnsi="Calibri"/>
                <w:sz w:val="18"/>
                <w:szCs w:val="18"/>
                <w:b w:val="1"/>
                <w:bCs w:val="1"/>
                <w:color w:val="auto"/>
                <w:w w:val="94"/>
              </w:rPr>
              <w:t>Life (in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370"/>
              <w:spacing w:after="0" w:line="216" w:lineRule="exact"/>
              <w:rPr>
                <w:sz w:val="20"/>
                <w:szCs w:val="20"/>
                <w:color w:val="auto"/>
              </w:rPr>
            </w:pPr>
            <w:r>
              <w:rPr>
                <w:rFonts w:ascii="Calibri" w:cs="Calibri" w:eastAsia="Calibri" w:hAnsi="Calibri"/>
                <w:sz w:val="18"/>
                <w:szCs w:val="18"/>
                <w:b w:val="1"/>
                <w:bCs w:val="1"/>
                <w:color w:val="auto"/>
              </w:rPr>
              <w:t>Value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
        </w:trPr>
        <w:tc>
          <w:tcPr>
            <w:tcW w:w="34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3400" w:type="dxa"/>
            <w:vAlign w:val="bottom"/>
            <w:tcBorders>
              <w:bottom w:val="single" w:sz="8" w:color="CFF0FC"/>
              <w:right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Outstanding at December 31, 2023</w:t>
            </w:r>
          </w:p>
        </w:tc>
        <w:tc>
          <w:tcPr>
            <w:tcW w:w="15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8,807</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gridSpan w:val="2"/>
            <w:shd w:val="clear" w:color="auto" w:fill="CFF0FC"/>
          </w:tcPr>
          <w:p>
            <w:pPr>
              <w:jc w:val="right"/>
              <w:ind w:right="80"/>
              <w:spacing w:after="0" w:line="208" w:lineRule="exact"/>
              <w:rPr>
                <w:sz w:val="20"/>
                <w:szCs w:val="20"/>
                <w:color w:val="auto"/>
              </w:rPr>
            </w:pPr>
            <w:r>
              <w:rPr>
                <w:rFonts w:ascii="Calibri" w:cs="Calibri" w:eastAsia="Calibri" w:hAnsi="Calibri"/>
                <w:sz w:val="18"/>
                <w:szCs w:val="18"/>
                <w:b w:val="1"/>
                <w:bCs w:val="1"/>
                <w:color w:val="auto"/>
                <w:w w:val="87"/>
              </w:rPr>
              <w:t>$</w:t>
            </w:r>
          </w:p>
        </w:tc>
        <w:tc>
          <w:tcPr>
            <w:tcW w:w="1660" w:type="dxa"/>
            <w:vAlign w:val="bottom"/>
            <w:tcBorders>
              <w:bottom w:val="single" w:sz="8" w:color="CFF0FC"/>
            </w:tcBorders>
            <w:gridSpan w:val="2"/>
            <w:shd w:val="clear" w:color="auto" w:fill="CFF0FC"/>
          </w:tcPr>
          <w:p>
            <w:pPr>
              <w:jc w:val="right"/>
              <w:ind w:right="20"/>
              <w:spacing w:after="0" w:line="208" w:lineRule="exact"/>
              <w:rPr>
                <w:sz w:val="20"/>
                <w:szCs w:val="20"/>
                <w:color w:val="auto"/>
              </w:rPr>
            </w:pPr>
            <w:r>
              <w:rPr>
                <w:rFonts w:ascii="Calibri" w:cs="Calibri" w:eastAsia="Calibri" w:hAnsi="Calibri"/>
                <w:sz w:val="18"/>
                <w:szCs w:val="18"/>
                <w:b w:val="1"/>
                <w:bCs w:val="1"/>
                <w:color w:val="auto"/>
              </w:rPr>
              <w:t>8.02</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shd w:val="clear" w:color="auto" w:fill="CFF0FC"/>
          </w:tcPr>
          <w:p>
            <w:pPr>
              <w:jc w:val="right"/>
              <w:ind w:right="1310"/>
              <w:spacing w:after="0" w:line="208" w:lineRule="exact"/>
              <w:rPr>
                <w:sz w:val="20"/>
                <w:szCs w:val="20"/>
                <w:color w:val="auto"/>
              </w:rPr>
            </w:pPr>
            <w:r>
              <w:rPr>
                <w:rFonts w:ascii="Calibri" w:cs="Calibri" w:eastAsia="Calibri" w:hAnsi="Calibri"/>
                <w:sz w:val="18"/>
                <w:szCs w:val="18"/>
                <w:b w:val="1"/>
                <w:bCs w:val="1"/>
                <w:color w:val="auto"/>
                <w:w w:val="87"/>
              </w:rPr>
              <w:t>$</w:t>
            </w:r>
          </w:p>
        </w:tc>
        <w:tc>
          <w:tcPr>
            <w:tcW w:w="280" w:type="dxa"/>
            <w:vAlign w:val="bottom"/>
            <w:tcBorders>
              <w:bottom w:val="single" w:sz="8" w:color="CFF0FC"/>
            </w:tcBorders>
            <w:gridSpan w:val="2"/>
            <w:shd w:val="clear" w:color="auto" w:fill="CFF0FC"/>
          </w:tcPr>
          <w:p>
            <w:pPr>
              <w:spacing w:after="0" w:line="208" w:lineRule="exact"/>
              <w:rPr>
                <w:sz w:val="20"/>
                <w:szCs w:val="20"/>
                <w:color w:val="auto"/>
              </w:rPr>
            </w:pPr>
            <w:r>
              <w:rPr>
                <w:rFonts w:ascii="Calibri" w:cs="Calibri" w:eastAsia="Calibri" w:hAnsi="Calibri"/>
                <w:sz w:val="18"/>
                <w:szCs w:val="18"/>
                <w:b w:val="1"/>
                <w:bCs w:val="1"/>
                <w:color w:val="auto"/>
              </w:rPr>
              <w:t>—</w:t>
            </w:r>
          </w:p>
        </w:tc>
      </w:tr>
      <w:tr>
        <w:trPr>
          <w:trHeight w:val="215"/>
        </w:trPr>
        <w:tc>
          <w:tcPr>
            <w:tcW w:w="3400" w:type="dxa"/>
            <w:vAlign w:val="bottom"/>
          </w:tcPr>
          <w:p>
            <w:pPr>
              <w:ind w:left="120"/>
              <w:spacing w:after="0" w:line="215" w:lineRule="exact"/>
              <w:rPr>
                <w:sz w:val="20"/>
                <w:szCs w:val="20"/>
                <w:color w:val="auto"/>
              </w:rPr>
            </w:pPr>
            <w:r>
              <w:rPr>
                <w:rFonts w:ascii="Calibri" w:cs="Calibri" w:eastAsia="Calibri" w:hAnsi="Calibri"/>
                <w:sz w:val="18"/>
                <w:szCs w:val="18"/>
                <w:color w:val="auto"/>
              </w:rPr>
              <w:t>Optons granted</w:t>
            </w:r>
          </w:p>
        </w:tc>
        <w:tc>
          <w:tcPr>
            <w:tcW w:w="182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3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400" w:type="dxa"/>
            <w:vAlign w:val="bottom"/>
            <w:tcBorders>
              <w:bottom w:val="single" w:sz="8" w:color="CFF0FC"/>
              <w:right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Optons exercised</w:t>
            </w:r>
          </w:p>
        </w:tc>
        <w:tc>
          <w:tcPr>
            <w:tcW w:w="182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3400" w:type="dxa"/>
            <w:vAlign w:val="bottom"/>
          </w:tcPr>
          <w:p>
            <w:pPr>
              <w:ind w:left="120"/>
              <w:spacing w:after="0" w:line="215" w:lineRule="exact"/>
              <w:rPr>
                <w:sz w:val="20"/>
                <w:szCs w:val="20"/>
                <w:color w:val="auto"/>
              </w:rPr>
            </w:pPr>
            <w:r>
              <w:rPr>
                <w:rFonts w:ascii="Calibri" w:cs="Calibri" w:eastAsia="Calibri" w:hAnsi="Calibri"/>
                <w:sz w:val="18"/>
                <w:szCs w:val="18"/>
                <w:color w:val="auto"/>
              </w:rPr>
              <w:t>Optons forfeited</w:t>
            </w:r>
          </w:p>
        </w:tc>
        <w:tc>
          <w:tcPr>
            <w:tcW w:w="18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(114 )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7.01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3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3400" w:type="dxa"/>
            <w:vAlign w:val="bottom"/>
            <w:tcBorders>
              <w:bottom w:val="single" w:sz="8" w:color="CFF0FC"/>
              <w:right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Optons expired</w:t>
            </w:r>
          </w:p>
        </w:tc>
        <w:tc>
          <w:tcPr>
            <w:tcW w:w="182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(148 )</w:t>
            </w: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Calibri" w:cs="Calibri" w:eastAsia="Calibri" w:hAnsi="Calibri"/>
                <w:sz w:val="18"/>
                <w:szCs w:val="18"/>
                <w:color w:val="auto"/>
              </w:rPr>
              <w:t>6.90</w:t>
            </w: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340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b w:val="1"/>
                <w:bCs w:val="1"/>
                <w:color w:val="auto"/>
              </w:rPr>
              <w:t>Outstanding at June 30, 2024</w:t>
            </w:r>
          </w:p>
        </w:tc>
        <w:tc>
          <w:tcPr>
            <w:tcW w:w="15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8,545</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gridSpan w:val="2"/>
          </w:tcPr>
          <w:p>
            <w:pPr>
              <w:jc w:val="right"/>
              <w:ind w:right="80"/>
              <w:spacing w:after="0" w:line="213" w:lineRule="exact"/>
              <w:rPr>
                <w:sz w:val="20"/>
                <w:szCs w:val="20"/>
                <w:color w:val="auto"/>
              </w:rPr>
            </w:pPr>
            <w:r>
              <w:rPr>
                <w:rFonts w:ascii="Calibri" w:cs="Calibri" w:eastAsia="Calibri" w:hAnsi="Calibri"/>
                <w:sz w:val="18"/>
                <w:szCs w:val="18"/>
                <w:b w:val="1"/>
                <w:bCs w:val="1"/>
                <w:color w:val="auto"/>
                <w:w w:val="87"/>
              </w:rPr>
              <w:t>$</w:t>
            </w:r>
          </w:p>
        </w:tc>
        <w:tc>
          <w:tcPr>
            <w:tcW w:w="1660" w:type="dxa"/>
            <w:vAlign w:val="bottom"/>
            <w:tcBorders>
              <w:top w:val="single" w:sz="8" w:color="CFF0FC"/>
            </w:tcBorders>
            <w:gridSpan w:val="2"/>
          </w:tcPr>
          <w:p>
            <w:pPr>
              <w:jc w:val="right"/>
              <w:ind w:right="20"/>
              <w:spacing w:after="0" w:line="213" w:lineRule="exact"/>
              <w:rPr>
                <w:sz w:val="20"/>
                <w:szCs w:val="20"/>
                <w:color w:val="auto"/>
              </w:rPr>
            </w:pPr>
            <w:r>
              <w:rPr>
                <w:rFonts w:ascii="Calibri" w:cs="Calibri" w:eastAsia="Calibri" w:hAnsi="Calibri"/>
                <w:sz w:val="18"/>
                <w:szCs w:val="18"/>
                <w:b w:val="1"/>
                <w:bCs w:val="1"/>
                <w:color w:val="auto"/>
              </w:rPr>
              <w:t>8.05</w:t>
            </w:r>
          </w:p>
        </w:tc>
        <w:tc>
          <w:tcPr>
            <w:tcW w:w="18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8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line="213" w:lineRule="exact"/>
              <w:rPr>
                <w:sz w:val="20"/>
                <w:szCs w:val="20"/>
                <w:color w:val="auto"/>
              </w:rPr>
            </w:pPr>
            <w:r>
              <w:rPr>
                <w:rFonts w:ascii="Calibri" w:cs="Calibri" w:eastAsia="Calibri" w:hAnsi="Calibri"/>
                <w:sz w:val="18"/>
                <w:szCs w:val="18"/>
                <w:b w:val="1"/>
                <w:bCs w:val="1"/>
                <w:color w:val="auto"/>
              </w:rPr>
              <w:t>8</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500" w:type="dxa"/>
            <w:vAlign w:val="bottom"/>
            <w:tcBorders>
              <w:top w:val="single" w:sz="8" w:color="CFF0FC"/>
            </w:tcBorders>
          </w:tcPr>
          <w:p>
            <w:pPr>
              <w:jc w:val="right"/>
              <w:ind w:right="1310"/>
              <w:spacing w:after="0" w:line="213" w:lineRule="exact"/>
              <w:rPr>
                <w:sz w:val="20"/>
                <w:szCs w:val="20"/>
                <w:color w:val="auto"/>
              </w:rPr>
            </w:pPr>
            <w:r>
              <w:rPr>
                <w:rFonts w:ascii="Calibri" w:cs="Calibri" w:eastAsia="Calibri" w:hAnsi="Calibri"/>
                <w:sz w:val="18"/>
                <w:szCs w:val="18"/>
                <w:b w:val="1"/>
                <w:bCs w:val="1"/>
                <w:color w:val="auto"/>
                <w:w w:val="87"/>
              </w:rPr>
              <w:t>$</w:t>
            </w:r>
          </w:p>
        </w:tc>
        <w:tc>
          <w:tcPr>
            <w:tcW w:w="280" w:type="dxa"/>
            <w:vAlign w:val="bottom"/>
            <w:tcBorders>
              <w:top w:val="single" w:sz="8" w:color="CFF0FC"/>
            </w:tcBorders>
            <w:gridSpan w:val="2"/>
          </w:tcPr>
          <w:p>
            <w:pPr>
              <w:spacing w:after="0" w:line="213" w:lineRule="exact"/>
              <w:rPr>
                <w:sz w:val="20"/>
                <w:szCs w:val="20"/>
                <w:color w:val="auto"/>
              </w:rPr>
            </w:pPr>
            <w:r>
              <w:rPr>
                <w:rFonts w:ascii="Calibri" w:cs="Calibri" w:eastAsia="Calibri" w:hAnsi="Calibri"/>
                <w:sz w:val="18"/>
                <w:szCs w:val="18"/>
                <w:b w:val="1"/>
                <w:bCs w:val="1"/>
                <w:color w:val="auto"/>
              </w:rPr>
              <w:t>—</w:t>
            </w:r>
          </w:p>
        </w:tc>
      </w:tr>
      <w:tr>
        <w:trPr>
          <w:trHeight w:val="23"/>
        </w:trPr>
        <w:tc>
          <w:tcPr>
            <w:tcW w:w="34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3400" w:type="dxa"/>
            <w:vAlign w:val="bottom"/>
            <w:tcBorders>
              <w:bottom w:val="single" w:sz="8" w:color="CFF0FC"/>
              <w:right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Vested and exercisable at June 30, 2024</w:t>
            </w:r>
          </w:p>
        </w:tc>
        <w:tc>
          <w:tcPr>
            <w:tcW w:w="15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4,622</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Calibri" w:cs="Calibri" w:eastAsia="Calibri" w:hAnsi="Calibri"/>
                <w:sz w:val="18"/>
                <w:szCs w:val="18"/>
                <w:b w:val="1"/>
                <w:bCs w:val="1"/>
                <w:color w:val="auto"/>
                <w:w w:val="87"/>
              </w:rPr>
              <w:t>$</w:t>
            </w:r>
          </w:p>
        </w:tc>
        <w:tc>
          <w:tcPr>
            <w:tcW w:w="16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Calibri" w:cs="Calibri" w:eastAsia="Calibri" w:hAnsi="Calibri"/>
                <w:sz w:val="18"/>
                <w:szCs w:val="18"/>
                <w:b w:val="1"/>
                <w:bCs w:val="1"/>
                <w:color w:val="auto"/>
              </w:rPr>
              <w:t>7.58</w:t>
            </w:r>
          </w:p>
        </w:tc>
        <w:tc>
          <w:tcPr>
            <w:tcW w:w="18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8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r>
      <w:tr>
        <w:trPr>
          <w:trHeight w:val="403"/>
        </w:trPr>
        <w:tc>
          <w:tcPr>
            <w:tcW w:w="3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center"/>
              <w:ind w:right="240"/>
              <w:spacing w:after="0"/>
              <w:rPr>
                <w:sz w:val="20"/>
                <w:szCs w:val="20"/>
                <w:color w:val="auto"/>
              </w:rPr>
            </w:pPr>
            <w:r>
              <w:rPr>
                <w:rFonts w:ascii="Calibri" w:cs="Calibri" w:eastAsia="Calibri" w:hAnsi="Calibri"/>
                <w:sz w:val="18"/>
                <w:szCs w:val="18"/>
                <w:b w:val="1"/>
                <w:bCs w:val="1"/>
                <w:color w:val="auto"/>
                <w:w w:val="96"/>
              </w:rPr>
              <w:t>Weighted Average</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Calibri" w:cs="Calibri" w:eastAsia="Calibri" w:hAnsi="Calibri"/>
                <w:sz w:val="18"/>
                <w:szCs w:val="18"/>
                <w:b w:val="1"/>
                <w:bCs w:val="1"/>
                <w:color w:val="auto"/>
                <w:w w:val="96"/>
              </w:rPr>
              <w:t>Weighted Average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40"/>
              <w:spacing w:after="0" w:line="216" w:lineRule="exact"/>
              <w:rPr>
                <w:sz w:val="20"/>
                <w:szCs w:val="20"/>
                <w:color w:val="auto"/>
              </w:rPr>
            </w:pPr>
            <w:r>
              <w:rPr>
                <w:rFonts w:ascii="Calibri" w:cs="Calibri" w:eastAsia="Calibri" w:hAnsi="Calibri"/>
                <w:sz w:val="18"/>
                <w:szCs w:val="18"/>
                <w:b w:val="1"/>
                <w:bCs w:val="1"/>
                <w:color w:val="auto"/>
                <w:w w:val="96"/>
              </w:rPr>
              <w:t>Exercise Price Per</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Remaining Contractual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Aggregate Intrinsic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820" w:type="dxa"/>
            <w:vAlign w:val="bottom"/>
            <w:gridSpan w:val="2"/>
          </w:tcPr>
          <w:p>
            <w:pPr>
              <w:jc w:val="right"/>
              <w:ind w:right="280"/>
              <w:spacing w:after="0" w:line="216" w:lineRule="exact"/>
              <w:rPr>
                <w:sz w:val="20"/>
                <w:szCs w:val="20"/>
                <w:color w:val="auto"/>
              </w:rPr>
            </w:pPr>
            <w:r>
              <w:rPr>
                <w:rFonts w:ascii="Calibri" w:cs="Calibri" w:eastAsia="Calibri" w:hAnsi="Calibri"/>
                <w:sz w:val="18"/>
                <w:szCs w:val="18"/>
                <w:b w:val="1"/>
                <w:bCs w:val="1"/>
                <w:color w:val="auto"/>
              </w:rPr>
              <w:t>Outstanding Optons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00"/>
              <w:spacing w:after="0" w:line="216" w:lineRule="exact"/>
              <w:rPr>
                <w:sz w:val="20"/>
                <w:szCs w:val="20"/>
                <w:color w:val="auto"/>
              </w:rPr>
            </w:pPr>
            <w:r>
              <w:rPr>
                <w:rFonts w:ascii="Calibri" w:cs="Calibri" w:eastAsia="Calibri" w:hAnsi="Calibri"/>
                <w:sz w:val="18"/>
                <w:szCs w:val="18"/>
                <w:b w:val="1"/>
                <w:bCs w:val="1"/>
                <w:color w:val="auto"/>
              </w:rPr>
              <w:t>Opton</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Life (in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430"/>
              <w:spacing w:after="0" w:line="216" w:lineRule="exact"/>
              <w:rPr>
                <w:sz w:val="20"/>
                <w:szCs w:val="20"/>
                <w:color w:val="auto"/>
              </w:rPr>
            </w:pPr>
            <w:r>
              <w:rPr>
                <w:rFonts w:ascii="Calibri" w:cs="Calibri" w:eastAsia="Calibri" w:hAnsi="Calibri"/>
                <w:sz w:val="18"/>
                <w:szCs w:val="18"/>
                <w:b w:val="1"/>
                <w:bCs w:val="1"/>
                <w:color w:val="auto"/>
              </w:rPr>
              <w:t>Value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
        </w:trPr>
        <w:tc>
          <w:tcPr>
            <w:tcW w:w="34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60" w:type="dxa"/>
            <w:vAlign w:val="bottom"/>
            <w:tcBorders>
              <w:bottom w:val="single" w:sz="8" w:color="auto"/>
            </w:tcBorders>
            <w:gridSpan w:val="2"/>
          </w:tcPr>
          <w:p>
            <w:pPr>
              <w:spacing w:after="0"/>
              <w:rPr>
                <w:sz w:val="3"/>
                <w:szCs w:val="3"/>
                <w:color w:val="auto"/>
              </w:rPr>
            </w:pPr>
          </w:p>
        </w:tc>
        <w:tc>
          <w:tcPr>
            <w:tcW w:w="220" w:type="dxa"/>
            <w:vAlign w:val="bottom"/>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3400" w:type="dxa"/>
            <w:vAlign w:val="bottom"/>
            <w:tcBorders>
              <w:bottom w:val="single" w:sz="8" w:color="CFF0FC"/>
              <w:right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Outstanding at December 31, 2022</w:t>
            </w:r>
          </w:p>
        </w:tc>
        <w:tc>
          <w:tcPr>
            <w:tcW w:w="15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6,125</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gridSpan w:val="2"/>
            <w:shd w:val="clear" w:color="auto" w:fill="CFF0FC"/>
          </w:tcPr>
          <w:p>
            <w:pPr>
              <w:jc w:val="right"/>
              <w:ind w:right="60"/>
              <w:spacing w:after="0" w:line="208" w:lineRule="exact"/>
              <w:rPr>
                <w:sz w:val="20"/>
                <w:szCs w:val="20"/>
                <w:color w:val="auto"/>
              </w:rPr>
            </w:pPr>
            <w:r>
              <w:rPr>
                <w:rFonts w:ascii="Calibri" w:cs="Calibri" w:eastAsia="Calibri" w:hAnsi="Calibri"/>
                <w:sz w:val="18"/>
                <w:szCs w:val="18"/>
                <w:b w:val="1"/>
                <w:bCs w:val="1"/>
                <w:color w:val="auto"/>
              </w:rPr>
              <w:t>$</w:t>
            </w:r>
          </w:p>
        </w:tc>
        <w:tc>
          <w:tcPr>
            <w:tcW w:w="1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12.09</w:t>
            </w:r>
          </w:p>
        </w:tc>
        <w:tc>
          <w:tcPr>
            <w:tcW w:w="40" w:type="dxa"/>
            <w:vAlign w:val="bottom"/>
            <w:tcBorders>
              <w:bottom w:val="single" w:sz="8" w:color="CFF0FC"/>
            </w:tcBorders>
            <w:shd w:val="clear" w:color="auto" w:fill="CFF0FC"/>
          </w:tcPr>
          <w:p>
            <w:pPr>
              <w:spacing w:after="0"/>
              <w:rPr>
                <w:sz w:val="18"/>
                <w:szCs w:val="18"/>
                <w:color w:val="auto"/>
              </w:rPr>
            </w:pPr>
          </w:p>
        </w:tc>
        <w:tc>
          <w:tcPr>
            <w:tcW w:w="2040" w:type="dxa"/>
            <w:vAlign w:val="bottom"/>
            <w:tcBorders>
              <w:bottom w:val="single" w:sz="8" w:color="CFF0FC"/>
            </w:tcBorders>
            <w:gridSpan w:val="3"/>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9</w:t>
            </w:r>
          </w:p>
        </w:tc>
        <w:tc>
          <w:tcPr>
            <w:tcW w:w="360" w:type="dxa"/>
            <w:vAlign w:val="bottom"/>
            <w:tcBorders>
              <w:bottom w:val="single" w:sz="8" w:color="CFF0FC"/>
            </w:tcBorders>
            <w:gridSpan w:val="3"/>
            <w:shd w:val="clear" w:color="auto" w:fill="CFF0FC"/>
          </w:tcPr>
          <w:p>
            <w:pPr>
              <w:jc w:val="right"/>
              <w:ind w:right="40"/>
              <w:spacing w:after="0" w:line="208" w:lineRule="exact"/>
              <w:rPr>
                <w:sz w:val="20"/>
                <w:szCs w:val="20"/>
                <w:color w:val="auto"/>
              </w:rPr>
            </w:pPr>
            <w:r>
              <w:rPr>
                <w:rFonts w:ascii="Calibri" w:cs="Calibri" w:eastAsia="Calibri" w:hAnsi="Calibri"/>
                <w:sz w:val="18"/>
                <w:szCs w:val="18"/>
                <w:b w:val="1"/>
                <w:bCs w:val="1"/>
                <w:color w:val="auto"/>
              </w:rPr>
              <w:t>$</w:t>
            </w:r>
          </w:p>
        </w:tc>
        <w:tc>
          <w:tcPr>
            <w:tcW w:w="15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gridSpan w:val="2"/>
            <w:shd w:val="clear" w:color="auto" w:fill="CFF0FC"/>
          </w:tcPr>
          <w:p>
            <w:pPr>
              <w:spacing w:after="0" w:line="208" w:lineRule="exact"/>
              <w:rPr>
                <w:sz w:val="20"/>
                <w:szCs w:val="20"/>
                <w:color w:val="auto"/>
              </w:rPr>
            </w:pPr>
            <w:r>
              <w:rPr>
                <w:rFonts w:ascii="Calibri" w:cs="Calibri" w:eastAsia="Calibri" w:hAnsi="Calibri"/>
                <w:sz w:val="18"/>
                <w:szCs w:val="18"/>
                <w:b w:val="1"/>
                <w:bCs w:val="1"/>
                <w:color w:val="auto"/>
              </w:rPr>
              <w:t>—</w:t>
            </w:r>
          </w:p>
        </w:tc>
      </w:tr>
      <w:tr>
        <w:trPr>
          <w:trHeight w:val="215"/>
        </w:trPr>
        <w:tc>
          <w:tcPr>
            <w:tcW w:w="3400" w:type="dxa"/>
            <w:vAlign w:val="bottom"/>
          </w:tcPr>
          <w:p>
            <w:pPr>
              <w:ind w:left="120"/>
              <w:spacing w:after="0" w:line="215" w:lineRule="exact"/>
              <w:rPr>
                <w:sz w:val="20"/>
                <w:szCs w:val="20"/>
                <w:color w:val="auto"/>
              </w:rPr>
            </w:pPr>
            <w:r>
              <w:rPr>
                <w:rFonts w:ascii="Calibri" w:cs="Calibri" w:eastAsia="Calibri" w:hAnsi="Calibri"/>
                <w:sz w:val="18"/>
                <w:szCs w:val="18"/>
                <w:color w:val="auto"/>
              </w:rPr>
              <w:t>Optons granted to employees</w:t>
            </w: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3,603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7.17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3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400" w:type="dxa"/>
            <w:vAlign w:val="bottom"/>
            <w:tcBorders>
              <w:bottom w:val="single" w:sz="8" w:color="CFF0FC"/>
              <w:right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Optons granted to consultants - tranche 1</w:t>
            </w: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200</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7.98</w:t>
            </w: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3400" w:type="dxa"/>
            <w:vAlign w:val="bottom"/>
          </w:tcPr>
          <w:p>
            <w:pPr>
              <w:ind w:left="120"/>
              <w:spacing w:after="0" w:line="215" w:lineRule="exact"/>
              <w:rPr>
                <w:sz w:val="20"/>
                <w:szCs w:val="20"/>
                <w:color w:val="auto"/>
              </w:rPr>
            </w:pPr>
            <w:r>
              <w:rPr>
                <w:rFonts w:ascii="Calibri" w:cs="Calibri" w:eastAsia="Calibri" w:hAnsi="Calibri"/>
                <w:sz w:val="18"/>
                <w:szCs w:val="18"/>
                <w:color w:val="auto"/>
              </w:rPr>
              <w:t>Optons granted to consultants - tranche 2</w:t>
            </w: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300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17.00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3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400" w:type="dxa"/>
            <w:vAlign w:val="bottom"/>
            <w:tcBorders>
              <w:bottom w:val="single" w:sz="8" w:color="CFF0FC"/>
              <w:right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Optons granted to consultants - tranche 3</w:t>
            </w: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400</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23.00</w:t>
            </w: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3400" w:type="dxa"/>
            <w:vAlign w:val="bottom"/>
          </w:tcPr>
          <w:p>
            <w:pPr>
              <w:ind w:left="120"/>
              <w:spacing w:after="0" w:line="215" w:lineRule="exact"/>
              <w:rPr>
                <w:sz w:val="20"/>
                <w:szCs w:val="20"/>
                <w:color w:val="auto"/>
              </w:rPr>
            </w:pPr>
            <w:r>
              <w:rPr>
                <w:rFonts w:ascii="Calibri" w:cs="Calibri" w:eastAsia="Calibri" w:hAnsi="Calibri"/>
                <w:sz w:val="18"/>
                <w:szCs w:val="18"/>
                <w:color w:val="auto"/>
              </w:rPr>
              <w:t>Optons exercised</w:t>
            </w:r>
          </w:p>
        </w:tc>
        <w:tc>
          <w:tcPr>
            <w:tcW w:w="182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3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400" w:type="dxa"/>
            <w:vAlign w:val="bottom"/>
            <w:tcBorders>
              <w:bottom w:val="single" w:sz="8" w:color="CFF0FC"/>
              <w:right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Optons forfeited</w:t>
            </w:r>
          </w:p>
        </w:tc>
        <w:tc>
          <w:tcPr>
            <w:tcW w:w="182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3400" w:type="dxa"/>
            <w:vAlign w:val="bottom"/>
          </w:tcPr>
          <w:p>
            <w:pPr>
              <w:ind w:left="120"/>
              <w:spacing w:after="0" w:line="215" w:lineRule="exact"/>
              <w:rPr>
                <w:sz w:val="20"/>
                <w:szCs w:val="20"/>
                <w:color w:val="auto"/>
              </w:rPr>
            </w:pPr>
            <w:r>
              <w:rPr>
                <w:rFonts w:ascii="Calibri" w:cs="Calibri" w:eastAsia="Calibri" w:hAnsi="Calibri"/>
                <w:sz w:val="18"/>
                <w:szCs w:val="18"/>
                <w:color w:val="auto"/>
              </w:rPr>
              <w:t>Optons expired</w:t>
            </w:r>
          </w:p>
        </w:tc>
        <w:tc>
          <w:tcPr>
            <w:tcW w:w="18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(58 )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34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r>
      <w:tr>
        <w:trPr>
          <w:trHeight w:val="217"/>
        </w:trPr>
        <w:tc>
          <w:tcPr>
            <w:tcW w:w="3400" w:type="dxa"/>
            <w:vAlign w:val="bottom"/>
            <w:tcBorders>
              <w:bottom w:val="single" w:sz="8" w:color="CFF0FC"/>
              <w:right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Outstanding at June 30, 2023</w:t>
            </w:r>
          </w:p>
        </w:tc>
        <w:tc>
          <w:tcPr>
            <w:tcW w:w="158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10,570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gridSpan w:val="2"/>
            <w:shd w:val="clear" w:color="auto" w:fill="CFF0FC"/>
          </w:tcPr>
          <w:p>
            <w:pPr>
              <w:jc w:val="right"/>
              <w:ind w:right="60"/>
              <w:spacing w:after="0" w:line="213" w:lineRule="exact"/>
              <w:rPr>
                <w:sz w:val="20"/>
                <w:szCs w:val="20"/>
                <w:color w:val="auto"/>
              </w:rPr>
            </w:pPr>
            <w:r>
              <w:rPr>
                <w:rFonts w:ascii="Calibri" w:cs="Calibri" w:eastAsia="Calibri" w:hAnsi="Calibri"/>
                <w:sz w:val="18"/>
                <w:szCs w:val="18"/>
                <w:b w:val="1"/>
                <w:bCs w:val="1"/>
                <w:color w:val="auto"/>
              </w:rPr>
              <w:t>$</w:t>
            </w:r>
          </w:p>
        </w:tc>
        <w:tc>
          <w:tcPr>
            <w:tcW w:w="16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10.89</w:t>
            </w:r>
          </w:p>
        </w:tc>
        <w:tc>
          <w:tcPr>
            <w:tcW w:w="40" w:type="dxa"/>
            <w:vAlign w:val="bottom"/>
            <w:tcBorders>
              <w:bottom w:val="single" w:sz="8" w:color="CFF0FC"/>
            </w:tcBorders>
            <w:shd w:val="clear" w:color="auto" w:fill="CFF0FC"/>
          </w:tcPr>
          <w:p>
            <w:pPr>
              <w:spacing w:after="0"/>
              <w:rPr>
                <w:sz w:val="18"/>
                <w:szCs w:val="18"/>
                <w:color w:val="auto"/>
              </w:rPr>
            </w:pPr>
          </w:p>
        </w:tc>
        <w:tc>
          <w:tcPr>
            <w:tcW w:w="2040" w:type="dxa"/>
            <w:vAlign w:val="bottom"/>
            <w:tcBorders>
              <w:bottom w:val="single" w:sz="8" w:color="CFF0FC"/>
            </w:tcBorders>
            <w:gridSpan w:val="3"/>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9</w:t>
            </w:r>
          </w:p>
        </w:tc>
        <w:tc>
          <w:tcPr>
            <w:tcW w:w="360" w:type="dxa"/>
            <w:vAlign w:val="bottom"/>
            <w:tcBorders>
              <w:bottom w:val="single" w:sz="8" w:color="CFF0FC"/>
            </w:tcBorders>
            <w:gridSpan w:val="3"/>
            <w:shd w:val="clear" w:color="auto" w:fill="CFF0FC"/>
          </w:tcPr>
          <w:p>
            <w:pPr>
              <w:jc w:val="right"/>
              <w:ind w:right="40"/>
              <w:spacing w:after="0" w:line="213" w:lineRule="exact"/>
              <w:rPr>
                <w:sz w:val="20"/>
                <w:szCs w:val="20"/>
                <w:color w:val="auto"/>
              </w:rPr>
            </w:pPr>
            <w:r>
              <w:rPr>
                <w:rFonts w:ascii="Calibri" w:cs="Calibri" w:eastAsia="Calibri" w:hAnsi="Calibri"/>
                <w:sz w:val="18"/>
                <w:szCs w:val="18"/>
                <w:b w:val="1"/>
                <w:bCs w:val="1"/>
                <w:color w:val="auto"/>
              </w:rPr>
              <w:t>$</w:t>
            </w:r>
          </w:p>
        </w:tc>
        <w:tc>
          <w:tcPr>
            <w:tcW w:w="15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gridSpan w:val="2"/>
            <w:shd w:val="clear" w:color="auto" w:fill="CFF0FC"/>
          </w:tcPr>
          <w:p>
            <w:pPr>
              <w:spacing w:after="0" w:line="213" w:lineRule="exact"/>
              <w:rPr>
                <w:sz w:val="20"/>
                <w:szCs w:val="20"/>
                <w:color w:val="auto"/>
              </w:rPr>
            </w:pPr>
            <w:r>
              <w:rPr>
                <w:rFonts w:ascii="Calibri" w:cs="Calibri" w:eastAsia="Calibri" w:hAnsi="Calibri"/>
                <w:sz w:val="18"/>
                <w:szCs w:val="18"/>
                <w:b w:val="1"/>
                <w:bCs w:val="1"/>
                <w:color w:val="auto"/>
              </w:rPr>
              <w:t>—</w:t>
            </w:r>
          </w:p>
        </w:tc>
      </w:tr>
      <w:tr>
        <w:trPr>
          <w:trHeight w:val="20"/>
        </w:trPr>
        <w:tc>
          <w:tcPr>
            <w:tcW w:w="3400" w:type="dxa"/>
            <w:vAlign w:val="bottom"/>
            <w:tcBorders>
              <w:right w:val="single" w:sz="8" w:color="CFF0FC"/>
            </w:tcBorders>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-2331085</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-2005330</wp:posOffset>
            </wp:positionV>
            <wp:extent cx="774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-1988185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-7620</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Compensaton Expense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three and six months ended June 30, 2024, equity-based compensaton expense related to RSUs was $8.4 million and $13.9 million, respectvely, compared to $3.9 million and $6.6 million for the three and six months ended June 30, 2023, respectvely. Unrecognized compensaton expense relatng to unvested RSUs as of June 30, 2024 was approximately $76.8 million, which is expected to be recognized over a weighted average period of approximately two years.</w:t>
      </w:r>
    </w:p>
    <w:p>
      <w:pPr>
        <w:spacing w:after="0" w:line="111"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For the three and six months ended June 30, 2024, equity-based compensaton expense related to stock optons was $2.9 million and $5.8 million, respectvely, compared to $2.7 million and $4.5 million for the three and six months ended June 30, 2023. Unrecognized compensaton expense relatng to unvested stock optons as of June 30, 2024 was $14.0 million, which is expected to be recognized over a weighted average period of approximately one year.</w:t>
      </w:r>
    </w:p>
    <w:p>
      <w:pPr>
        <w:spacing w:after="0" w:line="97" w:lineRule="exact"/>
        <w:rPr>
          <w:sz w:val="20"/>
          <w:szCs w:val="20"/>
          <w:color w:val="auto"/>
        </w:rPr>
      </w:pPr>
    </w:p>
    <w:p>
      <w:pPr>
        <w:ind w:right="560"/>
        <w:spacing w:after="0" w:line="235" w:lineRule="auto"/>
        <w:rPr>
          <w:sz w:val="20"/>
          <w:szCs w:val="20"/>
          <w:color w:val="auto"/>
        </w:rPr>
      </w:pPr>
      <w:r>
        <w:rPr>
          <w:rFonts w:ascii="Calibri" w:cs="Calibri" w:eastAsia="Calibri" w:hAnsi="Calibri"/>
          <w:sz w:val="18"/>
          <w:szCs w:val="18"/>
          <w:color w:val="auto"/>
        </w:rPr>
        <w:t>For the three and six months ended June 30, 2024, equity-based compensaton expense excludes $0.2 million and $0.4 million, respectvely, related to capitalized development costs.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Profts Interests and Phantom Units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June 2024, the Board of Managers of Hoya Topco approved the redempton, repurchase and cancellaton by Hoya Topco (using Hoya Topco’s funds) of all of its outstanding profts interests held by our employees (including the Class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5" w:name="page26"/>
    <w:bookmarkEnd w:id="25"/>
    <w:p>
      <w:pPr>
        <w:jc w:val="center"/>
        <w:ind w:right="40"/>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B-1, Class D and Class E Units discussed in our 2023 Form 10-K). Accordingly, we recognized equity-based compensaton expense of $3.1 million and $3.3 million, respectvely, for the three and six months ended June 30, 2024. For the three and six months ended June 30, 2023, we recognized equity-based compensaton expense related to the profts interests of $1.0 million and $2.0 million, respectvely.</w:t>
      </w:r>
    </w:p>
    <w:p>
      <w:pPr>
        <w:spacing w:after="0" w:line="111"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In June 2024, the Board of Managers of Hoya Topco also approved the repurchase and cancellaton by Hoya Topco (using Hoya Topco’s funds) of all of its outstanding phantom units held by our employees. The phantom units held service and performance conditons, requiring us to recognize a liability for the fair value of the outstanding phantom units only when we conclude it is probable that the performance conditons will be achieved. Accordingly, we recognized equity-based compensaton expense of $5.0 million for the three and six months ended June 30, 2024. There was no equity-based compensaton expense previously recognized related to the phantom units.</w:t>
      </w:r>
    </w:p>
    <w:p>
      <w:pPr>
        <w:spacing w:after="0" w:line="112"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Hoya Topco had no outstanding profts interests or phantom units held by our employees, and we had no unrecognized equity-based compensaton expense related thereto, as of June 30, 2024.</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19. Earnings Per Share</w:t>
      </w:r>
    </w:p>
    <w:p>
      <w:pPr>
        <w:spacing w:after="0" w:line="109" w:lineRule="exact"/>
        <w:rPr>
          <w:sz w:val="20"/>
          <w:szCs w:val="20"/>
          <w:color w:val="auto"/>
        </w:rPr>
      </w:pPr>
    </w:p>
    <w:p>
      <w:pPr>
        <w:jc w:val="both"/>
        <w:ind w:right="40"/>
        <w:spacing w:after="0" w:line="252" w:lineRule="auto"/>
        <w:rPr>
          <w:sz w:val="20"/>
          <w:szCs w:val="20"/>
          <w:color w:val="auto"/>
        </w:rPr>
      </w:pPr>
      <w:r>
        <w:rPr>
          <w:rFonts w:ascii="Calibri" w:cs="Calibri" w:eastAsia="Calibri" w:hAnsi="Calibri"/>
          <w:sz w:val="17"/>
          <w:szCs w:val="17"/>
          <w:color w:val="auto"/>
        </w:rPr>
        <w:t xml:space="preserve">We calculate basic and diluted net income (loss) per share of Class A common stock in accordance with ASC Topic 260, </w:t>
      </w:r>
      <w:r>
        <w:rPr>
          <w:rFonts w:ascii="Calibri" w:cs="Calibri" w:eastAsia="Calibri" w:hAnsi="Calibri"/>
          <w:sz w:val="17"/>
          <w:szCs w:val="17"/>
          <w:i w:val="1"/>
          <w:iCs w:val="1"/>
          <w:color w:val="auto"/>
        </w:rPr>
        <w:t>Earnings per Share</w:t>
      </w:r>
      <w:r>
        <w:rPr>
          <w:rFonts w:ascii="Calibri" w:cs="Calibri" w:eastAsia="Calibri" w:hAnsi="Calibri"/>
          <w:sz w:val="17"/>
          <w:szCs w:val="17"/>
          <w:color w:val="auto"/>
        </w:rPr>
        <w:t>. Because our Class B common stock does not have economic rights in VSI, it is not considered a partcipatng security for basic and diluted income (loss) per share, and we do not present basic and diluted income (loss) per share of Class B common stock. However, holders of our Class B common stock are allocated income (loss) in Hoya Intermediate (our operatng entty) according to their weighted average percentage ownership of Intermediate Units during each quarter.</w:t>
      </w:r>
    </w:p>
    <w:p>
      <w:pPr>
        <w:spacing w:after="0" w:line="100"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Net income (loss) atributable to redeemable noncontrolling interests is calculated by multplying Hoya Intermediate’s net income (loss) in each quarterly period by Hoya Topco’s weighted average percentage ownership of Intermediate Units during the period. Hoya Topco has the right to exchange its Intermediate Units for shares of our Class A common stock (on a one-to-one basis) or cash proceeds of equal value at the tme of redempton. The opton to redeem Intermediate Units for cash proceeds must be approved by our Board, which as of June 30, 2024 consisted of a majority of directors nominated by afliates of Hoya Topco and GTCR, LLC pursuant to our stockholders’ agreement. The ability to put Intermediate Units is solely within the control of the holder of the redeemable noncontrolling interests. If Hoya Topco elects the redempton to be setled in cash, the cash used to setle the redempton must be funded through a private or public ofering of our Class A common stock and is subject to our Board’s approval.</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provides the net income (loss) atributable to Hoya Topco’s redeemable noncontrolling interest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40" w:type="dxa"/>
            <w:vAlign w:val="bottom"/>
          </w:tcPr>
          <w:p>
            <w:pPr>
              <w:spacing w:after="0"/>
              <w:rPr>
                <w:sz w:val="19"/>
                <w:szCs w:val="19"/>
                <w:color w:val="auto"/>
              </w:rPr>
            </w:pPr>
          </w:p>
        </w:tc>
        <w:tc>
          <w:tcPr>
            <w:tcW w:w="2500" w:type="dxa"/>
            <w:vAlign w:val="bottom"/>
            <w:gridSpan w:val="6"/>
          </w:tcPr>
          <w:p>
            <w:pPr>
              <w:jc w:val="right"/>
              <w:ind w:right="300"/>
              <w:spacing w:after="0"/>
              <w:rPr>
                <w:sz w:val="20"/>
                <w:szCs w:val="20"/>
                <w:color w:val="auto"/>
              </w:rPr>
            </w:pPr>
            <w:r>
              <w:rPr>
                <w:rFonts w:ascii="Calibri" w:cs="Calibri" w:eastAsia="Calibri" w:hAnsi="Calibri"/>
                <w:sz w:val="18"/>
                <w:szCs w:val="18"/>
                <w:b w:val="1"/>
                <w:bCs w:val="1"/>
                <w:color w:val="auto"/>
                <w:w w:val="98"/>
              </w:rPr>
              <w:t>Three Months Ended June 30,</w:t>
            </w:r>
          </w:p>
        </w:tc>
        <w:tc>
          <w:tcPr>
            <w:tcW w:w="100" w:type="dxa"/>
            <w:vAlign w:val="bottom"/>
          </w:tcPr>
          <w:p>
            <w:pPr>
              <w:spacing w:after="0"/>
              <w:rPr>
                <w:sz w:val="19"/>
                <w:szCs w:val="19"/>
                <w:color w:val="auto"/>
              </w:rPr>
            </w:pPr>
          </w:p>
        </w:tc>
        <w:tc>
          <w:tcPr>
            <w:tcW w:w="2240" w:type="dxa"/>
            <w:vAlign w:val="bottom"/>
            <w:gridSpan w:val="6"/>
          </w:tcPr>
          <w:p>
            <w:pPr>
              <w:jc w:val="right"/>
              <w:ind w:right="280"/>
              <w:spacing w:after="0"/>
              <w:rPr>
                <w:sz w:val="20"/>
                <w:szCs w:val="20"/>
                <w:color w:val="auto"/>
              </w:rPr>
            </w:pPr>
            <w:r>
              <w:rPr>
                <w:rFonts w:ascii="Calibri" w:cs="Calibri" w:eastAsia="Calibri" w:hAnsi="Calibri"/>
                <w:sz w:val="18"/>
                <w:szCs w:val="18"/>
                <w:b w:val="1"/>
                <w:bCs w:val="1"/>
                <w:color w:val="auto"/>
                <w:w w:val="97"/>
              </w:rPr>
              <w:t>Six Months Ended June 30,</w:t>
            </w:r>
          </w:p>
        </w:tc>
      </w:tr>
      <w:tr>
        <w:trPr>
          <w:trHeight w:val="37"/>
        </w:trPr>
        <w:tc>
          <w:tcPr>
            <w:tcW w:w="64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08"/>
        </w:trPr>
        <w:tc>
          <w:tcPr>
            <w:tcW w:w="6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0"/>
              <w:spacing w:after="0" w:line="208"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0"/>
              <w:spacing w:after="0" w:line="208"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210"/>
              <w:spacing w:after="0" w:line="208"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3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
        </w:trPr>
        <w:tc>
          <w:tcPr>
            <w:tcW w:w="6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4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income (loss)—Hoya Intermediate</w:t>
            </w:r>
          </w:p>
        </w:tc>
        <w:tc>
          <w:tcPr>
            <w:tcW w:w="22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CFF0FC"/>
            </w:tcBorders>
            <w:gridSpan w:val="2"/>
            <w:shd w:val="clear" w:color="auto" w:fill="CFF0FC"/>
          </w:tcPr>
          <w:p>
            <w:pPr>
              <w:jc w:val="right"/>
              <w:ind w:right="200"/>
              <w:spacing w:after="0" w:line="208" w:lineRule="exact"/>
              <w:rPr>
                <w:sz w:val="20"/>
                <w:szCs w:val="20"/>
                <w:color w:val="auto"/>
              </w:rPr>
            </w:pPr>
            <w:r>
              <w:rPr>
                <w:rFonts w:ascii="Calibri" w:cs="Calibri" w:eastAsia="Calibri" w:hAnsi="Calibri"/>
                <w:sz w:val="18"/>
                <w:szCs w:val="18"/>
                <w:color w:val="auto"/>
              </w:rPr>
              <w:t>(437 )</w:t>
            </w:r>
          </w:p>
        </w:tc>
        <w:tc>
          <w:tcPr>
            <w:tcW w:w="2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7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13,646</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8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12,433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44,002</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6440" w:type="dxa"/>
            <w:vAlign w:val="bottom"/>
          </w:tcPr>
          <w:p>
            <w:pPr>
              <w:ind w:left="20"/>
              <w:spacing w:after="0"/>
              <w:rPr>
                <w:sz w:val="20"/>
                <w:szCs w:val="20"/>
                <w:color w:val="auto"/>
              </w:rPr>
            </w:pPr>
            <w:r>
              <w:rPr>
                <w:rFonts w:ascii="Calibri" w:cs="Calibri" w:eastAsia="Calibri" w:hAnsi="Calibri"/>
                <w:sz w:val="18"/>
                <w:szCs w:val="18"/>
                <w:color w:val="auto"/>
              </w:rPr>
              <w:t>Hoya Topco’s weighted average % allocaton of Hoya Intermediate's net income (loss)</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36.6 %</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55.8 %</w:t>
            </w:r>
          </w:p>
        </w:tc>
        <w:tc>
          <w:tcPr>
            <w:tcW w:w="100" w:type="dxa"/>
            <w:vAlign w:val="bottom"/>
          </w:tcPr>
          <w:p>
            <w:pPr>
              <w:spacing w:after="0"/>
              <w:rPr>
                <w:sz w:val="19"/>
                <w:szCs w:val="19"/>
                <w:color w:val="auto"/>
              </w:rPr>
            </w:pPr>
          </w:p>
        </w:tc>
        <w:tc>
          <w:tcPr>
            <w:tcW w:w="11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36.2 %</w:t>
            </w:r>
          </w:p>
        </w:tc>
        <w:tc>
          <w:tcPr>
            <w:tcW w:w="200" w:type="dxa"/>
            <w:vAlign w:val="bottom"/>
          </w:tcPr>
          <w:p>
            <w:pPr>
              <w:spacing w:after="0"/>
              <w:rPr>
                <w:sz w:val="19"/>
                <w:szCs w:val="19"/>
                <w:color w:val="auto"/>
              </w:rPr>
            </w:pPr>
          </w:p>
        </w:tc>
        <w:tc>
          <w:tcPr>
            <w:tcW w:w="9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58.4 %</w:t>
            </w:r>
          </w:p>
        </w:tc>
      </w:tr>
      <w:tr>
        <w:trPr>
          <w:trHeight w:val="23"/>
        </w:trPr>
        <w:tc>
          <w:tcPr>
            <w:tcW w:w="6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62"/>
        </w:trPr>
        <w:tc>
          <w:tcPr>
            <w:tcW w:w="6440" w:type="dxa"/>
            <w:vAlign w:val="bottom"/>
            <w:tcBorders>
              <w:bottom w:val="single" w:sz="8" w:color="CFF0FC"/>
            </w:tcBorders>
            <w:shd w:val="clear" w:color="auto" w:fill="CFF0FC"/>
          </w:tcPr>
          <w:p>
            <w:pPr>
              <w:ind w:left="120"/>
              <w:spacing w:after="0" w:line="213" w:lineRule="exact"/>
              <w:rPr>
                <w:sz w:val="20"/>
                <w:szCs w:val="20"/>
                <w:color w:val="auto"/>
              </w:rPr>
            </w:pPr>
            <w:r>
              <w:rPr>
                <w:rFonts w:ascii="Calibri" w:cs="Calibri" w:eastAsia="Calibri" w:hAnsi="Calibri"/>
                <w:sz w:val="18"/>
                <w:szCs w:val="18"/>
                <w:color w:val="auto"/>
              </w:rPr>
              <w:t>Net income (loss) atributable to Hoya Topco's redeemable noncontrolling interests</w:t>
            </w:r>
          </w:p>
        </w:tc>
        <w:tc>
          <w:tcPr>
            <w:tcW w:w="220" w:type="dxa"/>
            <w:vAlign w:val="bottom"/>
            <w:tcBorders>
              <w:bottom w:val="single" w:sz="8" w:color="CFF0FC"/>
            </w:tcBorders>
            <w:shd w:val="clear" w:color="auto" w:fill="CFF0FC"/>
          </w:tcPr>
          <w:p>
            <w:pPr>
              <w:jc w:val="right"/>
              <w:ind w:right="10"/>
              <w:spacing w:after="0" w:line="213"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CFF0FC"/>
            </w:tcBorders>
            <w:gridSpan w:val="2"/>
            <w:shd w:val="clear" w:color="auto" w:fill="CFF0FC"/>
          </w:tcPr>
          <w:p>
            <w:pPr>
              <w:jc w:val="right"/>
              <w:ind w:right="200"/>
              <w:spacing w:after="0" w:line="213" w:lineRule="exact"/>
              <w:rPr>
                <w:sz w:val="20"/>
                <w:szCs w:val="20"/>
                <w:color w:val="auto"/>
              </w:rPr>
            </w:pPr>
            <w:r>
              <w:rPr>
                <w:rFonts w:ascii="Calibri" w:cs="Calibri" w:eastAsia="Calibri" w:hAnsi="Calibri"/>
                <w:sz w:val="18"/>
                <w:szCs w:val="18"/>
                <w:color w:val="auto"/>
              </w:rPr>
              <w:t>(160 )</w:t>
            </w:r>
          </w:p>
        </w:tc>
        <w:tc>
          <w:tcPr>
            <w:tcW w:w="200" w:type="dxa"/>
            <w:vAlign w:val="bottom"/>
            <w:tcBorders>
              <w:bottom w:val="single" w:sz="8" w:color="CFF0FC"/>
            </w:tcBorders>
            <w:shd w:val="clear" w:color="auto" w:fill="CFF0FC"/>
          </w:tcPr>
          <w:p>
            <w:pPr>
              <w:jc w:val="right"/>
              <w:ind w:right="10"/>
              <w:spacing w:after="0" w:line="213" w:lineRule="exact"/>
              <w:rPr>
                <w:sz w:val="20"/>
                <w:szCs w:val="20"/>
                <w:color w:val="auto"/>
              </w:rPr>
            </w:pPr>
            <w:r>
              <w:rPr>
                <w:rFonts w:ascii="Calibri" w:cs="Calibri" w:eastAsia="Calibri" w:hAnsi="Calibri"/>
                <w:sz w:val="18"/>
                <w:szCs w:val="18"/>
                <w:color w:val="auto"/>
                <w:w w:val="87"/>
              </w:rPr>
              <w:t>$</w:t>
            </w:r>
          </w:p>
        </w:tc>
        <w:tc>
          <w:tcPr>
            <w:tcW w:w="76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7,614</w:t>
            </w:r>
          </w:p>
        </w:tc>
        <w:tc>
          <w:tcPr>
            <w:tcW w:w="2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86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4,505</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jc w:val="right"/>
              <w:ind w:right="10"/>
              <w:spacing w:after="0" w:line="213" w:lineRule="exact"/>
              <w:rPr>
                <w:sz w:val="20"/>
                <w:szCs w:val="20"/>
                <w:color w:val="auto"/>
              </w:rPr>
            </w:pPr>
            <w:r>
              <w:rPr>
                <w:rFonts w:ascii="Calibri" w:cs="Calibri" w:eastAsia="Calibri" w:hAnsi="Calibri"/>
                <w:sz w:val="18"/>
                <w:szCs w:val="18"/>
                <w:color w:val="auto"/>
                <w:w w:val="87"/>
              </w:rPr>
              <w:t>$</w:t>
            </w:r>
          </w:p>
        </w:tc>
        <w:tc>
          <w:tcPr>
            <w:tcW w:w="78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25,704</w:t>
            </w:r>
          </w:p>
        </w:tc>
        <w:tc>
          <w:tcPr>
            <w:tcW w:w="100" w:type="dxa"/>
            <w:vAlign w:val="bottom"/>
            <w:tcBorders>
              <w:bottom w:val="single" w:sz="8" w:color="CFF0FC"/>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64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-24765</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Net income (loss) atributable to Class A common stockholders–basic is calculated by subtractng the porton of Hoya Intermediate’s net income (loss) atributable to redeemable noncontrolling interests from our total net income (loss), which includes our net income (loss) for actvites outside of our investment in Hoya Intermediate, including income tax expense (beneft) for VSI’s porton of income (loss), as well as the full results of Hoya Intermediate on a consolidated basis.</w:t>
      </w:r>
    </w:p>
    <w:p>
      <w:pPr>
        <w:spacing w:after="0" w:line="111"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Net income (loss) per Class A common stock–diluted is based on the average number of shares of our Class A common stock used for the basic earnings per share calculaton, adjusted for the weighted average number of Class</w:t>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60" w:right="299" w:bottom="1440" w:gutter="0" w:footer="0" w:header="0"/>
        </w:sectPr>
      </w:pPr>
    </w:p>
    <w:bookmarkStart w:id="26" w:name="page27"/>
    <w:bookmarkEnd w:id="2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common share equivalents outstanding for the period determined using the treasury stock and if-converted methods, as applicable. Net income (loss) atributable to Class A common stockholders–diluted is adjusted for (i) our share of Hoya Intermediate’s consolidated net income (loss) afer giving efect to Intermediate Units that convert into potental shares of our Class A common stock, to the extent it is dilutve, and (ii) the impact of changes in the fair value of Hoya Intermediate Warrants, to the extent they are dilutve.</w:t>
      </w:r>
    </w:p>
    <w:p>
      <w:pPr>
        <w:spacing w:after="0" w:line="111"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sets forth the computaton of basic and diluted net income (loss) per share of Class A common stock for the periods in which shares of our</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Class A and Class B common stock were outstanding (in thousands, except share and per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60" w:type="dxa"/>
            <w:vAlign w:val="bottom"/>
            <w:gridSpan w:val="4"/>
          </w:tcPr>
          <w:p>
            <w:pPr>
              <w:jc w:val="right"/>
              <w:ind w:right="410"/>
              <w:spacing w:after="0"/>
              <w:rPr>
                <w:sz w:val="20"/>
                <w:szCs w:val="20"/>
                <w:color w:val="auto"/>
              </w:rPr>
            </w:pPr>
            <w:r>
              <w:rPr>
                <w:rFonts w:ascii="Calibri" w:cs="Calibri" w:eastAsia="Calibri" w:hAnsi="Calibri"/>
                <w:sz w:val="18"/>
                <w:szCs w:val="18"/>
                <w:b w:val="1"/>
                <w:bCs w:val="1"/>
                <w:color w:val="auto"/>
              </w:rPr>
              <w:t>Three Months Ended June 30,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5"/>
          </w:tcPr>
          <w:p>
            <w:pPr>
              <w:ind w:left="200"/>
              <w:spacing w:after="0"/>
              <w:rPr>
                <w:sz w:val="20"/>
                <w:szCs w:val="20"/>
                <w:color w:val="auto"/>
              </w:rPr>
            </w:pPr>
            <w:r>
              <w:rPr>
                <w:rFonts w:ascii="Calibri" w:cs="Calibri" w:eastAsia="Calibri" w:hAnsi="Calibri"/>
                <w:sz w:val="18"/>
                <w:szCs w:val="18"/>
                <w:b w:val="1"/>
                <w:bCs w:val="1"/>
                <w:color w:val="auto"/>
              </w:rPr>
              <w:t>Six Months Ended June 30,</w:t>
            </w: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70"/>
              <w:spacing w:after="0" w:line="208" w:lineRule="exact"/>
              <w:rPr>
                <w:sz w:val="20"/>
                <w:szCs w:val="20"/>
                <w:color w:val="auto"/>
              </w:rPr>
            </w:pPr>
            <w:r>
              <w:rPr>
                <w:rFonts w:ascii="Calibri" w:cs="Calibri" w:eastAsia="Calibri" w:hAnsi="Calibri"/>
                <w:sz w:val="18"/>
                <w:szCs w:val="18"/>
                <w:b w:val="1"/>
                <w:bCs w:val="1"/>
                <w:color w:val="auto"/>
              </w:rPr>
              <w:t>2024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50"/>
              <w:spacing w:after="0" w:line="208" w:lineRule="exact"/>
              <w:rPr>
                <w:sz w:val="20"/>
                <w:szCs w:val="20"/>
                <w:color w:val="auto"/>
              </w:rPr>
            </w:pPr>
            <w:r>
              <w:rPr>
                <w:rFonts w:ascii="Calibri" w:cs="Calibri" w:eastAsia="Calibri" w:hAnsi="Calibri"/>
                <w:sz w:val="18"/>
                <w:szCs w:val="18"/>
                <w:b w:val="1"/>
                <w:bCs w:val="1"/>
                <w:color w:val="auto"/>
              </w:rPr>
              <w:t>2023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0"/>
              <w:spacing w:after="0" w:line="208" w:lineRule="exact"/>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1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Numerator—basic:</w:t>
            </w:r>
          </w:p>
        </w:tc>
        <w:tc>
          <w:tcPr>
            <w:tcW w:w="3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 (loss)</w:t>
            </w: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(1,221 )</w:t>
            </w: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38,326</w:t>
            </w:r>
          </w:p>
        </w:tc>
        <w:tc>
          <w:tcPr>
            <w:tcW w:w="54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9,518</w:t>
            </w:r>
          </w:p>
        </w:tc>
        <w:tc>
          <w:tcPr>
            <w:tcW w:w="4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68,598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4740" w:type="dxa"/>
            <w:vAlign w:val="bottom"/>
            <w:shd w:val="clear" w:color="auto" w:fill="CFF0FC"/>
          </w:tcPr>
          <w:p>
            <w:pPr>
              <w:ind w:left="120"/>
              <w:spacing w:after="0" w:line="207" w:lineRule="exact"/>
              <w:rPr>
                <w:sz w:val="20"/>
                <w:szCs w:val="20"/>
                <w:color w:val="auto"/>
              </w:rPr>
            </w:pPr>
            <w:r>
              <w:rPr>
                <w:rFonts w:ascii="Calibri" w:cs="Calibri" w:eastAsia="Calibri" w:hAnsi="Calibri"/>
                <w:sz w:val="18"/>
                <w:szCs w:val="18"/>
                <w:color w:val="auto"/>
              </w:rPr>
              <w:t>Less: Income (loss) atributable to redeemable</w:t>
            </w:r>
          </w:p>
        </w:tc>
        <w:tc>
          <w:tcPr>
            <w:tcW w:w="320" w:type="dxa"/>
            <w:vAlign w:val="bottom"/>
            <w:shd w:val="clear" w:color="auto" w:fill="CFF0FC"/>
          </w:tcPr>
          <w:p>
            <w:pPr>
              <w:spacing w:after="0"/>
              <w:rPr>
                <w:sz w:val="18"/>
                <w:szCs w:val="18"/>
                <w:color w:val="auto"/>
              </w:rPr>
            </w:pPr>
          </w:p>
        </w:tc>
        <w:tc>
          <w:tcPr>
            <w:tcW w:w="1400" w:type="dxa"/>
            <w:vAlign w:val="bottom"/>
            <w:gridSpan w:val="2"/>
            <w:vMerge w:val="restart"/>
            <w:shd w:val="clear" w:color="auto" w:fill="CFF0FC"/>
          </w:tcPr>
          <w:p>
            <w:pPr>
              <w:jc w:val="right"/>
              <w:ind w:right="180"/>
              <w:spacing w:after="0"/>
              <w:rPr>
                <w:sz w:val="20"/>
                <w:szCs w:val="20"/>
                <w:color w:val="auto"/>
              </w:rPr>
            </w:pPr>
            <w:r>
              <w:rPr>
                <w:rFonts w:ascii="Calibri" w:cs="Calibri" w:eastAsia="Calibri" w:hAnsi="Calibri"/>
                <w:sz w:val="18"/>
                <w:szCs w:val="18"/>
                <w:color w:val="auto"/>
              </w:rPr>
              <w:t>(160 )</w:t>
            </w:r>
          </w:p>
        </w:tc>
        <w:tc>
          <w:tcPr>
            <w:tcW w:w="32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7,614</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4,505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25,704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noncontrolling interests</w:t>
            </w:r>
          </w:p>
        </w:tc>
        <w:tc>
          <w:tcPr>
            <w:tcW w:w="3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gridSpan w:val="2"/>
            <w:vMerge w:val="continue"/>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40" w:type="dxa"/>
            <w:vAlign w:val="bottom"/>
          </w:tcPr>
          <w:p>
            <w:pPr>
              <w:ind w:left="120"/>
              <w:spacing w:after="0" w:line="201" w:lineRule="exact"/>
              <w:rPr>
                <w:sz w:val="20"/>
                <w:szCs w:val="20"/>
                <w:color w:val="auto"/>
              </w:rPr>
            </w:pPr>
            <w:r>
              <w:rPr>
                <w:rFonts w:ascii="Calibri" w:cs="Calibri" w:eastAsia="Calibri" w:hAnsi="Calibri"/>
                <w:sz w:val="18"/>
                <w:szCs w:val="18"/>
                <w:color w:val="auto"/>
              </w:rPr>
              <w:t>Net income (loss) atributable to Class A Common</w:t>
            </w:r>
          </w:p>
        </w:tc>
        <w:tc>
          <w:tcPr>
            <w:tcW w:w="320" w:type="dxa"/>
            <w:vAlign w:val="bottom"/>
          </w:tcPr>
          <w:p>
            <w:pPr>
              <w:spacing w:after="0"/>
              <w:rPr>
                <w:sz w:val="17"/>
                <w:szCs w:val="17"/>
                <w:color w:val="auto"/>
              </w:rPr>
            </w:pPr>
          </w:p>
        </w:tc>
        <w:tc>
          <w:tcPr>
            <w:tcW w:w="1400" w:type="dxa"/>
            <w:vAlign w:val="bottom"/>
            <w:gridSpan w:val="2"/>
            <w:vMerge w:val="restart"/>
          </w:tcPr>
          <w:p>
            <w:pPr>
              <w:jc w:val="right"/>
              <w:ind w:right="180"/>
              <w:spacing w:after="0"/>
              <w:rPr>
                <w:sz w:val="20"/>
                <w:szCs w:val="20"/>
                <w:color w:val="auto"/>
              </w:rPr>
            </w:pPr>
            <w:r>
              <w:rPr>
                <w:rFonts w:ascii="Calibri" w:cs="Calibri" w:eastAsia="Calibri" w:hAnsi="Calibri"/>
                <w:sz w:val="18"/>
                <w:szCs w:val="18"/>
                <w:color w:val="auto"/>
              </w:rPr>
              <w:t>(1,061 )</w:t>
            </w:r>
          </w:p>
        </w:tc>
        <w:tc>
          <w:tcPr>
            <w:tcW w:w="3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Calibri" w:cs="Calibri" w:eastAsia="Calibri" w:hAnsi="Calibri"/>
                <w:sz w:val="18"/>
                <w:szCs w:val="18"/>
                <w:color w:val="auto"/>
              </w:rPr>
              <w:t>30,712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Calibri" w:cs="Calibri" w:eastAsia="Calibri" w:hAnsi="Calibri"/>
                <w:sz w:val="18"/>
                <w:szCs w:val="18"/>
                <w:color w:val="auto"/>
              </w:rPr>
              <w:t>5,013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Calibri" w:cs="Calibri" w:eastAsia="Calibri" w:hAnsi="Calibri"/>
                <w:sz w:val="18"/>
                <w:szCs w:val="18"/>
                <w:color w:val="auto"/>
              </w:rPr>
              <w:t>42,894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120"/>
              <w:spacing w:after="0" w:line="215" w:lineRule="exact"/>
              <w:rPr>
                <w:sz w:val="20"/>
                <w:szCs w:val="20"/>
                <w:color w:val="auto"/>
              </w:rPr>
            </w:pPr>
            <w:r>
              <w:rPr>
                <w:rFonts w:ascii="Calibri" w:cs="Calibri" w:eastAsia="Calibri" w:hAnsi="Calibri"/>
                <w:sz w:val="18"/>
                <w:szCs w:val="18"/>
                <w:color w:val="auto"/>
              </w:rPr>
              <w:t>Stockholders—basic</w:t>
            </w:r>
          </w:p>
        </w:tc>
        <w:tc>
          <w:tcPr>
            <w:tcW w:w="3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Denominator—basic:</w:t>
            </w:r>
          </w:p>
        </w:tc>
        <w:tc>
          <w:tcPr>
            <w:tcW w:w="3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40" w:type="dxa"/>
            <w:vAlign w:val="bottom"/>
          </w:tcPr>
          <w:p>
            <w:pPr>
              <w:ind w:left="120"/>
              <w:spacing w:after="0" w:line="207" w:lineRule="exact"/>
              <w:rPr>
                <w:sz w:val="20"/>
                <w:szCs w:val="20"/>
                <w:color w:val="auto"/>
              </w:rPr>
            </w:pPr>
            <w:r>
              <w:rPr>
                <w:rFonts w:ascii="Calibri" w:cs="Calibri" w:eastAsia="Calibri" w:hAnsi="Calibri"/>
                <w:sz w:val="18"/>
                <w:szCs w:val="18"/>
                <w:color w:val="auto"/>
              </w:rPr>
              <w:t>Weighted average Class A common stock outstanding—</w:t>
            </w:r>
          </w:p>
        </w:tc>
        <w:tc>
          <w:tcPr>
            <w:tcW w:w="32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Calibri" w:cs="Calibri" w:eastAsia="Calibri" w:hAnsi="Calibri"/>
                <w:sz w:val="18"/>
                <w:szCs w:val="18"/>
                <w:color w:val="auto"/>
              </w:rPr>
              <w:t>131,802,620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Calibri" w:cs="Calibri" w:eastAsia="Calibri" w:hAnsi="Calibri"/>
                <w:sz w:val="18"/>
                <w:szCs w:val="18"/>
                <w:color w:val="auto"/>
              </w:rPr>
              <w:t>85,269,196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Calibri" w:cs="Calibri" w:eastAsia="Calibri" w:hAnsi="Calibri"/>
                <w:sz w:val="18"/>
                <w:szCs w:val="18"/>
                <w:color w:val="auto"/>
              </w:rPr>
              <w:t>132,935,446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Calibri" w:cs="Calibri" w:eastAsia="Calibri" w:hAnsi="Calibri"/>
                <w:sz w:val="18"/>
                <w:szCs w:val="18"/>
                <w:color w:val="auto"/>
              </w:rPr>
              <w:t>81,319,369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120"/>
              <w:spacing w:after="0" w:line="215" w:lineRule="exact"/>
              <w:rPr>
                <w:sz w:val="20"/>
                <w:szCs w:val="20"/>
                <w:color w:val="auto"/>
              </w:rPr>
            </w:pPr>
            <w:r>
              <w:rPr>
                <w:rFonts w:ascii="Calibri" w:cs="Calibri" w:eastAsia="Calibri" w:hAnsi="Calibri"/>
                <w:sz w:val="18"/>
                <w:szCs w:val="18"/>
                <w:color w:val="auto"/>
              </w:rPr>
              <w:t>basic</w:t>
            </w:r>
          </w:p>
        </w:tc>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74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Net income (loss) per Class A common stock—basic</w:t>
            </w:r>
          </w:p>
        </w:tc>
        <w:tc>
          <w:tcPr>
            <w:tcW w:w="320" w:type="dxa"/>
            <w:vAlign w:val="bottom"/>
            <w:tcBorders>
              <w:bottom w:val="single" w:sz="8" w:color="CFF0FC"/>
            </w:tcBorders>
            <w:shd w:val="clear" w:color="auto" w:fill="CFF0FC"/>
          </w:tcPr>
          <w:p>
            <w:pPr>
              <w:jc w:val="right"/>
              <w:ind w:right="110"/>
              <w:spacing w:after="0" w:line="213"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bottom w:val="single" w:sz="8" w:color="CFF0FC"/>
            </w:tcBorders>
            <w:gridSpan w:val="2"/>
            <w:shd w:val="clear" w:color="auto" w:fill="CFF0FC"/>
          </w:tcPr>
          <w:p>
            <w:pPr>
              <w:jc w:val="right"/>
              <w:ind w:right="180"/>
              <w:spacing w:after="0" w:line="213" w:lineRule="exact"/>
              <w:rPr>
                <w:sz w:val="20"/>
                <w:szCs w:val="20"/>
                <w:color w:val="auto"/>
              </w:rPr>
            </w:pPr>
            <w:r>
              <w:rPr>
                <w:rFonts w:ascii="Calibri" w:cs="Calibri" w:eastAsia="Calibri" w:hAnsi="Calibri"/>
                <w:sz w:val="18"/>
                <w:szCs w:val="18"/>
                <w:b w:val="1"/>
                <w:bCs w:val="1"/>
                <w:color w:val="auto"/>
              </w:rPr>
              <w:t>(0.01 )</w:t>
            </w:r>
          </w:p>
        </w:tc>
        <w:tc>
          <w:tcPr>
            <w:tcW w:w="320" w:type="dxa"/>
            <w:vAlign w:val="bottom"/>
            <w:tcBorders>
              <w:bottom w:val="single" w:sz="8" w:color="CFF0FC"/>
            </w:tcBorders>
            <w:shd w:val="clear" w:color="auto" w:fill="CFF0FC"/>
          </w:tcPr>
          <w:p>
            <w:pPr>
              <w:jc w:val="right"/>
              <w:ind w:right="130"/>
              <w:spacing w:after="0" w:line="213" w:lineRule="exact"/>
              <w:rPr>
                <w:sz w:val="20"/>
                <w:szCs w:val="20"/>
                <w:color w:val="auto"/>
              </w:rPr>
            </w:pPr>
            <w:r>
              <w:rPr>
                <w:rFonts w:ascii="Calibri" w:cs="Calibri" w:eastAsia="Calibri" w:hAnsi="Calibri"/>
                <w:sz w:val="18"/>
                <w:szCs w:val="18"/>
                <w:b w:val="1"/>
                <w:bCs w:val="1"/>
                <w:color w:val="auto"/>
                <w:w w:val="87"/>
              </w:rPr>
              <w:t>$</w:t>
            </w:r>
          </w:p>
        </w:tc>
        <w:tc>
          <w:tcPr>
            <w:tcW w:w="114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0.36</w:t>
            </w:r>
          </w:p>
        </w:tc>
        <w:tc>
          <w:tcPr>
            <w:tcW w:w="540" w:type="dxa"/>
            <w:vAlign w:val="bottom"/>
            <w:tcBorders>
              <w:bottom w:val="single" w:sz="8" w:color="CFF0FC"/>
            </w:tcBorders>
            <w:gridSpan w:val="2"/>
            <w:shd w:val="clear" w:color="auto" w:fill="CFF0FC"/>
          </w:tcPr>
          <w:p>
            <w:pPr>
              <w:jc w:val="right"/>
              <w:ind w:right="220"/>
              <w:spacing w:after="0" w:line="213"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0.04</w:t>
            </w:r>
          </w:p>
        </w:tc>
        <w:tc>
          <w:tcPr>
            <w:tcW w:w="480" w:type="dxa"/>
            <w:vAlign w:val="bottom"/>
            <w:tcBorders>
              <w:bottom w:val="single" w:sz="8" w:color="CFF0FC"/>
            </w:tcBorders>
            <w:gridSpan w:val="2"/>
            <w:shd w:val="clear" w:color="auto" w:fill="CFF0FC"/>
          </w:tcPr>
          <w:p>
            <w:pPr>
              <w:jc w:val="right"/>
              <w:ind w:right="160"/>
              <w:spacing w:after="0" w:line="213" w:lineRule="exact"/>
              <w:rPr>
                <w:sz w:val="20"/>
                <w:szCs w:val="20"/>
                <w:color w:val="auto"/>
              </w:rPr>
            </w:pPr>
            <w:r>
              <w:rPr>
                <w:rFonts w:ascii="Calibri" w:cs="Calibri" w:eastAsia="Calibri" w:hAnsi="Calibri"/>
                <w:sz w:val="18"/>
                <w:szCs w:val="18"/>
                <w:b w:val="1"/>
                <w:bCs w:val="1"/>
                <w:color w:val="auto"/>
              </w:rPr>
              <w:t>$</w:t>
            </w:r>
          </w:p>
        </w:tc>
        <w:tc>
          <w:tcPr>
            <w:tcW w:w="108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0.53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Numerator—diluted:</w:t>
            </w:r>
          </w:p>
        </w:tc>
        <w:tc>
          <w:tcPr>
            <w:tcW w:w="3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740" w:type="dxa"/>
            <w:vAlign w:val="bottom"/>
          </w:tcPr>
          <w:p>
            <w:pPr>
              <w:ind w:left="120"/>
              <w:spacing w:after="0" w:line="207" w:lineRule="exact"/>
              <w:rPr>
                <w:sz w:val="20"/>
                <w:szCs w:val="20"/>
                <w:color w:val="auto"/>
              </w:rPr>
            </w:pPr>
            <w:r>
              <w:rPr>
                <w:rFonts w:ascii="Calibri" w:cs="Calibri" w:eastAsia="Calibri" w:hAnsi="Calibri"/>
                <w:sz w:val="18"/>
                <w:szCs w:val="18"/>
                <w:color w:val="auto"/>
              </w:rPr>
              <w:t>Net income (loss) atributable to Class A Common</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120"/>
              <w:spacing w:after="0" w:line="215" w:lineRule="exact"/>
              <w:rPr>
                <w:sz w:val="20"/>
                <w:szCs w:val="20"/>
                <w:color w:val="auto"/>
              </w:rPr>
            </w:pPr>
            <w:r>
              <w:rPr>
                <w:rFonts w:ascii="Calibri" w:cs="Calibri" w:eastAsia="Calibri" w:hAnsi="Calibri"/>
                <w:sz w:val="18"/>
                <w:szCs w:val="18"/>
                <w:color w:val="auto"/>
              </w:rPr>
              <w:t>Stockholders—basic</w:t>
            </w: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(1,061 )</w:t>
            </w: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30,712</w:t>
            </w:r>
          </w:p>
        </w:tc>
        <w:tc>
          <w:tcPr>
            <w:tcW w:w="54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5,013</w:t>
            </w:r>
          </w:p>
        </w:tc>
        <w:tc>
          <w:tcPr>
            <w:tcW w:w="4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42,894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Net income (loss) efect of dilutve securites:</w:t>
            </w:r>
          </w:p>
        </w:tc>
        <w:tc>
          <w:tcPr>
            <w:tcW w:w="3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120"/>
              <w:spacing w:after="0" w:line="215" w:lineRule="exact"/>
              <w:rPr>
                <w:sz w:val="20"/>
                <w:szCs w:val="20"/>
                <w:color w:val="auto"/>
              </w:rPr>
            </w:pPr>
            <w:r>
              <w:rPr>
                <w:rFonts w:ascii="Calibri" w:cs="Calibri" w:eastAsia="Calibri" w:hAnsi="Calibri"/>
                <w:sz w:val="18"/>
                <w:szCs w:val="18"/>
                <w:color w:val="auto"/>
              </w:rPr>
              <w:t>Efect of dilutve Noncontrolling Interest</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(814 )</w:t>
            </w:r>
          </w:p>
        </w:tc>
        <w:tc>
          <w:tcPr>
            <w:tcW w:w="32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8,765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2,434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25,605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Efect of RSUs</w:t>
            </w:r>
          </w:p>
        </w:tc>
        <w:tc>
          <w:tcPr>
            <w:tcW w:w="3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40" w:type="dxa"/>
            <w:vAlign w:val="bottom"/>
          </w:tcPr>
          <w:p>
            <w:pPr>
              <w:ind w:left="120"/>
              <w:spacing w:after="0" w:line="201" w:lineRule="exact"/>
              <w:rPr>
                <w:sz w:val="20"/>
                <w:szCs w:val="20"/>
                <w:color w:val="auto"/>
              </w:rPr>
            </w:pPr>
            <w:r>
              <w:rPr>
                <w:rFonts w:ascii="Calibri" w:cs="Calibri" w:eastAsia="Calibri" w:hAnsi="Calibri"/>
                <w:sz w:val="18"/>
                <w:szCs w:val="18"/>
                <w:color w:val="auto"/>
              </w:rPr>
              <w:t>Net income (loss) atributable to Class A Common</w:t>
            </w:r>
          </w:p>
        </w:tc>
        <w:tc>
          <w:tcPr>
            <w:tcW w:w="320" w:type="dxa"/>
            <w:vAlign w:val="bottom"/>
          </w:tcPr>
          <w:p>
            <w:pPr>
              <w:spacing w:after="0"/>
              <w:rPr>
                <w:sz w:val="17"/>
                <w:szCs w:val="17"/>
                <w:color w:val="auto"/>
              </w:rPr>
            </w:pPr>
          </w:p>
        </w:tc>
        <w:tc>
          <w:tcPr>
            <w:tcW w:w="1400" w:type="dxa"/>
            <w:vAlign w:val="bottom"/>
            <w:gridSpan w:val="2"/>
            <w:vMerge w:val="restart"/>
          </w:tcPr>
          <w:p>
            <w:pPr>
              <w:jc w:val="right"/>
              <w:ind w:right="180"/>
              <w:spacing w:after="0"/>
              <w:rPr>
                <w:sz w:val="20"/>
                <w:szCs w:val="20"/>
                <w:color w:val="auto"/>
              </w:rPr>
            </w:pPr>
            <w:r>
              <w:rPr>
                <w:rFonts w:ascii="Calibri" w:cs="Calibri" w:eastAsia="Calibri" w:hAnsi="Calibri"/>
                <w:sz w:val="18"/>
                <w:szCs w:val="18"/>
                <w:color w:val="auto"/>
              </w:rPr>
              <w:t>(1,875 )</w:t>
            </w:r>
          </w:p>
        </w:tc>
        <w:tc>
          <w:tcPr>
            <w:tcW w:w="3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Calibri" w:cs="Calibri" w:eastAsia="Calibri" w:hAnsi="Calibri"/>
                <w:sz w:val="18"/>
                <w:szCs w:val="18"/>
                <w:color w:val="auto"/>
              </w:rPr>
              <w:t>39,495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Calibri" w:cs="Calibri" w:eastAsia="Calibri" w:hAnsi="Calibri"/>
                <w:sz w:val="18"/>
                <w:szCs w:val="18"/>
                <w:color w:val="auto"/>
              </w:rPr>
              <w:t>7,450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Calibri" w:cs="Calibri" w:eastAsia="Calibri" w:hAnsi="Calibri"/>
                <w:sz w:val="18"/>
                <w:szCs w:val="18"/>
                <w:color w:val="auto"/>
              </w:rPr>
              <w:t>68,546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120"/>
              <w:spacing w:after="0" w:line="215" w:lineRule="exact"/>
              <w:rPr>
                <w:sz w:val="20"/>
                <w:szCs w:val="20"/>
                <w:color w:val="auto"/>
              </w:rPr>
            </w:pPr>
            <w:r>
              <w:rPr>
                <w:rFonts w:ascii="Calibri" w:cs="Calibri" w:eastAsia="Calibri" w:hAnsi="Calibri"/>
                <w:sz w:val="18"/>
                <w:szCs w:val="18"/>
                <w:color w:val="auto"/>
              </w:rPr>
              <w:t>Stockholders—diluted</w:t>
            </w:r>
          </w:p>
        </w:tc>
        <w:tc>
          <w:tcPr>
            <w:tcW w:w="3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Denominator—diluted:</w:t>
            </w:r>
          </w:p>
        </w:tc>
        <w:tc>
          <w:tcPr>
            <w:tcW w:w="3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40" w:type="dxa"/>
            <w:vAlign w:val="bottom"/>
          </w:tcPr>
          <w:p>
            <w:pPr>
              <w:ind w:left="120"/>
              <w:spacing w:after="0" w:line="207" w:lineRule="exact"/>
              <w:rPr>
                <w:sz w:val="20"/>
                <w:szCs w:val="20"/>
                <w:color w:val="auto"/>
              </w:rPr>
            </w:pPr>
            <w:r>
              <w:rPr>
                <w:rFonts w:ascii="Calibri" w:cs="Calibri" w:eastAsia="Calibri" w:hAnsi="Calibri"/>
                <w:sz w:val="18"/>
                <w:szCs w:val="18"/>
                <w:color w:val="auto"/>
              </w:rPr>
              <w:t>Weighted average Class A common stock outstanding—</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120"/>
              <w:spacing w:after="0" w:line="215" w:lineRule="exact"/>
              <w:rPr>
                <w:sz w:val="20"/>
                <w:szCs w:val="20"/>
                <w:color w:val="auto"/>
              </w:rPr>
            </w:pPr>
            <w:r>
              <w:rPr>
                <w:rFonts w:ascii="Calibri" w:cs="Calibri" w:eastAsia="Calibri" w:hAnsi="Calibri"/>
                <w:sz w:val="18"/>
                <w:szCs w:val="18"/>
                <w:color w:val="auto"/>
              </w:rPr>
              <w:t>basic</w:t>
            </w:r>
          </w:p>
        </w:tc>
        <w:tc>
          <w:tcPr>
            <w:tcW w:w="32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131,802,620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85,269,196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132,935,446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81,319,369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Weighted average efect of dilutve securites:</w:t>
            </w:r>
          </w:p>
        </w:tc>
        <w:tc>
          <w:tcPr>
            <w:tcW w:w="3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120"/>
              <w:spacing w:after="0" w:line="215" w:lineRule="exact"/>
              <w:rPr>
                <w:sz w:val="20"/>
                <w:szCs w:val="20"/>
                <w:color w:val="auto"/>
              </w:rPr>
            </w:pPr>
            <w:r>
              <w:rPr>
                <w:rFonts w:ascii="Calibri" w:cs="Calibri" w:eastAsia="Calibri" w:hAnsi="Calibri"/>
                <w:sz w:val="18"/>
                <w:szCs w:val="18"/>
                <w:color w:val="auto"/>
              </w:rPr>
              <w:t>Efect of dilutve Noncontrolling Interest</w:t>
            </w:r>
          </w:p>
        </w:tc>
        <w:tc>
          <w:tcPr>
            <w:tcW w:w="32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76,225,000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110,662,222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76,225,000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114,451,934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Efect of RSUs</w:t>
            </w:r>
          </w:p>
        </w:tc>
        <w:tc>
          <w:tcPr>
            <w:tcW w:w="3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446,052</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777,264</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356,956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740" w:type="dxa"/>
            <w:vAlign w:val="bottom"/>
          </w:tcPr>
          <w:p>
            <w:pPr>
              <w:ind w:left="120"/>
              <w:spacing w:after="0" w:line="207" w:lineRule="exact"/>
              <w:rPr>
                <w:sz w:val="20"/>
                <w:szCs w:val="20"/>
                <w:color w:val="auto"/>
              </w:rPr>
            </w:pPr>
            <w:r>
              <w:rPr>
                <w:rFonts w:ascii="Calibri" w:cs="Calibri" w:eastAsia="Calibri" w:hAnsi="Calibri"/>
                <w:sz w:val="18"/>
                <w:szCs w:val="18"/>
                <w:color w:val="auto"/>
              </w:rPr>
              <w:t>Weighted average Class A common stock outstanding—</w:t>
            </w:r>
          </w:p>
        </w:tc>
        <w:tc>
          <w:tcPr>
            <w:tcW w:w="32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Calibri" w:cs="Calibri" w:eastAsia="Calibri" w:hAnsi="Calibri"/>
                <w:sz w:val="18"/>
                <w:szCs w:val="18"/>
                <w:color w:val="auto"/>
              </w:rPr>
              <w:t>208,027,620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Calibri" w:cs="Calibri" w:eastAsia="Calibri" w:hAnsi="Calibri"/>
                <w:sz w:val="18"/>
                <w:szCs w:val="18"/>
                <w:color w:val="auto"/>
              </w:rPr>
              <w:t>196,377,470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Calibri" w:cs="Calibri" w:eastAsia="Calibri" w:hAnsi="Calibri"/>
                <w:sz w:val="18"/>
                <w:szCs w:val="18"/>
                <w:color w:val="auto"/>
              </w:rPr>
              <w:t>209,937,710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Calibri" w:cs="Calibri" w:eastAsia="Calibri" w:hAnsi="Calibri"/>
                <w:sz w:val="18"/>
                <w:szCs w:val="18"/>
                <w:color w:val="auto"/>
              </w:rPr>
              <w:t>196,128,259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120"/>
              <w:spacing w:after="0" w:line="215" w:lineRule="exact"/>
              <w:rPr>
                <w:sz w:val="20"/>
                <w:szCs w:val="20"/>
                <w:color w:val="auto"/>
              </w:rPr>
            </w:pPr>
            <w:r>
              <w:rPr>
                <w:rFonts w:ascii="Calibri" w:cs="Calibri" w:eastAsia="Calibri" w:hAnsi="Calibri"/>
                <w:sz w:val="18"/>
                <w:szCs w:val="18"/>
                <w:color w:val="auto"/>
              </w:rPr>
              <w:t>diluted</w:t>
            </w:r>
          </w:p>
        </w:tc>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474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Net income (loss) per Class A common stock—diluted</w:t>
            </w:r>
          </w:p>
        </w:tc>
        <w:tc>
          <w:tcPr>
            <w:tcW w:w="320" w:type="dxa"/>
            <w:vAlign w:val="bottom"/>
            <w:tcBorders>
              <w:bottom w:val="single" w:sz="8" w:color="CFF0FC"/>
            </w:tcBorders>
            <w:shd w:val="clear" w:color="auto" w:fill="CFF0FC"/>
          </w:tcPr>
          <w:p>
            <w:pPr>
              <w:jc w:val="right"/>
              <w:ind w:right="110"/>
              <w:spacing w:after="0" w:line="213"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bottom w:val="single" w:sz="8" w:color="CFF0FC"/>
            </w:tcBorders>
            <w:gridSpan w:val="2"/>
            <w:shd w:val="clear" w:color="auto" w:fill="CFF0FC"/>
          </w:tcPr>
          <w:p>
            <w:pPr>
              <w:jc w:val="right"/>
              <w:ind w:right="180"/>
              <w:spacing w:after="0" w:line="213" w:lineRule="exact"/>
              <w:rPr>
                <w:sz w:val="20"/>
                <w:szCs w:val="20"/>
                <w:color w:val="auto"/>
              </w:rPr>
            </w:pPr>
            <w:r>
              <w:rPr>
                <w:rFonts w:ascii="Calibri" w:cs="Calibri" w:eastAsia="Calibri" w:hAnsi="Calibri"/>
                <w:sz w:val="18"/>
                <w:szCs w:val="18"/>
                <w:b w:val="1"/>
                <w:bCs w:val="1"/>
                <w:color w:val="auto"/>
              </w:rPr>
              <w:t>(0.01 )</w:t>
            </w:r>
          </w:p>
        </w:tc>
        <w:tc>
          <w:tcPr>
            <w:tcW w:w="320" w:type="dxa"/>
            <w:vAlign w:val="bottom"/>
            <w:tcBorders>
              <w:bottom w:val="single" w:sz="8" w:color="CFF0FC"/>
            </w:tcBorders>
            <w:shd w:val="clear" w:color="auto" w:fill="CFF0FC"/>
          </w:tcPr>
          <w:p>
            <w:pPr>
              <w:jc w:val="right"/>
              <w:ind w:right="130"/>
              <w:spacing w:after="0" w:line="213" w:lineRule="exact"/>
              <w:rPr>
                <w:sz w:val="20"/>
                <w:szCs w:val="20"/>
                <w:color w:val="auto"/>
              </w:rPr>
            </w:pPr>
            <w:r>
              <w:rPr>
                <w:rFonts w:ascii="Calibri" w:cs="Calibri" w:eastAsia="Calibri" w:hAnsi="Calibri"/>
                <w:sz w:val="18"/>
                <w:szCs w:val="18"/>
                <w:b w:val="1"/>
                <w:bCs w:val="1"/>
                <w:color w:val="auto"/>
                <w:w w:val="87"/>
              </w:rPr>
              <w:t>$</w:t>
            </w:r>
          </w:p>
        </w:tc>
        <w:tc>
          <w:tcPr>
            <w:tcW w:w="114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0.20</w:t>
            </w:r>
          </w:p>
        </w:tc>
        <w:tc>
          <w:tcPr>
            <w:tcW w:w="540" w:type="dxa"/>
            <w:vAlign w:val="bottom"/>
            <w:tcBorders>
              <w:bottom w:val="single" w:sz="8" w:color="CFF0FC"/>
            </w:tcBorders>
            <w:gridSpan w:val="2"/>
            <w:shd w:val="clear" w:color="auto" w:fill="CFF0FC"/>
          </w:tcPr>
          <w:p>
            <w:pPr>
              <w:jc w:val="right"/>
              <w:ind w:right="220"/>
              <w:spacing w:after="0" w:line="213"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0.04</w:t>
            </w:r>
          </w:p>
        </w:tc>
        <w:tc>
          <w:tcPr>
            <w:tcW w:w="480" w:type="dxa"/>
            <w:vAlign w:val="bottom"/>
            <w:tcBorders>
              <w:bottom w:val="single" w:sz="8" w:color="CFF0FC"/>
            </w:tcBorders>
            <w:gridSpan w:val="2"/>
            <w:shd w:val="clear" w:color="auto" w:fill="CFF0FC"/>
          </w:tcPr>
          <w:p>
            <w:pPr>
              <w:jc w:val="right"/>
              <w:ind w:right="160"/>
              <w:spacing w:after="0" w:line="213" w:lineRule="exact"/>
              <w:rPr>
                <w:sz w:val="20"/>
                <w:szCs w:val="20"/>
                <w:color w:val="auto"/>
              </w:rPr>
            </w:pPr>
            <w:r>
              <w:rPr>
                <w:rFonts w:ascii="Calibri" w:cs="Calibri" w:eastAsia="Calibri" w:hAnsi="Calibri"/>
                <w:sz w:val="18"/>
                <w:szCs w:val="18"/>
                <w:b w:val="1"/>
                <w:bCs w:val="1"/>
                <w:color w:val="auto"/>
              </w:rPr>
              <w:t>$</w:t>
            </w:r>
          </w:p>
        </w:tc>
        <w:tc>
          <w:tcPr>
            <w:tcW w:w="108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0.35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821"/>
        </w:trPr>
        <w:tc>
          <w:tcPr>
            <w:tcW w:w="47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410"/>
              <w:spacing w:after="0"/>
              <w:rPr>
                <w:sz w:val="20"/>
                <w:szCs w:val="20"/>
                <w:color w:val="auto"/>
              </w:rPr>
            </w:pPr>
            <w:r>
              <w:rPr>
                <w:rFonts w:ascii="Calibri" w:cs="Calibri" w:eastAsia="Calibri" w:hAnsi="Calibri"/>
                <w:sz w:val="18"/>
                <w:szCs w:val="18"/>
                <w:color w:val="auto"/>
              </w:rPr>
              <w:t>25</w:t>
            </w: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73"/>
        </w:trPr>
        <w:tc>
          <w:tcPr>
            <w:tcW w:w="4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-4705350</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-4705350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-4705350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-3805555</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-3788410</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-3805555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-3788410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-3805555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-3788410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-2716530</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-2716530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-2716530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-1062355</wp:posOffset>
            </wp:positionV>
            <wp:extent cx="774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-1045210</wp:posOffset>
            </wp:positionV>
            <wp:extent cx="774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-1062355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-1045210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-1062355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-1045210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7" w:name="page28"/>
    <w:bookmarkEnd w:id="27"/>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Potental shares of our Class A common stock are excluded from the computaton of diluted net income (loss) per share of Class A common stock if their efect would have been ant-dilutve for the period presented or if the issuance of shares is contngent upon events that did not occur by the end of the period.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presents potentally dilutve securites excluded from the computaton of diluted net income (loss) per share of Class A common stock for the periods presented that could potentally dilute earnings per share in the future: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60" w:type="dxa"/>
            <w:vAlign w:val="bottom"/>
          </w:tcPr>
          <w:p>
            <w:pPr>
              <w:spacing w:after="0"/>
              <w:rPr>
                <w:sz w:val="19"/>
                <w:szCs w:val="19"/>
                <w:color w:val="auto"/>
              </w:rPr>
            </w:pPr>
          </w:p>
        </w:tc>
        <w:tc>
          <w:tcPr>
            <w:tcW w:w="3160" w:type="dxa"/>
            <w:vAlign w:val="bottom"/>
            <w:gridSpan w:val="3"/>
          </w:tcPr>
          <w:p>
            <w:pPr>
              <w:jc w:val="right"/>
              <w:ind w:right="500"/>
              <w:spacing w:after="0"/>
              <w:rPr>
                <w:sz w:val="20"/>
                <w:szCs w:val="20"/>
                <w:color w:val="auto"/>
              </w:rPr>
            </w:pPr>
            <w:r>
              <w:rPr>
                <w:rFonts w:ascii="Calibri" w:cs="Calibri" w:eastAsia="Calibri" w:hAnsi="Calibri"/>
                <w:sz w:val="18"/>
                <w:szCs w:val="18"/>
                <w:b w:val="1"/>
                <w:bCs w:val="1"/>
                <w:color w:val="auto"/>
              </w:rPr>
              <w:t>Three Months Ended June 30,</w:t>
            </w:r>
          </w:p>
        </w:tc>
        <w:tc>
          <w:tcPr>
            <w:tcW w:w="220" w:type="dxa"/>
            <w:vAlign w:val="bottom"/>
          </w:tcPr>
          <w:p>
            <w:pPr>
              <w:spacing w:after="0"/>
              <w:rPr>
                <w:sz w:val="19"/>
                <w:szCs w:val="19"/>
                <w:color w:val="auto"/>
              </w:rPr>
            </w:pPr>
          </w:p>
        </w:tc>
        <w:tc>
          <w:tcPr>
            <w:tcW w:w="3000" w:type="dxa"/>
            <w:vAlign w:val="bottom"/>
            <w:gridSpan w:val="4"/>
          </w:tcPr>
          <w:p>
            <w:pPr>
              <w:ind w:left="480"/>
              <w:spacing w:after="0"/>
              <w:rPr>
                <w:sz w:val="20"/>
                <w:szCs w:val="20"/>
                <w:color w:val="auto"/>
              </w:rPr>
            </w:pPr>
            <w:r>
              <w:rPr>
                <w:rFonts w:ascii="Calibri" w:cs="Calibri" w:eastAsia="Calibri" w:hAnsi="Calibri"/>
                <w:sz w:val="18"/>
                <w:szCs w:val="18"/>
                <w:b w:val="1"/>
                <w:bCs w:val="1"/>
                <w:color w:val="auto"/>
              </w:rPr>
              <w:t>Six Months Ended June 30,</w:t>
            </w:r>
          </w:p>
        </w:tc>
      </w:tr>
      <w:tr>
        <w:trPr>
          <w:trHeight w:val="37"/>
        </w:trPr>
        <w:tc>
          <w:tcPr>
            <w:tcW w:w="486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4860" w:type="dxa"/>
            <w:vAlign w:val="bottom"/>
          </w:tcPr>
          <w:p>
            <w:pPr>
              <w:spacing w:after="0"/>
              <w:rPr>
                <w:sz w:val="18"/>
                <w:szCs w:val="18"/>
                <w:color w:val="auto"/>
              </w:rPr>
            </w:pPr>
          </w:p>
        </w:tc>
        <w:tc>
          <w:tcPr>
            <w:tcW w:w="1460" w:type="dxa"/>
            <w:vAlign w:val="bottom"/>
          </w:tcPr>
          <w:p>
            <w:pPr>
              <w:jc w:val="right"/>
              <w:ind w:right="450"/>
              <w:spacing w:after="0" w:line="208" w:lineRule="exact"/>
              <w:rPr>
                <w:sz w:val="20"/>
                <w:szCs w:val="20"/>
                <w:color w:val="auto"/>
              </w:rPr>
            </w:pPr>
            <w:r>
              <w:rPr>
                <w:rFonts w:ascii="Calibri" w:cs="Calibri" w:eastAsia="Calibri" w:hAnsi="Calibri"/>
                <w:sz w:val="18"/>
                <w:szCs w:val="18"/>
                <w:b w:val="1"/>
                <w:bCs w:val="1"/>
                <w:color w:val="auto"/>
              </w:rPr>
              <w:t>2024</w:t>
            </w:r>
          </w:p>
        </w:tc>
        <w:tc>
          <w:tcPr>
            <w:tcW w:w="1700" w:type="dxa"/>
            <w:vAlign w:val="bottom"/>
            <w:gridSpan w:val="2"/>
          </w:tcPr>
          <w:p>
            <w:pPr>
              <w:jc w:val="right"/>
              <w:ind w:right="540"/>
              <w:spacing w:after="0" w:line="208" w:lineRule="exact"/>
              <w:rPr>
                <w:sz w:val="20"/>
                <w:szCs w:val="20"/>
                <w:color w:val="auto"/>
              </w:rPr>
            </w:pPr>
            <w:r>
              <w:rPr>
                <w:rFonts w:ascii="Calibri" w:cs="Calibri" w:eastAsia="Calibri" w:hAnsi="Calibri"/>
                <w:sz w:val="18"/>
                <w:szCs w:val="18"/>
                <w:b w:val="1"/>
                <w:bCs w:val="1"/>
                <w:color w:val="auto"/>
              </w:rPr>
              <w:t>2023</w:t>
            </w:r>
          </w:p>
        </w:tc>
        <w:tc>
          <w:tcPr>
            <w:tcW w:w="220" w:type="dxa"/>
            <w:vAlign w:val="bottom"/>
          </w:tcPr>
          <w:p>
            <w:pPr>
              <w:spacing w:after="0"/>
              <w:rPr>
                <w:sz w:val="18"/>
                <w:szCs w:val="18"/>
                <w:color w:val="auto"/>
              </w:rPr>
            </w:pPr>
          </w:p>
        </w:tc>
        <w:tc>
          <w:tcPr>
            <w:tcW w:w="1440" w:type="dxa"/>
            <w:vAlign w:val="bottom"/>
          </w:tcPr>
          <w:p>
            <w:pPr>
              <w:jc w:val="right"/>
              <w:ind w:right="450"/>
              <w:spacing w:after="0" w:line="208" w:lineRule="exact"/>
              <w:rPr>
                <w:sz w:val="20"/>
                <w:szCs w:val="20"/>
                <w:color w:val="auto"/>
              </w:rPr>
            </w:pPr>
            <w:r>
              <w:rPr>
                <w:rFonts w:ascii="Calibri" w:cs="Calibri" w:eastAsia="Calibri" w:hAnsi="Calibri"/>
                <w:sz w:val="18"/>
                <w:szCs w:val="18"/>
                <w:b w:val="1"/>
                <w:bCs w:val="1"/>
                <w:color w:val="auto"/>
              </w:rPr>
              <w:t>2024</w:t>
            </w:r>
          </w:p>
        </w:tc>
        <w:tc>
          <w:tcPr>
            <w:tcW w:w="1460" w:type="dxa"/>
            <w:vAlign w:val="bottom"/>
            <w:gridSpan w:val="2"/>
          </w:tcPr>
          <w:p>
            <w:pPr>
              <w:jc w:val="right"/>
              <w:ind w:right="44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8"/>
        </w:trPr>
        <w:tc>
          <w:tcPr>
            <w:tcW w:w="48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RSUs</w:t>
            </w:r>
          </w:p>
        </w:tc>
        <w:tc>
          <w:tcPr>
            <w:tcW w:w="14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2,526,153</w:t>
            </w:r>
          </w:p>
        </w:tc>
        <w:tc>
          <w:tcPr>
            <w:tcW w:w="170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1,726,048</w:t>
            </w:r>
          </w:p>
        </w:tc>
        <w:tc>
          <w:tcPr>
            <w:tcW w:w="16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1,030,298</w:t>
            </w:r>
          </w:p>
        </w:tc>
        <w:tc>
          <w:tcPr>
            <w:tcW w:w="1460" w:type="dxa"/>
            <w:vAlign w:val="bottom"/>
            <w:tcBorders>
              <w:bottom w:val="single" w:sz="8" w:color="CFF0FC"/>
            </w:tcBorders>
            <w:gridSpan w:val="2"/>
            <w:shd w:val="clear" w:color="auto" w:fill="CFF0FC"/>
          </w:tcPr>
          <w:p>
            <w:pPr>
              <w:jc w:val="right"/>
              <w:ind w:right="20"/>
              <w:spacing w:after="0" w:line="208" w:lineRule="exact"/>
              <w:rPr>
                <w:sz w:val="20"/>
                <w:szCs w:val="20"/>
                <w:color w:val="auto"/>
              </w:rPr>
            </w:pPr>
            <w:r>
              <w:rPr>
                <w:rFonts w:ascii="Calibri" w:cs="Calibri" w:eastAsia="Calibri" w:hAnsi="Calibri"/>
                <w:sz w:val="18"/>
                <w:szCs w:val="18"/>
                <w:color w:val="auto"/>
              </w:rPr>
              <w:t>1,065,396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860" w:type="dxa"/>
            <w:vAlign w:val="bottom"/>
          </w:tcPr>
          <w:p>
            <w:pPr>
              <w:ind w:left="20"/>
              <w:spacing w:after="0" w:line="215" w:lineRule="exact"/>
              <w:rPr>
                <w:sz w:val="20"/>
                <w:szCs w:val="20"/>
                <w:color w:val="auto"/>
              </w:rPr>
            </w:pPr>
            <w:r>
              <w:rPr>
                <w:rFonts w:ascii="Calibri" w:cs="Calibri" w:eastAsia="Calibri" w:hAnsi="Calibri"/>
                <w:sz w:val="18"/>
                <w:szCs w:val="18"/>
                <w:color w:val="auto"/>
              </w:rPr>
              <w:t>Stock optons</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8,545,136</w:t>
            </w:r>
          </w:p>
        </w:tc>
        <w:tc>
          <w:tcPr>
            <w:tcW w:w="17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10,597,528</w:t>
            </w:r>
          </w:p>
        </w:tc>
        <w:tc>
          <w:tcPr>
            <w:tcW w:w="16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8,545,136</w:t>
            </w:r>
          </w:p>
        </w:tc>
        <w:tc>
          <w:tcPr>
            <w:tcW w:w="14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10,597,528</w:t>
            </w:r>
          </w:p>
        </w:tc>
        <w:tc>
          <w:tcPr>
            <w:tcW w:w="100" w:type="dxa"/>
            <w:vAlign w:val="bottom"/>
          </w:tcPr>
          <w:p>
            <w:pPr>
              <w:spacing w:after="0"/>
              <w:rPr>
                <w:sz w:val="18"/>
                <w:szCs w:val="18"/>
                <w:color w:val="auto"/>
              </w:rPr>
            </w:pPr>
          </w:p>
        </w:tc>
      </w:tr>
      <w:tr>
        <w:trPr>
          <w:trHeight w:val="28"/>
        </w:trPr>
        <w:tc>
          <w:tcPr>
            <w:tcW w:w="4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8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Public Warrants and Private Warrants</w:t>
            </w:r>
          </w:p>
        </w:tc>
        <w:tc>
          <w:tcPr>
            <w:tcW w:w="1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13,286,644</w:t>
            </w:r>
          </w:p>
        </w:tc>
        <w:tc>
          <w:tcPr>
            <w:tcW w:w="17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13,286,644</w:t>
            </w:r>
          </w:p>
        </w:tc>
        <w:tc>
          <w:tcPr>
            <w:tcW w:w="16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13,286,644</w:t>
            </w:r>
          </w:p>
        </w:tc>
        <w:tc>
          <w:tcPr>
            <w:tcW w:w="146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13,286,644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4860" w:type="dxa"/>
            <w:vAlign w:val="bottom"/>
          </w:tcPr>
          <w:p>
            <w:pPr>
              <w:ind w:left="20"/>
              <w:spacing w:after="0" w:line="215" w:lineRule="exact"/>
              <w:rPr>
                <w:sz w:val="20"/>
                <w:szCs w:val="20"/>
                <w:color w:val="auto"/>
              </w:rPr>
            </w:pPr>
            <w:r>
              <w:rPr>
                <w:rFonts w:ascii="Calibri" w:cs="Calibri" w:eastAsia="Calibri" w:hAnsi="Calibri"/>
                <w:sz w:val="18"/>
                <w:szCs w:val="18"/>
                <w:color w:val="auto"/>
              </w:rPr>
              <w:t>Exercise Warrants</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34,000,000</w:t>
            </w:r>
          </w:p>
        </w:tc>
        <w:tc>
          <w:tcPr>
            <w:tcW w:w="17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34,000,000</w:t>
            </w:r>
          </w:p>
        </w:tc>
        <w:tc>
          <w:tcPr>
            <w:tcW w:w="16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34,000,000</w:t>
            </w:r>
          </w:p>
        </w:tc>
        <w:tc>
          <w:tcPr>
            <w:tcW w:w="14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34,000,000</w:t>
            </w:r>
          </w:p>
        </w:tc>
        <w:tc>
          <w:tcPr>
            <w:tcW w:w="100" w:type="dxa"/>
            <w:vAlign w:val="bottom"/>
          </w:tcPr>
          <w:p>
            <w:pPr>
              <w:spacing w:after="0"/>
              <w:rPr>
                <w:sz w:val="18"/>
                <w:szCs w:val="18"/>
                <w:color w:val="auto"/>
              </w:rPr>
            </w:pPr>
          </w:p>
        </w:tc>
      </w:tr>
      <w:tr>
        <w:trPr>
          <w:trHeight w:val="28"/>
        </w:trPr>
        <w:tc>
          <w:tcPr>
            <w:tcW w:w="4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8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Hoya Intermediate Warrants</w:t>
            </w:r>
          </w:p>
        </w:tc>
        <w:tc>
          <w:tcPr>
            <w:tcW w:w="1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4,000,000</w:t>
            </w:r>
          </w:p>
        </w:tc>
        <w:tc>
          <w:tcPr>
            <w:tcW w:w="17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6,000,000</w:t>
            </w:r>
          </w:p>
        </w:tc>
        <w:tc>
          <w:tcPr>
            <w:tcW w:w="16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4,000,000</w:t>
            </w:r>
          </w:p>
        </w:tc>
        <w:tc>
          <w:tcPr>
            <w:tcW w:w="146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6,000,000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840"/>
        </w:trPr>
        <w:tc>
          <w:tcPr>
            <w:tcW w:w="4860" w:type="dxa"/>
            <w:vAlign w:val="bottom"/>
          </w:tcPr>
          <w:p>
            <w:pPr>
              <w:spacing w:after="0"/>
              <w:rPr>
                <w:sz w:val="24"/>
                <w:szCs w:val="24"/>
                <w:color w:val="auto"/>
              </w:rPr>
            </w:pPr>
          </w:p>
        </w:tc>
        <w:tc>
          <w:tcPr>
            <w:tcW w:w="1460" w:type="dxa"/>
            <w:vAlign w:val="bottom"/>
          </w:tcPr>
          <w:p>
            <w:pPr>
              <w:jc w:val="right"/>
              <w:ind w:right="510"/>
              <w:spacing w:after="0"/>
              <w:rPr>
                <w:sz w:val="20"/>
                <w:szCs w:val="20"/>
                <w:color w:val="auto"/>
              </w:rPr>
            </w:pPr>
            <w:r>
              <w:rPr>
                <w:rFonts w:ascii="Calibri" w:cs="Calibri" w:eastAsia="Calibri" w:hAnsi="Calibri"/>
                <w:sz w:val="18"/>
                <w:szCs w:val="18"/>
                <w:color w:val="auto"/>
              </w:rPr>
              <w:t>26</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87"/>
        </w:trPr>
        <w:tc>
          <w:tcPr>
            <w:tcW w:w="48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8" w:name="page29"/>
    <w:bookmarkEnd w:id="28"/>
    <w:p>
      <w:pPr>
        <w:ind w:left="1980"/>
        <w:spacing w:after="0"/>
        <w:rPr>
          <w:sz w:val="20"/>
          <w:szCs w:val="20"/>
          <w:color w:val="auto"/>
        </w:rPr>
      </w:pPr>
      <w:r>
        <w:rPr>
          <w:rFonts w:ascii="Calibri" w:cs="Calibri" w:eastAsia="Calibri" w:hAnsi="Calibri"/>
          <w:sz w:val="18"/>
          <w:szCs w:val="18"/>
          <w:b w:val="1"/>
          <w:bCs w:val="1"/>
          <w:color w:val="auto"/>
        </w:rPr>
        <w:t>Item 2. MANAGEMENT’S DISCUSSION AND ANALYSIS OF FINANCIAL CONDITION AND RESULTS OF OPERATIONS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This discussion is intended to help readers understand our fnancial conditon and results of operatons and is provided as an additon to, and should be read together with, our condensed consolidated fnancial statements and accompanying notes included elsewhere in this Report, as well as our audited consolidated fnancial statements and accompanying notes contained in our 2023 Form 10-K. This discussion contains forward-looking statements, which are subject to risks and uncertaintes that could cause actual results or outcomes to difer materially from those contemplated by the forward-looking statements. Such risks and uncertaintes include, but are not limited to, those discussed in the “Risk Factors” and “Forward-Looking Statements” sectons of this Report and our 2023 Form 10-K.</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 xml:space="preserve">We are an online tcket marketplace that utlizes our technology platorm to connect fans of live events seamlessly with tcket sellers. Our mission is to empower and enable fans to </w:t>
      </w:r>
      <w:r>
        <w:rPr>
          <w:rFonts w:ascii="Calibri" w:cs="Calibri" w:eastAsia="Calibri" w:hAnsi="Calibri"/>
          <w:sz w:val="17"/>
          <w:szCs w:val="17"/>
          <w:i w:val="1"/>
          <w:iCs w:val="1"/>
          <w:color w:val="auto"/>
        </w:rPr>
        <w:t>Experience It Live</w:t>
      </w:r>
      <w:r>
        <w:rPr>
          <w:rFonts w:ascii="Calibri" w:cs="Calibri" w:eastAsia="Calibri" w:hAnsi="Calibri"/>
          <w:sz w:val="17"/>
          <w:szCs w:val="17"/>
          <w:color w:val="auto"/>
        </w:rPr>
        <w:t>. We believe in the power of shared experiences to connect people with live events delivering some of life’s most excitng moments. We operate a technology platorm and marketplace that enables tcket buyers to easily discover and purchase tckets to live events and atractons and book hotel rooms and packages, while enabling tcket sellers and partners to seamlessly manage their operatons. We diferentate from compettors by ofering an extensive breadth and depth of tcket listngs at a compettve value. The following table summarizes our Marketplace Gross Order Value (“Marketplace GOV”), revenues, net income (loss) and Adjusted EBITDA for the three and six months ended June 30, 2024 and 2023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20" w:type="dxa"/>
            <w:vAlign w:val="bottom"/>
          </w:tcPr>
          <w:p>
            <w:pPr>
              <w:spacing w:after="0"/>
              <w:rPr>
                <w:sz w:val="19"/>
                <w:szCs w:val="19"/>
                <w:color w:val="auto"/>
              </w:rPr>
            </w:pPr>
          </w:p>
        </w:tc>
        <w:tc>
          <w:tcPr>
            <w:tcW w:w="2900" w:type="dxa"/>
            <w:vAlign w:val="bottom"/>
            <w:gridSpan w:val="4"/>
          </w:tcPr>
          <w:p>
            <w:pPr>
              <w:jc w:val="right"/>
              <w:spacing w:after="0"/>
              <w:rPr>
                <w:sz w:val="20"/>
                <w:szCs w:val="20"/>
                <w:color w:val="auto"/>
              </w:rPr>
            </w:pPr>
            <w:r>
              <w:rPr>
                <w:rFonts w:ascii="Calibri" w:cs="Calibri" w:eastAsia="Calibri" w:hAnsi="Calibri"/>
                <w:sz w:val="18"/>
                <w:szCs w:val="18"/>
                <w:b w:val="1"/>
                <w:bCs w:val="1"/>
                <w:color w:val="auto"/>
              </w:rPr>
              <w:t>Three Months Ended June 30,</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40" w:type="dxa"/>
            <w:vAlign w:val="bottom"/>
            <w:gridSpan w:val="5"/>
          </w:tcPr>
          <w:p>
            <w:pPr>
              <w:ind w:left="360"/>
              <w:spacing w:after="0"/>
              <w:rPr>
                <w:sz w:val="20"/>
                <w:szCs w:val="20"/>
                <w:color w:val="auto"/>
              </w:rPr>
            </w:pPr>
            <w:r>
              <w:rPr>
                <w:rFonts w:ascii="Calibri" w:cs="Calibri" w:eastAsia="Calibri" w:hAnsi="Calibri"/>
                <w:sz w:val="18"/>
                <w:szCs w:val="18"/>
                <w:b w:val="1"/>
                <w:bCs w:val="1"/>
                <w:color w:val="auto"/>
              </w:rPr>
              <w:t>Six Months Ended June 30,</w:t>
            </w:r>
          </w:p>
        </w:tc>
      </w:tr>
      <w:tr>
        <w:trPr>
          <w:trHeight w:val="37"/>
        </w:trPr>
        <w:tc>
          <w:tcPr>
            <w:tcW w:w="39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3920" w:type="dxa"/>
            <w:vAlign w:val="bottom"/>
          </w:tcPr>
          <w:p>
            <w:pPr>
              <w:spacing w:after="0"/>
              <w:rPr>
                <w:sz w:val="18"/>
                <w:szCs w:val="18"/>
                <w:color w:val="auto"/>
              </w:rPr>
            </w:pPr>
          </w:p>
        </w:tc>
        <w:tc>
          <w:tcPr>
            <w:tcW w:w="98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2024</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2023</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10"/>
              <w:spacing w:after="0" w:line="208" w:lineRule="exact"/>
              <w:rPr>
                <w:sz w:val="20"/>
                <w:szCs w:val="20"/>
                <w:color w:val="auto"/>
              </w:rPr>
            </w:pPr>
            <w:r>
              <w:rPr>
                <w:rFonts w:ascii="Calibri" w:cs="Calibri" w:eastAsia="Calibri" w:hAnsi="Calibri"/>
                <w:sz w:val="18"/>
                <w:szCs w:val="18"/>
                <w:b w:val="1"/>
                <w:bCs w:val="1"/>
                <w:color w:val="auto"/>
              </w:rPr>
              <w:t>2024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8"/>
        </w:trPr>
        <w:tc>
          <w:tcPr>
            <w:tcW w:w="39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39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Marketplace GOV*</w:t>
            </w:r>
          </w:p>
        </w:tc>
        <w:tc>
          <w:tcPr>
            <w:tcW w:w="980" w:type="dxa"/>
            <w:vAlign w:val="bottom"/>
            <w:tcBorders>
              <w:bottom w:val="single" w:sz="8" w:color="CFF0FC"/>
            </w:tcBorders>
            <w:shd w:val="clear" w:color="auto" w:fill="CFF0FC"/>
          </w:tcPr>
          <w:p>
            <w:pPr>
              <w:jc w:val="right"/>
              <w:ind w:right="790"/>
              <w:spacing w:after="0" w:line="208" w:lineRule="exact"/>
              <w:rPr>
                <w:sz w:val="20"/>
                <w:szCs w:val="20"/>
                <w:color w:val="auto"/>
              </w:rPr>
            </w:pPr>
            <w:r>
              <w:rPr>
                <w:rFonts w:ascii="Calibri" w:cs="Calibri" w:eastAsia="Calibri" w:hAnsi="Calibri"/>
                <w:sz w:val="18"/>
                <w:szCs w:val="18"/>
                <w:color w:val="auto"/>
                <w:w w:val="87"/>
              </w:rPr>
              <w:t>$</w:t>
            </w:r>
          </w:p>
        </w:tc>
        <w:tc>
          <w:tcPr>
            <w:tcW w:w="5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94"/>
              </w:rPr>
              <w:t>998,065</w:t>
            </w:r>
          </w:p>
        </w:tc>
        <w:tc>
          <w:tcPr>
            <w:tcW w:w="3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jc w:val="right"/>
              <w:ind w:right="790"/>
              <w:spacing w:after="0" w:line="208" w:lineRule="exact"/>
              <w:rPr>
                <w:sz w:val="20"/>
                <w:szCs w:val="20"/>
                <w:color w:val="auto"/>
              </w:rPr>
            </w:pPr>
            <w:r>
              <w:rPr>
                <w:rFonts w:ascii="Calibri" w:cs="Calibri" w:eastAsia="Calibri" w:hAnsi="Calibri"/>
                <w:sz w:val="18"/>
                <w:szCs w:val="18"/>
                <w:color w:val="auto"/>
                <w:w w:val="87"/>
              </w:rPr>
              <w:t>$</w:t>
            </w:r>
          </w:p>
        </w:tc>
        <w:tc>
          <w:tcPr>
            <w:tcW w:w="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94"/>
              </w:rPr>
              <w:t>953,739</w:t>
            </w:r>
          </w:p>
        </w:tc>
        <w:tc>
          <w:tcPr>
            <w:tcW w:w="680" w:type="dxa"/>
            <w:vAlign w:val="bottom"/>
            <w:tcBorders>
              <w:bottom w:val="single" w:sz="8" w:color="CFF0FC"/>
            </w:tcBorders>
            <w:gridSpan w:val="2"/>
            <w:shd w:val="clear" w:color="auto" w:fill="CFF0FC"/>
          </w:tcPr>
          <w:p>
            <w:pPr>
              <w:jc w:val="right"/>
              <w:ind w:right="260"/>
              <w:spacing w:after="0" w:line="208"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2,026,543</w:t>
            </w:r>
          </w:p>
        </w:tc>
        <w:tc>
          <w:tcPr>
            <w:tcW w:w="660" w:type="dxa"/>
            <w:vAlign w:val="bottom"/>
            <w:tcBorders>
              <w:bottom w:val="single" w:sz="8" w:color="CFF0FC"/>
            </w:tcBorders>
            <w:gridSpan w:val="2"/>
            <w:shd w:val="clear" w:color="auto" w:fill="CFF0FC"/>
          </w:tcPr>
          <w:p>
            <w:pPr>
              <w:jc w:val="right"/>
              <w:ind w:right="240"/>
              <w:spacing w:after="0" w:line="208"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1,809,267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3920" w:type="dxa"/>
            <w:vAlign w:val="bottom"/>
          </w:tcPr>
          <w:p>
            <w:pPr>
              <w:ind w:left="20"/>
              <w:spacing w:after="0" w:line="215" w:lineRule="exact"/>
              <w:rPr>
                <w:sz w:val="20"/>
                <w:szCs w:val="20"/>
                <w:color w:val="auto"/>
              </w:rPr>
            </w:pPr>
            <w:r>
              <w:rPr>
                <w:rFonts w:ascii="Calibri" w:cs="Calibri" w:eastAsia="Calibri" w:hAnsi="Calibri"/>
                <w:sz w:val="18"/>
                <w:szCs w:val="18"/>
                <w:color w:val="auto"/>
              </w:rPr>
              <w:t>Revenues</w:t>
            </w:r>
          </w:p>
        </w:tc>
        <w:tc>
          <w:tcPr>
            <w:tcW w:w="98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w w:val="94"/>
              </w:rPr>
              <w:t>198,316</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w w:val="94"/>
              </w:rPr>
              <w:t>165,380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389,168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326,443</w:t>
            </w:r>
          </w:p>
        </w:tc>
        <w:tc>
          <w:tcPr>
            <w:tcW w:w="100" w:type="dxa"/>
            <w:vAlign w:val="bottom"/>
          </w:tcPr>
          <w:p>
            <w:pPr>
              <w:spacing w:after="0"/>
              <w:rPr>
                <w:sz w:val="18"/>
                <w:szCs w:val="18"/>
                <w:color w:val="auto"/>
              </w:rPr>
            </w:pPr>
          </w:p>
        </w:tc>
      </w:tr>
      <w:tr>
        <w:trPr>
          <w:trHeight w:val="28"/>
        </w:trPr>
        <w:tc>
          <w:tcPr>
            <w:tcW w:w="3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9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9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gridSpan w:val="2"/>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(1,221 )</w:t>
            </w:r>
          </w:p>
        </w:tc>
        <w:tc>
          <w:tcPr>
            <w:tcW w:w="9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38,326</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9,518</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68,598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3920" w:type="dxa"/>
            <w:vAlign w:val="bottom"/>
          </w:tcPr>
          <w:p>
            <w:pPr>
              <w:ind w:left="20"/>
              <w:spacing w:after="0" w:line="215" w:lineRule="exact"/>
              <w:rPr>
                <w:sz w:val="20"/>
                <w:szCs w:val="20"/>
                <w:color w:val="auto"/>
              </w:rPr>
            </w:pPr>
            <w:r>
              <w:rPr>
                <w:rFonts w:ascii="Calibri" w:cs="Calibri" w:eastAsia="Calibri" w:hAnsi="Calibri"/>
                <w:sz w:val="18"/>
                <w:szCs w:val="18"/>
                <w:color w:val="auto"/>
              </w:rPr>
              <w:t>Adjusted EBITDA*</w:t>
            </w:r>
          </w:p>
        </w:tc>
        <w:tc>
          <w:tcPr>
            <w:tcW w:w="980" w:type="dxa"/>
            <w:vAlign w:val="bottom"/>
          </w:tcPr>
          <w:p>
            <w:pPr>
              <w:jc w:val="right"/>
              <w:ind w:right="790"/>
              <w:spacing w:after="0" w:line="215" w:lineRule="exact"/>
              <w:rPr>
                <w:sz w:val="20"/>
                <w:szCs w:val="20"/>
                <w:color w:val="auto"/>
              </w:rPr>
            </w:pPr>
            <w:r>
              <w:rPr>
                <w:rFonts w:ascii="Calibri" w:cs="Calibri" w:eastAsia="Calibri" w:hAnsi="Calibri"/>
                <w:sz w:val="18"/>
                <w:szCs w:val="18"/>
                <w:color w:val="auto"/>
                <w:w w:val="87"/>
              </w:rPr>
              <w:t>$</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44,178</w:t>
            </w:r>
          </w:p>
        </w:tc>
        <w:tc>
          <w:tcPr>
            <w:tcW w:w="360" w:type="dxa"/>
            <w:vAlign w:val="bottom"/>
          </w:tcPr>
          <w:p>
            <w:pPr>
              <w:spacing w:after="0"/>
              <w:rPr>
                <w:sz w:val="18"/>
                <w:szCs w:val="18"/>
                <w:color w:val="auto"/>
              </w:rPr>
            </w:pPr>
          </w:p>
        </w:tc>
        <w:tc>
          <w:tcPr>
            <w:tcW w:w="980" w:type="dxa"/>
            <w:vAlign w:val="bottom"/>
          </w:tcPr>
          <w:p>
            <w:pPr>
              <w:jc w:val="right"/>
              <w:ind w:right="790"/>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31,077</w:t>
            </w:r>
          </w:p>
        </w:tc>
        <w:tc>
          <w:tcPr>
            <w:tcW w:w="68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83,096</w:t>
            </w:r>
          </w:p>
        </w:tc>
        <w:tc>
          <w:tcPr>
            <w:tcW w:w="66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73,512</w:t>
            </w:r>
          </w:p>
        </w:tc>
        <w:tc>
          <w:tcPr>
            <w:tcW w:w="100" w:type="dxa"/>
            <w:vAlign w:val="bottom"/>
          </w:tcPr>
          <w:p>
            <w:pPr>
              <w:spacing w:after="0"/>
              <w:rPr>
                <w:sz w:val="18"/>
                <w:szCs w:val="18"/>
                <w:color w:val="auto"/>
              </w:rPr>
            </w:pPr>
          </w:p>
        </w:tc>
      </w:tr>
    </w:tbl>
    <w:p>
      <w:pPr>
        <w:spacing w:after="0" w:line="114" w:lineRule="exact"/>
        <w:rPr>
          <w:sz w:val="20"/>
          <w:szCs w:val="20"/>
          <w:color w:val="auto"/>
        </w:rPr>
      </w:pPr>
    </w:p>
    <w:p>
      <w:pPr>
        <w:ind w:left="160" w:right="20" w:hanging="152"/>
        <w:spacing w:after="0" w:line="235" w:lineRule="auto"/>
        <w:tabs>
          <w:tab w:leader="none" w:pos="328"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See the “Key Business Metrics and Non-GAAP Financial Measure” secton below for more informaton on Marketplace GOV and Adjusted EBITDA, which is a fnancial measure not defned under accountng principles generally accepted in the United States of America (“GAAP”).</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Business Model</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We operate our business in two segments, Marketplace and Resale.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Marketplace segment, we primarily act as an intermediary between tcket buyers, sellers and partners through which we earn revenue processing tcket sales for live events and atractons and from facilitatng the booking of hotel rooms and packages from our Owned Propertes and from our Private Label Ofering. Our Owned Propertes consist of our websites and mobile applicatons, including Vivid Seats, Vegas.com (as defned herein) and Wavedash (as defned herein), and our Private Label Ofering consists of numerous distributon partners. The Owned Propertes component of our Marketplace segment also includes our Vivid Picks daily fantasy sports ofering, where users partake in contests by making picks from a variety of sport and player matchups. Using our online platorm, we facilitate customer payments, deposits and withdrawals, coordinate tcket deliveries and provide customer service. We do not hold tcket inventory in our Marketplace segment.</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primarily earn revenue from service and delivery fees charged to tcket buyers. We also earn referral fee revenue by ofering event tcket insurance to tcket buyers using a third-party insurance provider. The revenue we earn from our Vivid Picks daily fantasy sports ofering is the diference between cash entry fees collected and cash amounts paid out to users for winning picks, less customer promotons and incentves.</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We incur costs for developing and maintaining our platorm, providing back-ofce support and customer service, facilitatng payments and deposits, and shipping non-electronic tckets. We also incur substantal marketng costs, primarily related to online advertsing.</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 w:name="page30"/>
    <w:bookmarkEnd w:id="29"/>
    <w:p>
      <w:pPr>
        <w:jc w:val="both"/>
        <w:spacing w:after="0" w:line="235" w:lineRule="auto"/>
        <w:rPr>
          <w:sz w:val="20"/>
          <w:szCs w:val="20"/>
          <w:color w:val="auto"/>
        </w:rPr>
      </w:pPr>
      <w:r>
        <w:rPr>
          <w:rFonts w:ascii="Calibri" w:cs="Calibri" w:eastAsia="Calibri" w:hAnsi="Calibri"/>
          <w:sz w:val="18"/>
          <w:szCs w:val="18"/>
          <w:color w:val="auto"/>
        </w:rPr>
        <w:t>A key component of our platorm is Skybox, a proprietary enterprise resource planning (“ERP”) tool used by the majority of tcket sellers. Skybox is a free-to-use system that helps tcket sellers manage tcket inventories, adjust pricing and fulfll orders across multple tcket resale marketplaces. Professional tcket sellers use an ERP to manage their operatons, and Skybox is their most widely adopted ERP.</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Resale segment, we primarily acquire tckets to resell on secondary tcketng marketplaces, including our own. Our Resale segment also provides internal research and development support for Skybox and our ongoing eforts to deliver industry-leading seller sofware and tools.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Key Business Metrics and Non-GAAP Financial Measure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use the following metrics to evaluate our performance, identfy trends, formulate fnancial projectons and make strategic decisions. We believe these metrics provide useful informaton to investors and others in understanding and evaluatng our results of operatons in the same manner as our management team.</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our key business metrics and non-GAAP fnancial measure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40" w:type="dxa"/>
            <w:vAlign w:val="bottom"/>
          </w:tcPr>
          <w:p>
            <w:pPr>
              <w:spacing w:after="0"/>
              <w:rPr>
                <w:sz w:val="19"/>
                <w:szCs w:val="19"/>
                <w:color w:val="auto"/>
              </w:rPr>
            </w:pPr>
          </w:p>
        </w:tc>
        <w:tc>
          <w:tcPr>
            <w:tcW w:w="3140" w:type="dxa"/>
            <w:vAlign w:val="bottom"/>
            <w:gridSpan w:val="5"/>
          </w:tcPr>
          <w:p>
            <w:pPr>
              <w:jc w:val="right"/>
              <w:ind w:right="410"/>
              <w:spacing w:after="0"/>
              <w:rPr>
                <w:sz w:val="20"/>
                <w:szCs w:val="20"/>
                <w:color w:val="auto"/>
              </w:rPr>
            </w:pPr>
            <w:r>
              <w:rPr>
                <w:rFonts w:ascii="Calibri" w:cs="Calibri" w:eastAsia="Calibri" w:hAnsi="Calibri"/>
                <w:sz w:val="18"/>
                <w:szCs w:val="18"/>
                <w:b w:val="1"/>
                <w:bCs w:val="1"/>
                <w:color w:val="auto"/>
              </w:rPr>
              <w:t>Three Months Ended June 30,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gridSpan w:val="5"/>
          </w:tcPr>
          <w:p>
            <w:pPr>
              <w:ind w:left="160"/>
              <w:spacing w:after="0"/>
              <w:rPr>
                <w:sz w:val="20"/>
                <w:szCs w:val="20"/>
                <w:color w:val="auto"/>
              </w:rPr>
            </w:pPr>
            <w:r>
              <w:rPr>
                <w:rFonts w:ascii="Calibri" w:cs="Calibri" w:eastAsia="Calibri" w:hAnsi="Calibri"/>
                <w:sz w:val="18"/>
                <w:szCs w:val="18"/>
                <w:b w:val="1"/>
                <w:bCs w:val="1"/>
                <w:color w:val="auto"/>
              </w:rPr>
              <w:t>Six Months Ended June 30,</w:t>
            </w:r>
          </w:p>
        </w:tc>
      </w:tr>
      <w:tr>
        <w:trPr>
          <w:trHeight w:val="37"/>
        </w:trPr>
        <w:tc>
          <w:tcPr>
            <w:tcW w:w="49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4940" w:type="dxa"/>
            <w:vAlign w:val="bottom"/>
          </w:tcPr>
          <w:p>
            <w:pPr>
              <w:spacing w:after="0"/>
              <w:rPr>
                <w:sz w:val="18"/>
                <w:szCs w:val="18"/>
                <w:color w:val="auto"/>
              </w:rPr>
            </w:pPr>
          </w:p>
        </w:tc>
        <w:tc>
          <w:tcPr>
            <w:tcW w:w="96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2024</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70"/>
              <w:spacing w:after="0" w:line="208"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70"/>
              <w:spacing w:after="0" w:line="208"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8"/>
        </w:trPr>
        <w:tc>
          <w:tcPr>
            <w:tcW w:w="4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940" w:type="dxa"/>
            <w:vAlign w:val="bottom"/>
            <w:shd w:val="clear" w:color="auto" w:fill="CFF0FC"/>
          </w:tcPr>
          <w:p>
            <w:pPr>
              <w:ind w:left="20"/>
              <w:spacing w:after="0" w:line="236" w:lineRule="exact"/>
              <w:rPr>
                <w:sz w:val="20"/>
                <w:szCs w:val="20"/>
                <w:color w:val="auto"/>
              </w:rPr>
            </w:pPr>
            <w:r>
              <w:rPr>
                <w:rFonts w:ascii="Calibri" w:cs="Calibri" w:eastAsia="Calibri" w:hAnsi="Calibri"/>
                <w:sz w:val="18"/>
                <w:szCs w:val="18"/>
                <w:color w:val="auto"/>
              </w:rPr>
              <w:t>Marketplace GOV</w:t>
            </w:r>
            <w:r>
              <w:rPr>
                <w:rFonts w:ascii="Calibri" w:cs="Calibri" w:eastAsia="Calibri" w:hAnsi="Calibri"/>
                <w:sz w:val="24"/>
                <w:szCs w:val="24"/>
                <w:color w:val="auto"/>
                <w:vertAlign w:val="superscript"/>
              </w:rPr>
              <w:t>(1)</w:t>
            </w:r>
          </w:p>
        </w:tc>
        <w:tc>
          <w:tcPr>
            <w:tcW w:w="960" w:type="dxa"/>
            <w:vAlign w:val="bottom"/>
            <w:shd w:val="clear" w:color="auto" w:fill="CFF0FC"/>
          </w:tcPr>
          <w:p>
            <w:pPr>
              <w:jc w:val="right"/>
              <w:ind w:right="770"/>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7"/>
              </w:rPr>
              <w:t>998,065</w:t>
            </w:r>
          </w:p>
        </w:tc>
        <w:tc>
          <w:tcPr>
            <w:tcW w:w="58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953,739</w:t>
            </w:r>
          </w:p>
        </w:tc>
        <w:tc>
          <w:tcPr>
            <w:tcW w:w="520" w:type="dxa"/>
            <w:vAlign w:val="bottom"/>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2,026,543</w:t>
            </w:r>
          </w:p>
        </w:tc>
        <w:tc>
          <w:tcPr>
            <w:tcW w:w="540" w:type="dxa"/>
            <w:vAlign w:val="bottom"/>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1,809,267</w:t>
            </w:r>
          </w:p>
        </w:tc>
        <w:tc>
          <w:tcPr>
            <w:tcW w:w="100" w:type="dxa"/>
            <w:vAlign w:val="bottom"/>
            <w:shd w:val="clear" w:color="auto" w:fill="CFF0FC"/>
          </w:tcPr>
          <w:p>
            <w:pPr>
              <w:spacing w:after="0"/>
              <w:rPr>
                <w:sz w:val="20"/>
                <w:szCs w:val="20"/>
                <w:color w:val="auto"/>
              </w:rPr>
            </w:pPr>
          </w:p>
        </w:tc>
      </w:tr>
      <w:tr>
        <w:trPr>
          <w:trHeight w:val="243"/>
        </w:trPr>
        <w:tc>
          <w:tcPr>
            <w:tcW w:w="4940" w:type="dxa"/>
            <w:vAlign w:val="bottom"/>
          </w:tcPr>
          <w:p>
            <w:pPr>
              <w:ind w:left="20"/>
              <w:spacing w:after="0" w:line="243" w:lineRule="exact"/>
              <w:rPr>
                <w:sz w:val="20"/>
                <w:szCs w:val="20"/>
                <w:color w:val="auto"/>
              </w:rPr>
            </w:pPr>
            <w:r>
              <w:rPr>
                <w:rFonts w:ascii="Calibri" w:cs="Calibri" w:eastAsia="Calibri" w:hAnsi="Calibri"/>
                <w:sz w:val="18"/>
                <w:szCs w:val="18"/>
                <w:color w:val="auto"/>
              </w:rPr>
              <w:t>Total Marketplace orders</w:t>
            </w:r>
            <w:r>
              <w:rPr>
                <w:rFonts w:ascii="Calibri" w:cs="Calibri" w:eastAsia="Calibri" w:hAnsi="Calibri"/>
                <w:sz w:val="24"/>
                <w:szCs w:val="24"/>
                <w:color w:val="auto"/>
                <w:vertAlign w:val="superscript"/>
              </w:rPr>
              <w:t>(2)</w:t>
            </w:r>
          </w:p>
        </w:tc>
        <w:tc>
          <w:tcPr>
            <w:tcW w:w="960" w:type="dxa"/>
            <w:vAlign w:val="bottom"/>
          </w:tcPr>
          <w:p>
            <w:pPr>
              <w:spacing w:after="0"/>
              <w:rPr>
                <w:sz w:val="21"/>
                <w:szCs w:val="21"/>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3,097</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2,627</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5,974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4,902</w:t>
            </w:r>
          </w:p>
        </w:tc>
        <w:tc>
          <w:tcPr>
            <w:tcW w:w="100" w:type="dxa"/>
            <w:vAlign w:val="bottom"/>
          </w:tcPr>
          <w:p>
            <w:pPr>
              <w:spacing w:after="0"/>
              <w:rPr>
                <w:sz w:val="21"/>
                <w:szCs w:val="21"/>
                <w:color w:val="auto"/>
              </w:rPr>
            </w:pPr>
          </w:p>
        </w:tc>
      </w:tr>
      <w:tr>
        <w:trPr>
          <w:trHeight w:val="243"/>
        </w:trPr>
        <w:tc>
          <w:tcPr>
            <w:tcW w:w="494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Total Resale orders</w:t>
            </w:r>
            <w:r>
              <w:rPr>
                <w:rFonts w:ascii="Calibri" w:cs="Calibri" w:eastAsia="Calibri" w:hAnsi="Calibri"/>
                <w:sz w:val="24"/>
                <w:szCs w:val="24"/>
                <w:color w:val="auto"/>
                <w:vertAlign w:val="superscript"/>
              </w:rPr>
              <w:t>(3)</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76</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163</w:t>
            </w:r>
          </w:p>
        </w:tc>
        <w:tc>
          <w:tcPr>
            <w:tcW w:w="100" w:type="dxa"/>
            <w:vAlign w:val="bottom"/>
            <w:shd w:val="clear" w:color="auto" w:fill="CFF0FC"/>
          </w:tcPr>
          <w:p>
            <w:pPr>
              <w:spacing w:after="0"/>
              <w:rPr>
                <w:sz w:val="21"/>
                <w:szCs w:val="21"/>
                <w:color w:val="auto"/>
              </w:rPr>
            </w:pPr>
          </w:p>
        </w:tc>
      </w:tr>
      <w:tr>
        <w:trPr>
          <w:trHeight w:val="280"/>
        </w:trPr>
        <w:tc>
          <w:tcPr>
            <w:tcW w:w="4940" w:type="dxa"/>
            <w:vAlign w:val="bottom"/>
          </w:tcPr>
          <w:p>
            <w:pPr>
              <w:ind w:left="20"/>
              <w:spacing w:after="0" w:line="280" w:lineRule="exact"/>
              <w:rPr>
                <w:sz w:val="20"/>
                <w:szCs w:val="20"/>
                <w:color w:val="auto"/>
              </w:rPr>
            </w:pPr>
            <w:r>
              <w:rPr>
                <w:rFonts w:ascii="Calibri" w:cs="Calibri" w:eastAsia="Calibri" w:hAnsi="Calibri"/>
                <w:sz w:val="18"/>
                <w:szCs w:val="18"/>
                <w:color w:val="auto"/>
              </w:rPr>
              <w:t>Adjusted EBITDA</w:t>
            </w:r>
            <w:r>
              <w:rPr>
                <w:rFonts w:ascii="Calibri" w:cs="Calibri" w:eastAsia="Calibri" w:hAnsi="Calibri"/>
                <w:sz w:val="24"/>
                <w:szCs w:val="24"/>
                <w:color w:val="auto"/>
                <w:vertAlign w:val="superscript"/>
              </w:rPr>
              <w:t>(4)</w:t>
            </w:r>
          </w:p>
        </w:tc>
        <w:tc>
          <w:tcPr>
            <w:tcW w:w="960" w:type="dxa"/>
            <w:vAlign w:val="bottom"/>
          </w:tcPr>
          <w:p>
            <w:pPr>
              <w:jc w:val="right"/>
              <w:ind w:right="770"/>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44,178</w:t>
            </w:r>
          </w:p>
        </w:tc>
        <w:tc>
          <w:tcPr>
            <w:tcW w:w="5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31,077</w:t>
            </w:r>
          </w:p>
        </w:tc>
        <w:tc>
          <w:tcPr>
            <w:tcW w:w="5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83,096</w:t>
            </w:r>
          </w:p>
        </w:tc>
        <w:tc>
          <w:tcPr>
            <w:tcW w:w="5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73,512</w:t>
            </w:r>
          </w:p>
        </w:tc>
        <w:tc>
          <w:tcPr>
            <w:tcW w:w="100" w:type="dxa"/>
            <w:vAlign w:val="bottom"/>
          </w:tcPr>
          <w:p>
            <w:pPr>
              <w:spacing w:after="0"/>
              <w:rPr>
                <w:sz w:val="24"/>
                <w:szCs w:val="24"/>
                <w:color w:val="auto"/>
              </w:rPr>
            </w:pPr>
          </w:p>
        </w:tc>
      </w:tr>
    </w:tbl>
    <w:p>
      <w:pPr>
        <w:spacing w:after="0" w:line="75" w:lineRule="exact"/>
        <w:rPr>
          <w:sz w:val="20"/>
          <w:szCs w:val="20"/>
          <w:color w:val="auto"/>
        </w:rPr>
      </w:pPr>
    </w:p>
    <w:p>
      <w:pPr>
        <w:jc w:val="both"/>
        <w:ind w:left="300" w:hanging="292"/>
        <w:spacing w:after="0" w:line="235" w:lineRule="auto"/>
        <w:tabs>
          <w:tab w:leader="none" w:pos="30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Marketplace GOV represents the total transactonal amount of Marketplace segment orders placed on our platorm in a period, inclusive of fees, exclusive of taxes and net of cancellatons that occurred during that period. During the three and six months ended June 30, 2024, Marketplace GOV was negatvely impacted by cancellatons in the amount of $21.2 million and $39.4 million, respectvely, compared to $11.7 million and $23.8 million during the three and six months ended June 30, 2023, respectvely.</w:t>
      </w:r>
    </w:p>
    <w:p>
      <w:pPr>
        <w:spacing w:after="0" w:line="111" w:lineRule="exact"/>
        <w:rPr>
          <w:rFonts w:ascii="Calibri" w:cs="Calibri" w:eastAsia="Calibri" w:hAnsi="Calibri"/>
          <w:sz w:val="18"/>
          <w:szCs w:val="18"/>
          <w:color w:val="auto"/>
        </w:rPr>
      </w:pPr>
    </w:p>
    <w:p>
      <w:pPr>
        <w:jc w:val="both"/>
        <w:ind w:left="300" w:hanging="292"/>
        <w:spacing w:after="0" w:line="235" w:lineRule="auto"/>
        <w:tabs>
          <w:tab w:leader="none" w:pos="30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Total Marketplace orders represents the volume of Marketplace segment orders placed on our platorm in a period, net of cancellatons that occurred during that period. During the three and six months ended June 30, 2024, our Marketplace segment experienced 52,392 and 102,441 cancellatons, respectvely, compared to 29,351 and 49,831 cancellatons during the three and six months ended June 30, 2023, respectvely.</w:t>
      </w:r>
    </w:p>
    <w:p>
      <w:pPr>
        <w:spacing w:after="0" w:line="110" w:lineRule="exact"/>
        <w:rPr>
          <w:rFonts w:ascii="Calibri" w:cs="Calibri" w:eastAsia="Calibri" w:hAnsi="Calibri"/>
          <w:sz w:val="18"/>
          <w:szCs w:val="18"/>
          <w:color w:val="auto"/>
        </w:rPr>
      </w:pPr>
    </w:p>
    <w:p>
      <w:pPr>
        <w:jc w:val="both"/>
        <w:ind w:left="300" w:hanging="292"/>
        <w:spacing w:after="0" w:line="235" w:lineRule="auto"/>
        <w:tabs>
          <w:tab w:leader="none" w:pos="30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Total Resale orders represents the volume of Resale segment orders in a period, net of cancellatons that occurred during that period. During the three and six months ended June 30, 2024, our Resale segment experienced 1,211 and 2,083 cancellatons, respectvely, compared to 827 and 1,512 cancellatons during the three and six months ended June 30, 2023, respectvely.</w:t>
      </w:r>
    </w:p>
    <w:p>
      <w:pPr>
        <w:spacing w:after="0" w:line="110" w:lineRule="exact"/>
        <w:rPr>
          <w:rFonts w:ascii="Calibri" w:cs="Calibri" w:eastAsia="Calibri" w:hAnsi="Calibri"/>
          <w:sz w:val="18"/>
          <w:szCs w:val="18"/>
          <w:color w:val="auto"/>
        </w:rPr>
      </w:pPr>
    </w:p>
    <w:p>
      <w:pPr>
        <w:jc w:val="both"/>
        <w:ind w:left="300" w:hanging="292"/>
        <w:spacing w:after="0" w:line="235" w:lineRule="auto"/>
        <w:tabs>
          <w:tab w:leader="none" w:pos="30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Adjusted EBITDA is a non-GAAP fnancial measure. We believe Adjusted EBITDA provides useful informaton to investors and others in understanding and evaluatng our results of operatons, as well as provides a useful measure for making period-to-period comparisons of our business performance. See the “Adjusted EBITDA” secton below for more informaton and a reconciliaton of Adjusted EBITDA to its most directly comparable GAAP measure.</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 GOV</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Marketplace GOV is a key driver of our Marketplace segment revenue. Marketplace GOV represents the total transactonal amount of Marketplace segment orders placed on our platorm in a period, inclusive of fees, exclusive of taxes and net of cancellatons that occurred during that period. Marketplace GOV refects our ability to atract and retain customers, as well as the overall health of the industry.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Marketplace GOV can be impacted by seasonality. Typically, we experience slightly increased actvity in the fourth quarter when all major sports leagues are in season and there is an increase in order volume for theater events during the holiday season and concert on-sales for the following year. Quarterly fuctuatons in Marketplace GOV</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jc w:val="both"/>
        <w:spacing w:after="0" w:line="235" w:lineRule="auto"/>
        <w:rPr>
          <w:sz w:val="20"/>
          <w:szCs w:val="20"/>
          <w:color w:val="auto"/>
        </w:rPr>
      </w:pPr>
      <w:r>
        <w:rPr>
          <w:rFonts w:ascii="Calibri" w:cs="Calibri" w:eastAsia="Calibri" w:hAnsi="Calibri"/>
          <w:sz w:val="18"/>
          <w:szCs w:val="18"/>
          <w:color w:val="auto"/>
        </w:rPr>
        <w:t>can also result from the popularity and demand of performers, tours, teams and events, the length and team compositon of sports playof series and championship games, and the number of cancellatons.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Marketplace GOV increased during the three and six months ended June 30, 2024 compared to the three and six months ended June 30, 2023 primarily as a result of an increase in Total Marketplace orders.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Total Marketplace Orders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Marketplace orders represents the volume of Marketplace segment orders placed on our platorm in a period, net of cancellatons that occurred during that period. An order can include one or more tckets, hotel rooms or parking passes. Total Marketplace orders allows us to monitor order volume and beter identfy trends within our Marketplace segment. Total Marketplace orders increased during the three and six months ended June 30, 2024 compared to the three and six months ended June 30, 2023 primarily as a result of an increase in the number of orders processed, which was due in part to the three and six months ended June 30, 2024 including orders processed through Vegas.com and Wavedash.</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Total Resale Orders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Resale orders represents the volume of Resale segment orders in a period, net of cancellatons that occurred during that period. An order can include one or more tckets or parking passes. Total Resale orders allows us to monitor order volume and beter identfy trends within our Resale segment. Total Resale orders increased during the three and six months ended June 30, 2024 compared to the three and six months ended June 30, 2023 primarily as a result of higher actvity in our Resale segment.</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Adjusted EBITDA</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present Adjusted EBITDA, which is a non-GAAP fnancial measure, because it is a measure frequently used by analysts, investors and other interested partes to evaluate companies in our industry. Further, we believe this measure is helpful in highlightng trends in our operatng results because it excludes the impact of items that are outside of our control or not refectve of ongoing performance related directly to the operaton of our business.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Adjusted EBITDA is a key measure used by our management internally to make operatng decisions, including those related to analyzing operatng expenses, evaluatng performance and performing strategic planning and annual budgetng. Moreover, we believe Adjusted EBITDA provides useful informaton to investors and others in understanding and evaluatng our results of operatons, as well as provides a useful measure for making period-to-period comparisons of our business performance and highlightng trends in our operatng results.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Adjusted EBITDA is not based on any comprehensive set of accountng rules or principles and should not be considered a substtute for, or superior to, fnancial measures calculated in accordance with GAAP. Adjusted EBITDA does not refect all amounts associated with our operatng results as determined in accordance with GAAP and may exclude recurring costs, such as interest expense – net, equity-based compensaton, litgaton, setlements and related costs, change in fair value of warrants, change in fair value of derivatve assets and foreign currency revaluaton (gains)/losses. In additon, other companies may calculate Adjusted EBITDA diferently than we do, thereby limitng its usefulness as a comparatve tool. We compensate for these limitatons by providing specifc informaton regarding the GAAP amounts excluded from Adjusted EBITDA.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rPr>
          <w:sz w:val="20"/>
          <w:szCs w:val="20"/>
          <w:color w:val="auto"/>
        </w:rPr>
      </w:pPr>
      <w:r>
        <w:rPr>
          <w:rFonts w:ascii="Calibri" w:cs="Calibri" w:eastAsia="Calibri" w:hAnsi="Calibri"/>
          <w:sz w:val="18"/>
          <w:szCs w:val="18"/>
          <w:color w:val="auto"/>
        </w:rPr>
        <w:t>The following table provides a reconciliaton of Adjusted EBITDA to its most directly comparable GAAP measure, net income (loss)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6"/>
          </w:tcPr>
          <w:p>
            <w:pPr>
              <w:ind w:left="100"/>
              <w:spacing w:after="0"/>
              <w:rPr>
                <w:sz w:val="20"/>
                <w:szCs w:val="20"/>
                <w:color w:val="auto"/>
              </w:rPr>
            </w:pPr>
            <w:r>
              <w:rPr>
                <w:rFonts w:ascii="Calibri" w:cs="Calibri" w:eastAsia="Calibri" w:hAnsi="Calibri"/>
                <w:sz w:val="18"/>
                <w:szCs w:val="18"/>
                <w:b w:val="1"/>
                <w:bCs w:val="1"/>
                <w:color w:val="auto"/>
              </w:rPr>
              <w:t>Three Months Ended June 30,</w:t>
            </w:r>
          </w:p>
        </w:tc>
        <w:tc>
          <w:tcPr>
            <w:tcW w:w="240" w:type="dxa"/>
            <w:vAlign w:val="bottom"/>
          </w:tcPr>
          <w:p>
            <w:pPr>
              <w:spacing w:after="0"/>
              <w:rPr>
                <w:sz w:val="19"/>
                <w:szCs w:val="19"/>
                <w:color w:val="auto"/>
              </w:rPr>
            </w:pPr>
          </w:p>
        </w:tc>
        <w:tc>
          <w:tcPr>
            <w:tcW w:w="2580" w:type="dxa"/>
            <w:vAlign w:val="bottom"/>
            <w:gridSpan w:val="5"/>
          </w:tcPr>
          <w:p>
            <w:pPr>
              <w:jc w:val="right"/>
              <w:ind w:right="500"/>
              <w:spacing w:after="0"/>
              <w:rPr>
                <w:sz w:val="20"/>
                <w:szCs w:val="20"/>
                <w:color w:val="auto"/>
              </w:rPr>
            </w:pPr>
            <w:r>
              <w:rPr>
                <w:rFonts w:ascii="Calibri" w:cs="Calibri" w:eastAsia="Calibri" w:hAnsi="Calibri"/>
                <w:sz w:val="18"/>
                <w:szCs w:val="18"/>
                <w:b w:val="1"/>
                <w:bCs w:val="1"/>
                <w:color w:val="auto"/>
              </w:rPr>
              <w:t>Six Months Ended June 30,</w:t>
            </w:r>
          </w:p>
        </w:tc>
      </w:tr>
      <w:tr>
        <w:trPr>
          <w:trHeight w:val="37"/>
        </w:trPr>
        <w:tc>
          <w:tcPr>
            <w:tcW w:w="54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50"/>
              <w:spacing w:after="0" w:line="208" w:lineRule="exact"/>
              <w:rPr>
                <w:sz w:val="20"/>
                <w:szCs w:val="20"/>
                <w:color w:val="auto"/>
              </w:rPr>
            </w:pPr>
            <w:r>
              <w:rPr>
                <w:rFonts w:ascii="Calibri" w:cs="Calibri" w:eastAsia="Calibri" w:hAnsi="Calibri"/>
                <w:sz w:val="18"/>
                <w:szCs w:val="18"/>
                <w:b w:val="1"/>
                <w:bCs w:val="1"/>
                <w:color w:val="auto"/>
              </w:rPr>
              <w:t>2024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30"/>
              <w:spacing w:after="0" w:line="208"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5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54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income (loss)</w:t>
            </w:r>
          </w:p>
        </w:tc>
        <w:tc>
          <w:tcPr>
            <w:tcW w:w="2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340" w:type="dxa"/>
            <w:vAlign w:val="bottom"/>
            <w:tcBorders>
              <w:bottom w:val="single" w:sz="8" w:color="CFF0FC"/>
            </w:tcBorders>
            <w:gridSpan w:val="2"/>
            <w:shd w:val="clear" w:color="auto" w:fill="CFF0FC"/>
          </w:tcPr>
          <w:p>
            <w:pPr>
              <w:jc w:val="right"/>
              <w:ind w:right="220"/>
              <w:spacing w:after="0" w:line="208" w:lineRule="exact"/>
              <w:rPr>
                <w:sz w:val="20"/>
                <w:szCs w:val="20"/>
                <w:color w:val="auto"/>
              </w:rPr>
            </w:pPr>
            <w:r>
              <w:rPr>
                <w:rFonts w:ascii="Calibri" w:cs="Calibri" w:eastAsia="Calibri" w:hAnsi="Calibri"/>
                <w:sz w:val="18"/>
                <w:szCs w:val="18"/>
                <w:color w:val="auto"/>
              </w:rPr>
              <w:t>(1,221 )</w:t>
            </w:r>
          </w:p>
        </w:tc>
        <w:tc>
          <w:tcPr>
            <w:tcW w:w="260" w:type="dxa"/>
            <w:vAlign w:val="bottom"/>
            <w:tcBorders>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38,326</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9,518</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68,598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5400" w:type="dxa"/>
            <w:vAlign w:val="bottom"/>
          </w:tcPr>
          <w:p>
            <w:pPr>
              <w:ind w:left="20"/>
              <w:spacing w:after="0" w:line="215" w:lineRule="exact"/>
              <w:rPr>
                <w:sz w:val="20"/>
                <w:szCs w:val="20"/>
                <w:color w:val="auto"/>
              </w:rPr>
            </w:pPr>
            <w:r>
              <w:rPr>
                <w:rFonts w:ascii="Calibri" w:cs="Calibri" w:eastAsia="Calibri" w:hAnsi="Calibri"/>
                <w:sz w:val="18"/>
                <w:szCs w:val="18"/>
                <w:color w:val="auto"/>
              </w:rPr>
              <w:t>Income tax expense (beneft)</w:t>
            </w:r>
          </w:p>
        </w:tc>
        <w:tc>
          <w:tcPr>
            <w:tcW w:w="2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577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(24,485 )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2,846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(24,200 )</w:t>
            </w:r>
          </w:p>
        </w:tc>
      </w:tr>
      <w:tr>
        <w:trPr>
          <w:trHeight w:val="28"/>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4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Interest expense – net</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5,324</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2,772</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10,406</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6,052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400" w:type="dxa"/>
            <w:vAlign w:val="bottom"/>
          </w:tcPr>
          <w:p>
            <w:pPr>
              <w:ind w:left="20"/>
              <w:spacing w:after="0" w:line="215" w:lineRule="exact"/>
              <w:rPr>
                <w:sz w:val="20"/>
                <w:szCs w:val="20"/>
                <w:color w:val="auto"/>
              </w:rPr>
            </w:pPr>
            <w:r>
              <w:rPr>
                <w:rFonts w:ascii="Calibri" w:cs="Calibri" w:eastAsia="Calibri" w:hAnsi="Calibri"/>
                <w:sz w:val="18"/>
                <w:szCs w:val="18"/>
                <w:color w:val="auto"/>
              </w:rPr>
              <w:t>Depreciaton and amortzaton</w:t>
            </w:r>
          </w:p>
        </w:tc>
        <w:tc>
          <w:tcPr>
            <w:tcW w:w="2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10,502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2,704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20,985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5,302</w:t>
            </w:r>
          </w:p>
        </w:tc>
        <w:tc>
          <w:tcPr>
            <w:tcW w:w="10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40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Sales tax liability</w:t>
            </w:r>
            <w:r>
              <w:rPr>
                <w:rFonts w:ascii="Calibri" w:cs="Calibri" w:eastAsia="Calibri" w:hAnsi="Calibri"/>
                <w:sz w:val="24"/>
                <w:szCs w:val="24"/>
                <w:color w:val="auto"/>
                <w:vertAlign w:val="superscript"/>
              </w:rPr>
              <w:t>(1)</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4,819</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2,088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43"/>
        </w:trPr>
        <w:tc>
          <w:tcPr>
            <w:tcW w:w="5400" w:type="dxa"/>
            <w:vAlign w:val="bottom"/>
          </w:tcPr>
          <w:p>
            <w:pPr>
              <w:ind w:left="20"/>
              <w:spacing w:after="0" w:line="243" w:lineRule="exact"/>
              <w:rPr>
                <w:sz w:val="20"/>
                <w:szCs w:val="20"/>
                <w:color w:val="auto"/>
              </w:rPr>
            </w:pPr>
            <w:r>
              <w:rPr>
                <w:rFonts w:ascii="Calibri" w:cs="Calibri" w:eastAsia="Calibri" w:hAnsi="Calibri"/>
                <w:sz w:val="18"/>
                <w:szCs w:val="18"/>
                <w:color w:val="auto"/>
              </w:rPr>
              <w:t>Transacton costs</w:t>
            </w:r>
            <w:r>
              <w:rPr>
                <w:rFonts w:ascii="Calibri" w:cs="Calibri" w:eastAsia="Calibri" w:hAnsi="Calibri"/>
                <w:sz w:val="24"/>
                <w:szCs w:val="24"/>
                <w:color w:val="auto"/>
                <w:vertAlign w:val="superscript"/>
              </w:rPr>
              <w:t>(2)</w:t>
            </w:r>
          </w:p>
        </w:tc>
        <w:tc>
          <w:tcPr>
            <w:tcW w:w="200" w:type="dxa"/>
            <w:vAlign w:val="bottom"/>
          </w:tcPr>
          <w:p>
            <w:pPr>
              <w:spacing w:after="0"/>
              <w:rPr>
                <w:sz w:val="21"/>
                <w:szCs w:val="21"/>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3,507</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4,488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5,406</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4,944</w:t>
            </w:r>
          </w:p>
        </w:tc>
        <w:tc>
          <w:tcPr>
            <w:tcW w:w="100" w:type="dxa"/>
            <w:vAlign w:val="bottom"/>
          </w:tcPr>
          <w:p>
            <w:pPr>
              <w:spacing w:after="0"/>
              <w:rPr>
                <w:sz w:val="21"/>
                <w:szCs w:val="21"/>
                <w:color w:val="auto"/>
              </w:rPr>
            </w:pPr>
          </w:p>
        </w:tc>
      </w:tr>
      <w:tr>
        <w:trPr>
          <w:trHeight w:val="243"/>
        </w:trPr>
        <w:tc>
          <w:tcPr>
            <w:tcW w:w="540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Equity-based compensaton</w:t>
            </w:r>
            <w:r>
              <w:rPr>
                <w:rFonts w:ascii="Calibri" w:cs="Calibri" w:eastAsia="Calibri" w:hAnsi="Calibri"/>
                <w:sz w:val="24"/>
                <w:szCs w:val="24"/>
                <w:color w:val="auto"/>
                <w:vertAlign w:val="superscript"/>
              </w:rPr>
              <w:t>(3)</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19,112</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7,380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27,600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12,910</w:t>
            </w:r>
          </w:p>
        </w:tc>
        <w:tc>
          <w:tcPr>
            <w:tcW w:w="100" w:type="dxa"/>
            <w:vAlign w:val="bottom"/>
            <w:shd w:val="clear" w:color="auto" w:fill="CFF0FC"/>
          </w:tcPr>
          <w:p>
            <w:pPr>
              <w:spacing w:after="0"/>
              <w:rPr>
                <w:sz w:val="21"/>
                <w:szCs w:val="21"/>
                <w:color w:val="auto"/>
              </w:rPr>
            </w:pPr>
          </w:p>
        </w:tc>
      </w:tr>
      <w:tr>
        <w:trPr>
          <w:trHeight w:val="243"/>
        </w:trPr>
        <w:tc>
          <w:tcPr>
            <w:tcW w:w="5400" w:type="dxa"/>
            <w:vAlign w:val="bottom"/>
          </w:tcPr>
          <w:p>
            <w:pPr>
              <w:ind w:left="20"/>
              <w:spacing w:after="0" w:line="243" w:lineRule="exact"/>
              <w:rPr>
                <w:sz w:val="20"/>
                <w:szCs w:val="20"/>
                <w:color w:val="auto"/>
              </w:rPr>
            </w:pPr>
            <w:r>
              <w:rPr>
                <w:rFonts w:ascii="Calibri" w:cs="Calibri" w:eastAsia="Calibri" w:hAnsi="Calibri"/>
                <w:sz w:val="18"/>
                <w:szCs w:val="18"/>
                <w:color w:val="auto"/>
              </w:rPr>
              <w:t>Litgaton, setlements and related costs</w:t>
            </w:r>
            <w:r>
              <w:rPr>
                <w:rFonts w:ascii="Calibri" w:cs="Calibri" w:eastAsia="Calibri" w:hAnsi="Calibri"/>
                <w:sz w:val="24"/>
                <w:szCs w:val="24"/>
                <w:color w:val="auto"/>
                <w:vertAlign w:val="superscript"/>
              </w:rPr>
              <w:t>(4)</w:t>
            </w:r>
          </w:p>
        </w:tc>
        <w:tc>
          <w:tcPr>
            <w:tcW w:w="200" w:type="dxa"/>
            <w:vAlign w:val="bottom"/>
          </w:tcPr>
          <w:p>
            <w:pPr>
              <w:spacing w:after="0"/>
              <w:rPr>
                <w:sz w:val="21"/>
                <w:szCs w:val="21"/>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(66 )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234</w:t>
            </w:r>
          </w:p>
        </w:tc>
        <w:tc>
          <w:tcPr>
            <w:tcW w:w="100" w:type="dxa"/>
            <w:vAlign w:val="bottom"/>
          </w:tcPr>
          <w:p>
            <w:pPr>
              <w:spacing w:after="0"/>
              <w:rPr>
                <w:sz w:val="21"/>
                <w:szCs w:val="21"/>
                <w:color w:val="auto"/>
              </w:rPr>
            </w:pPr>
          </w:p>
        </w:tc>
      </w:tr>
      <w:tr>
        <w:trPr>
          <w:trHeight w:val="243"/>
        </w:trPr>
        <w:tc>
          <w:tcPr>
            <w:tcW w:w="540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Change in fair value of warrants</w:t>
            </w:r>
            <w:r>
              <w:rPr>
                <w:rFonts w:ascii="Calibri" w:cs="Calibri" w:eastAsia="Calibri" w:hAnsi="Calibri"/>
                <w:sz w:val="24"/>
                <w:szCs w:val="24"/>
                <w:color w:val="auto"/>
                <w:vertAlign w:val="superscript"/>
              </w:rPr>
              <w:t>(5)</w:t>
            </w:r>
          </w:p>
        </w:tc>
        <w:tc>
          <w:tcPr>
            <w:tcW w:w="2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(1,301 )</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1,000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(1,761 )</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673</w:t>
            </w:r>
          </w:p>
        </w:tc>
        <w:tc>
          <w:tcPr>
            <w:tcW w:w="100" w:type="dxa"/>
            <w:vAlign w:val="bottom"/>
            <w:shd w:val="clear" w:color="auto" w:fill="CFF0FC"/>
          </w:tcPr>
          <w:p>
            <w:pPr>
              <w:spacing w:after="0"/>
              <w:rPr>
                <w:sz w:val="21"/>
                <w:szCs w:val="21"/>
                <w:color w:val="auto"/>
              </w:rPr>
            </w:pPr>
          </w:p>
        </w:tc>
      </w:tr>
      <w:tr>
        <w:trPr>
          <w:trHeight w:val="243"/>
        </w:trPr>
        <w:tc>
          <w:tcPr>
            <w:tcW w:w="5400" w:type="dxa"/>
            <w:vAlign w:val="bottom"/>
          </w:tcPr>
          <w:p>
            <w:pPr>
              <w:ind w:left="20"/>
              <w:spacing w:after="0" w:line="243" w:lineRule="exact"/>
              <w:rPr>
                <w:sz w:val="20"/>
                <w:szCs w:val="20"/>
                <w:color w:val="auto"/>
              </w:rPr>
            </w:pPr>
            <w:r>
              <w:rPr>
                <w:rFonts w:ascii="Calibri" w:cs="Calibri" w:eastAsia="Calibri" w:hAnsi="Calibri"/>
                <w:sz w:val="18"/>
                <w:szCs w:val="18"/>
                <w:color w:val="auto"/>
              </w:rPr>
              <w:t>Change in fair value of derivatve asset</w:t>
            </w:r>
            <w:r>
              <w:rPr>
                <w:rFonts w:ascii="Calibri" w:cs="Calibri" w:eastAsia="Calibri" w:hAnsi="Calibri"/>
                <w:sz w:val="24"/>
                <w:szCs w:val="24"/>
                <w:color w:val="auto"/>
                <w:vertAlign w:val="superscript"/>
              </w:rPr>
              <w:t>(6)</w:t>
            </w:r>
          </w:p>
        </w:tc>
        <w:tc>
          <w:tcPr>
            <w:tcW w:w="200" w:type="dxa"/>
            <w:vAlign w:val="bottom"/>
          </w:tcPr>
          <w:p>
            <w:pPr>
              <w:spacing w:after="0"/>
              <w:rPr>
                <w:sz w:val="21"/>
                <w:szCs w:val="21"/>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81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43"/>
        </w:trPr>
        <w:tc>
          <w:tcPr>
            <w:tcW w:w="540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Change in fair value of contngent consideraton</w:t>
            </w:r>
            <w:r>
              <w:rPr>
                <w:rFonts w:ascii="Calibri" w:cs="Calibri" w:eastAsia="Calibri" w:hAnsi="Calibri"/>
                <w:sz w:val="24"/>
                <w:szCs w:val="24"/>
                <w:color w:val="auto"/>
                <w:vertAlign w:val="superscript"/>
              </w:rPr>
              <w:t>(7)</w:t>
            </w:r>
          </w:p>
        </w:tc>
        <w:tc>
          <w:tcPr>
            <w:tcW w:w="2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(1,052 )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(1,018 )</w:t>
            </w:r>
          </w:p>
        </w:tc>
      </w:tr>
      <w:tr>
        <w:trPr>
          <w:trHeight w:val="243"/>
        </w:trPr>
        <w:tc>
          <w:tcPr>
            <w:tcW w:w="5400" w:type="dxa"/>
            <w:vAlign w:val="bottom"/>
          </w:tcPr>
          <w:p>
            <w:pPr>
              <w:ind w:left="20"/>
              <w:spacing w:after="0" w:line="243" w:lineRule="exact"/>
              <w:rPr>
                <w:sz w:val="20"/>
                <w:szCs w:val="20"/>
                <w:color w:val="auto"/>
              </w:rPr>
            </w:pPr>
            <w:r>
              <w:rPr>
                <w:rFonts w:ascii="Calibri" w:cs="Calibri" w:eastAsia="Calibri" w:hAnsi="Calibri"/>
                <w:sz w:val="18"/>
                <w:szCs w:val="18"/>
                <w:color w:val="auto"/>
              </w:rPr>
              <w:t>Loss on asset disposals</w:t>
            </w:r>
            <w:r>
              <w:rPr>
                <w:rFonts w:ascii="Calibri" w:cs="Calibri" w:eastAsia="Calibri" w:hAnsi="Calibri"/>
                <w:sz w:val="24"/>
                <w:szCs w:val="24"/>
                <w:color w:val="auto"/>
                <w:vertAlign w:val="superscript"/>
              </w:rPr>
              <w:t>(8)</w:t>
            </w:r>
          </w:p>
        </w:tc>
        <w:tc>
          <w:tcPr>
            <w:tcW w:w="200" w:type="dxa"/>
            <w:vAlign w:val="bottom"/>
          </w:tcPr>
          <w:p>
            <w:pPr>
              <w:spacing w:after="0"/>
              <w:rPr>
                <w:sz w:val="21"/>
                <w:szCs w:val="21"/>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122</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17</w:t>
            </w:r>
          </w:p>
        </w:tc>
        <w:tc>
          <w:tcPr>
            <w:tcW w:w="100" w:type="dxa"/>
            <w:vAlign w:val="bottom"/>
          </w:tcPr>
          <w:p>
            <w:pPr>
              <w:spacing w:after="0"/>
              <w:rPr>
                <w:sz w:val="21"/>
                <w:szCs w:val="21"/>
                <w:color w:val="auto"/>
              </w:rPr>
            </w:pPr>
          </w:p>
        </w:tc>
      </w:tr>
      <w:tr>
        <w:trPr>
          <w:trHeight w:val="243"/>
        </w:trPr>
        <w:tc>
          <w:tcPr>
            <w:tcW w:w="540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Foreign currency revaluaton loss</w:t>
            </w:r>
            <w:r>
              <w:rPr>
                <w:rFonts w:ascii="Calibri" w:cs="Calibri" w:eastAsia="Calibri" w:hAnsi="Calibri"/>
                <w:sz w:val="24"/>
                <w:szCs w:val="24"/>
                <w:color w:val="auto"/>
                <w:vertAlign w:val="superscript"/>
              </w:rPr>
              <w:t>(9)</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2,792</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5,798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540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b w:val="1"/>
                <w:bCs w:val="1"/>
                <w:color w:val="auto"/>
              </w:rPr>
              <w:t>Adjusted EBITDA</w:t>
            </w:r>
          </w:p>
        </w:tc>
        <w:tc>
          <w:tcPr>
            <w:tcW w:w="200" w:type="dxa"/>
            <w:vAlign w:val="bottom"/>
            <w:tcBorders>
              <w:top w:val="single" w:sz="8" w:color="auto"/>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b w:val="1"/>
                <w:bCs w:val="1"/>
                <w:color w:val="auto"/>
                <w:w w:val="87"/>
              </w:rPr>
              <w:t>$</w:t>
            </w:r>
          </w:p>
        </w:tc>
        <w:tc>
          <w:tcPr>
            <w:tcW w:w="10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44,178</w:t>
            </w:r>
          </w:p>
        </w:tc>
        <w:tc>
          <w:tcPr>
            <w:tcW w:w="3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w w:val="87"/>
              </w:rPr>
              <w:t>$</w:t>
            </w:r>
          </w:p>
        </w:tc>
        <w:tc>
          <w:tcPr>
            <w:tcW w:w="9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31,077</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w w:val="87"/>
              </w:rPr>
              <w:t>$</w:t>
            </w:r>
          </w:p>
        </w:tc>
        <w:tc>
          <w:tcPr>
            <w:tcW w:w="9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83,096</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b w:val="1"/>
                <w:bCs w:val="1"/>
                <w:color w:val="auto"/>
                <w:w w:val="87"/>
              </w:rPr>
              <w:t>$</w:t>
            </w:r>
          </w:p>
        </w:tc>
        <w:tc>
          <w:tcPr>
            <w:tcW w:w="9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73,512</w:t>
            </w:r>
          </w:p>
        </w:tc>
        <w:tc>
          <w:tcPr>
            <w:tcW w:w="100" w:type="dxa"/>
            <w:vAlign w:val="bottom"/>
            <w:tcBorders>
              <w:top w:val="single" w:sz="8" w:color="CFF0FC"/>
            </w:tcBorders>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-187960</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-187960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jc w:val="both"/>
        <w:ind w:left="460" w:hanging="452"/>
        <w:spacing w:after="0" w:line="254" w:lineRule="auto"/>
        <w:tabs>
          <w:tab w:leader="none" w:pos="460"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We have historically incurred sales tax expense in jurisdictons where we expected to collect and remit indirect taxes, but were not yet collectng from customers. During the six months ended June 30, 2024, we accrued for additonal sales and indirect tax liabilites in jurisdictons where we are not yet collectng from the customers and setled certain local admission tax liabilites for less than the amount that was accrued as of December 31, 2023.</w:t>
      </w:r>
    </w:p>
    <w:p>
      <w:pPr>
        <w:spacing w:after="0" w:line="97" w:lineRule="exact"/>
        <w:rPr>
          <w:rFonts w:ascii="Calibri" w:cs="Calibri" w:eastAsia="Calibri" w:hAnsi="Calibri"/>
          <w:sz w:val="17"/>
          <w:szCs w:val="17"/>
          <w:color w:val="auto"/>
        </w:rPr>
      </w:pPr>
    </w:p>
    <w:p>
      <w:pPr>
        <w:jc w:val="both"/>
        <w:ind w:left="460" w:hanging="452"/>
        <w:spacing w:after="0" w:line="252" w:lineRule="auto"/>
        <w:tabs>
          <w:tab w:leader="none" w:pos="460"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Relates to legal, accountng, tax and other professional fees; personnel-related costs, which consist of retenton bonuses; integraton costs; and other transacton-related expenses. Costs in the three and six months ended June 30, 2024 primarily related to the refnancing of the February 2022 First Lien Loan with the June 2024 First Lien Loan (each as defned herein), share repurchases, acquisitons and strategic investments. Costs in the three and six months ended June 30, 2023 primarily related to a secondary ofering of our Class A common stock, acquisitons and strategic investments.</w:t>
      </w:r>
    </w:p>
    <w:p>
      <w:pPr>
        <w:spacing w:after="0" w:line="100" w:lineRule="exact"/>
        <w:rPr>
          <w:rFonts w:ascii="Calibri" w:cs="Calibri" w:eastAsia="Calibri" w:hAnsi="Calibri"/>
          <w:sz w:val="17"/>
          <w:szCs w:val="17"/>
          <w:color w:val="auto"/>
        </w:rPr>
      </w:pPr>
    </w:p>
    <w:p>
      <w:pPr>
        <w:ind w:left="460" w:hanging="452"/>
        <w:spacing w:after="0" w:line="235" w:lineRule="auto"/>
        <w:tabs>
          <w:tab w:leader="none" w:pos="4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equity granted pursuant to our 2021 Incentve Award Plan, as amended, and profts interests issued prior to our merger transacton with Horizon Acquisiton Corporaton (the “Merger Transacton”), neither of which are considered indicatve of our core operatng performance.</w:t>
      </w:r>
    </w:p>
    <w:p>
      <w:pPr>
        <w:spacing w:after="0" w:line="104" w:lineRule="exact"/>
        <w:rPr>
          <w:rFonts w:ascii="Calibri" w:cs="Calibri" w:eastAsia="Calibri" w:hAnsi="Calibri"/>
          <w:sz w:val="18"/>
          <w:szCs w:val="18"/>
          <w:color w:val="auto"/>
        </w:rPr>
      </w:pPr>
    </w:p>
    <w:p>
      <w:pPr>
        <w:ind w:left="460" w:hanging="452"/>
        <w:spacing w:after="0"/>
        <w:tabs>
          <w:tab w:leader="none" w:pos="4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external legal costs, setlement costs and insurance recoveries that were unrelated to our core business operatons.</w:t>
      </w:r>
    </w:p>
    <w:p>
      <w:pPr>
        <w:spacing w:after="0" w:line="109" w:lineRule="exact"/>
        <w:rPr>
          <w:rFonts w:ascii="Calibri" w:cs="Calibri" w:eastAsia="Calibri" w:hAnsi="Calibri"/>
          <w:sz w:val="18"/>
          <w:szCs w:val="18"/>
          <w:color w:val="auto"/>
        </w:rPr>
      </w:pPr>
    </w:p>
    <w:p>
      <w:pPr>
        <w:ind w:left="460" w:hanging="452"/>
        <w:spacing w:after="0" w:line="235" w:lineRule="auto"/>
        <w:tabs>
          <w:tab w:leader="none" w:pos="4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the revaluaton of warrants to purchase common units (“Intermediate Units”) of Hoya Intermediate, LLC (“Hoya Intermediate”) held by Hoya Topco, LLC (“Hoya Topco”) following the Merger Transacton.</w:t>
      </w:r>
    </w:p>
    <w:p>
      <w:pPr>
        <w:spacing w:after="0" w:line="104" w:lineRule="exact"/>
        <w:rPr>
          <w:rFonts w:ascii="Calibri" w:cs="Calibri" w:eastAsia="Calibri" w:hAnsi="Calibri"/>
          <w:sz w:val="18"/>
          <w:szCs w:val="18"/>
          <w:color w:val="auto"/>
        </w:rPr>
      </w:pPr>
    </w:p>
    <w:p>
      <w:pPr>
        <w:ind w:left="460" w:hanging="452"/>
        <w:spacing w:after="0"/>
        <w:tabs>
          <w:tab w:leader="none" w:pos="4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the revaluaton of derivatves recorded at fair value.</w:t>
      </w:r>
    </w:p>
    <w:p>
      <w:pPr>
        <w:spacing w:after="0" w:line="104" w:lineRule="exact"/>
        <w:rPr>
          <w:rFonts w:ascii="Calibri" w:cs="Calibri" w:eastAsia="Calibri" w:hAnsi="Calibri"/>
          <w:sz w:val="18"/>
          <w:szCs w:val="18"/>
          <w:color w:val="auto"/>
        </w:rPr>
      </w:pPr>
    </w:p>
    <w:p>
      <w:pPr>
        <w:ind w:left="460" w:hanging="452"/>
        <w:spacing w:after="0"/>
        <w:tabs>
          <w:tab w:leader="none" w:pos="4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the revaluaton of Vivid Picks cash earnouts.</w:t>
      </w:r>
    </w:p>
    <w:p>
      <w:pPr>
        <w:spacing w:after="0" w:line="104" w:lineRule="exact"/>
        <w:rPr>
          <w:rFonts w:ascii="Calibri" w:cs="Calibri" w:eastAsia="Calibri" w:hAnsi="Calibri"/>
          <w:sz w:val="18"/>
          <w:szCs w:val="18"/>
          <w:color w:val="auto"/>
        </w:rPr>
      </w:pPr>
    </w:p>
    <w:p>
      <w:pPr>
        <w:ind w:left="460" w:hanging="452"/>
        <w:spacing w:after="0"/>
        <w:tabs>
          <w:tab w:leader="none" w:pos="4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asset disposals, which are not considered indicatve of our core operatng performance.</w:t>
      </w:r>
    </w:p>
    <w:p>
      <w:pPr>
        <w:spacing w:after="0" w:line="109" w:lineRule="exact"/>
        <w:rPr>
          <w:rFonts w:ascii="Calibri" w:cs="Calibri" w:eastAsia="Calibri" w:hAnsi="Calibri"/>
          <w:sz w:val="18"/>
          <w:szCs w:val="18"/>
          <w:color w:val="auto"/>
        </w:rPr>
      </w:pPr>
    </w:p>
    <w:p>
      <w:pPr>
        <w:ind w:left="460" w:hanging="452"/>
        <w:spacing w:after="0" w:line="235" w:lineRule="auto"/>
        <w:tabs>
          <w:tab w:leader="none" w:pos="4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unrealized foreign currency revaluaton loss from the remeasurement of non-operatng assets and liabilites denominated in non-functonal currencies on the balance sheet date.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Key Factors Afectng our Performance</w:t>
      </w:r>
    </w:p>
    <w:p>
      <w:pPr>
        <w:spacing w:after="0" w:line="109" w:lineRule="exact"/>
        <w:rPr>
          <w:sz w:val="20"/>
          <w:szCs w:val="20"/>
          <w:color w:val="auto"/>
        </w:rPr>
      </w:pPr>
    </w:p>
    <w:p>
      <w:pPr>
        <w:spacing w:after="0"/>
        <w:rPr>
          <w:sz w:val="20"/>
          <w:szCs w:val="20"/>
          <w:color w:val="auto"/>
        </w:rPr>
      </w:pPr>
      <w:r>
        <w:rPr>
          <w:rFonts w:ascii="Calibri" w:cs="Calibri" w:eastAsia="Calibri" w:hAnsi="Calibri"/>
          <w:sz w:val="17"/>
          <w:szCs w:val="17"/>
          <w:color w:val="auto"/>
        </w:rPr>
        <w:t>During the six months ended June 30, 2024, there were no material changes to the “Key Factors Afectng Our Performance” disclosed in our 2023 Form 10-K.</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Our fnancial positon and results of operatons depend to a signifcant extent on those factors.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 w:name="page33"/>
    <w:bookmarkEnd w:id="32"/>
    <w:p>
      <w:pPr>
        <w:spacing w:after="0"/>
        <w:rPr>
          <w:sz w:val="20"/>
          <w:szCs w:val="20"/>
          <w:color w:val="auto"/>
        </w:rPr>
      </w:pPr>
      <w:r>
        <w:rPr>
          <w:rFonts w:ascii="Calibri" w:cs="Calibri" w:eastAsia="Calibri" w:hAnsi="Calibri"/>
          <w:sz w:val="18"/>
          <w:szCs w:val="18"/>
          <w:b w:val="1"/>
          <w:bCs w:val="1"/>
          <w:color w:val="auto"/>
        </w:rPr>
        <w:t>Recent Business Acquisitons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Vegas.com Acquisiton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November 3, 2023, we acquired VDC Holdco, LLC, the parent company of Vegas.com, LLC (together, “Vegas.com”), an online tcket marketplace for live event enthusiasts exploring Las Vegas, Nevada. The purchase price was $248.3 million, comprising $152.8 million in cash and approximately 15.6 million shares of our Class A common stock. We fnanced the cash porton of the purchase price at closing with cash on hand. The acquisiton was accounted for as an acquisiton of a business in accordance with the acquisiton method of accountng.</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Wavedash Acquisiton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September 8, 2023, we acquired WD Holdings Co., Ltd., the parent company of Wavedash Co., Ltd. (together, “Wavedash”), an online tcket marketplace headquartered in Tokyo, Japan. The purchase price was JPY 10,946.1 million, or approximately $74.3 million based on the exchange rate in efect on the acquisiton date, before considering the net efect of cash acquired. We fnanced the purchase price at closing with cash on hand. The acquisiton was accounted for as an acquisiton of a business in accordance with the acquisiton method of accountng.</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Comparison of the Three and Six Months Ended June 30, 2024 and 2023</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our results of operatons (in thousands, except percentages):</w:t>
      </w:r>
    </w:p>
    <w:p>
      <w:pPr>
        <w:spacing w:after="0" w:line="130"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880" w:type="dxa"/>
            <w:vAlign w:val="bottom"/>
            <w:gridSpan w:val="6"/>
          </w:tcPr>
          <w:p>
            <w:pPr>
              <w:jc w:val="right"/>
              <w:ind w:right="300"/>
              <w:spacing w:after="0"/>
              <w:rPr>
                <w:sz w:val="20"/>
                <w:szCs w:val="20"/>
                <w:color w:val="auto"/>
              </w:rPr>
            </w:pPr>
            <w:r>
              <w:rPr>
                <w:rFonts w:ascii="Calibri" w:cs="Calibri" w:eastAsia="Calibri" w:hAnsi="Calibri"/>
                <w:sz w:val="14"/>
                <w:szCs w:val="14"/>
                <w:b w:val="1"/>
                <w:bCs w:val="1"/>
                <w:color w:val="auto"/>
              </w:rPr>
              <w:t>Three Months Ended June</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rPr>
              <w:t>30,</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6"/>
          </w:tcPr>
          <w:p>
            <w:pPr>
              <w:jc w:val="right"/>
              <w:ind w:right="240"/>
              <w:spacing w:after="0"/>
              <w:rPr>
                <w:sz w:val="20"/>
                <w:szCs w:val="20"/>
                <w:color w:val="auto"/>
              </w:rPr>
            </w:pPr>
            <w:r>
              <w:rPr>
                <w:rFonts w:ascii="Calibri" w:cs="Calibri" w:eastAsia="Calibri" w:hAnsi="Calibri"/>
                <w:sz w:val="14"/>
                <w:szCs w:val="14"/>
                <w:b w:val="1"/>
                <w:bCs w:val="1"/>
                <w:color w:val="auto"/>
              </w:rPr>
              <w:t>Six Months Ended June 30,</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vMerge w:val="restart"/>
          </w:tcPr>
          <w:p>
            <w:pPr>
              <w:jc w:val="right"/>
              <w:ind w:right="320"/>
              <w:spacing w:after="0"/>
              <w:rPr>
                <w:sz w:val="20"/>
                <w:szCs w:val="20"/>
                <w:color w:val="auto"/>
              </w:rPr>
            </w:pPr>
            <w:r>
              <w:rPr>
                <w:rFonts w:ascii="Calibri" w:cs="Calibri" w:eastAsia="Calibri" w:hAnsi="Calibri"/>
                <w:sz w:val="14"/>
                <w:szCs w:val="14"/>
                <w:b w:val="1"/>
                <w:bCs w:val="1"/>
                <w:color w:val="auto"/>
              </w:rPr>
              <w:t>Change</w:t>
            </w:r>
          </w:p>
        </w:tc>
        <w:tc>
          <w:tcPr>
            <w:tcW w:w="940" w:type="dxa"/>
            <w:vAlign w:val="bottom"/>
            <w:gridSpan w:val="2"/>
            <w:vMerge w:val="restart"/>
          </w:tcPr>
          <w:p>
            <w:pPr>
              <w:jc w:val="right"/>
              <w:ind w:right="300"/>
              <w:spacing w:after="0"/>
              <w:rPr>
                <w:sz w:val="20"/>
                <w:szCs w:val="20"/>
                <w:color w:val="auto"/>
              </w:rPr>
            </w:pPr>
            <w:r>
              <w:rPr>
                <w:rFonts w:ascii="Calibri" w:cs="Calibri" w:eastAsia="Calibri" w:hAnsi="Calibri"/>
                <w:sz w:val="14"/>
                <w:szCs w:val="14"/>
                <w:b w:val="1"/>
                <w:bCs w:val="1"/>
                <w:color w:val="auto"/>
              </w:rPr>
              <w:t>% Change</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restart"/>
          </w:tcPr>
          <w:p>
            <w:pPr>
              <w:jc w:val="right"/>
              <w:ind w:right="320"/>
              <w:spacing w:after="0"/>
              <w:rPr>
                <w:sz w:val="20"/>
                <w:szCs w:val="20"/>
                <w:color w:val="auto"/>
              </w:rPr>
            </w:pPr>
            <w:r>
              <w:rPr>
                <w:rFonts w:ascii="Calibri" w:cs="Calibri" w:eastAsia="Calibri" w:hAnsi="Calibri"/>
                <w:sz w:val="14"/>
                <w:szCs w:val="14"/>
                <w:b w:val="1"/>
                <w:bCs w:val="1"/>
                <w:color w:val="auto"/>
                <w:w w:val="97"/>
              </w:rPr>
              <w:t>Change</w:t>
            </w:r>
          </w:p>
        </w:tc>
        <w:tc>
          <w:tcPr>
            <w:tcW w:w="980" w:type="dxa"/>
            <w:vAlign w:val="bottom"/>
            <w:gridSpan w:val="3"/>
            <w:vMerge w:val="restart"/>
          </w:tcPr>
          <w:p>
            <w:pPr>
              <w:jc w:val="right"/>
              <w:ind w:right="28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48"/>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48"/>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48"/>
              <w:spacing w:after="0" w:line="164"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48"/>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58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color w:val="auto"/>
              </w:rPr>
              <w:t>Revenues</w:t>
            </w:r>
          </w:p>
        </w:tc>
        <w:tc>
          <w:tcPr>
            <w:tcW w:w="14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5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198,316</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165,380</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32,936</w:t>
            </w:r>
          </w:p>
        </w:tc>
        <w:tc>
          <w:tcPr>
            <w:tcW w:w="2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3"/>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20 %  $</w:t>
            </w:r>
          </w:p>
        </w:tc>
        <w:tc>
          <w:tcPr>
            <w:tcW w:w="5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389,168</w:t>
            </w:r>
          </w:p>
        </w:tc>
        <w:tc>
          <w:tcPr>
            <w:tcW w:w="360" w:type="dxa"/>
            <w:vAlign w:val="bottom"/>
            <w:tcBorders>
              <w:bottom w:val="single" w:sz="8" w:color="CFF0FC"/>
            </w:tcBorders>
            <w:gridSpan w:val="2"/>
            <w:shd w:val="clear" w:color="auto" w:fill="CFF0FC"/>
          </w:tcPr>
          <w:p>
            <w:pPr>
              <w:jc w:val="right"/>
              <w:ind w:right="60"/>
              <w:spacing w:after="0" w:line="164" w:lineRule="exact"/>
              <w:rPr>
                <w:sz w:val="20"/>
                <w:szCs w:val="20"/>
                <w:color w:val="auto"/>
              </w:rPr>
            </w:pPr>
            <w:r>
              <w:rPr>
                <w:rFonts w:ascii="Calibri" w:cs="Calibri" w:eastAsia="Calibri" w:hAnsi="Calibri"/>
                <w:sz w:val="14"/>
                <w:szCs w:val="14"/>
                <w:color w:val="auto"/>
              </w:rPr>
              <w:t>$</w:t>
            </w: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326,443</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62,725</w:t>
            </w:r>
          </w:p>
        </w:tc>
        <w:tc>
          <w:tcPr>
            <w:tcW w:w="2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gridSpan w:val="2"/>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19 %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580" w:type="dxa"/>
            <w:vAlign w:val="bottom"/>
          </w:tcPr>
          <w:p>
            <w:pPr>
              <w:ind w:left="20"/>
              <w:spacing w:after="0"/>
              <w:rPr>
                <w:sz w:val="20"/>
                <w:szCs w:val="20"/>
                <w:color w:val="auto"/>
              </w:rPr>
            </w:pPr>
            <w:r>
              <w:rPr>
                <w:rFonts w:ascii="Calibri" w:cs="Calibri" w:eastAsia="Calibri" w:hAnsi="Calibri"/>
                <w:sz w:val="14"/>
                <w:szCs w:val="14"/>
                <w:b w:val="1"/>
                <w:bCs w:val="1"/>
                <w:color w:val="auto"/>
              </w:rPr>
              <w:t>Costs and expenses: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Cost of revenues (exclusive of depreciaton and</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amortzaton shown separately below)</w:t>
            </w:r>
          </w:p>
        </w:tc>
        <w:tc>
          <w:tcPr>
            <w:tcW w:w="14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48,765</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42,616</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6,149</w:t>
            </w:r>
          </w:p>
        </w:tc>
        <w:tc>
          <w:tcPr>
            <w:tcW w:w="22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Calibri" w:cs="Calibri" w:eastAsia="Calibri" w:hAnsi="Calibri"/>
                <w:sz w:val="14"/>
                <w:szCs w:val="14"/>
                <w:color w:val="auto"/>
              </w:rPr>
              <w:t>14 %</w:t>
            </w:r>
          </w:p>
        </w:tc>
        <w:tc>
          <w:tcPr>
            <w:tcW w:w="14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98,348</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80,376</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17,972</w:t>
            </w:r>
          </w:p>
        </w:tc>
        <w:tc>
          <w:tcPr>
            <w:tcW w:w="2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color w:val="auto"/>
              </w:rPr>
              <w:t>22 %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580" w:type="dxa"/>
            <w:vAlign w:val="bottom"/>
          </w:tcPr>
          <w:p>
            <w:pPr>
              <w:ind w:left="20"/>
              <w:spacing w:after="0"/>
              <w:rPr>
                <w:sz w:val="20"/>
                <w:szCs w:val="20"/>
                <w:color w:val="auto"/>
              </w:rPr>
            </w:pPr>
            <w:r>
              <w:rPr>
                <w:rFonts w:ascii="Calibri" w:cs="Calibri" w:eastAsia="Calibri" w:hAnsi="Calibri"/>
                <w:sz w:val="14"/>
                <w:szCs w:val="14"/>
                <w:color w:val="auto"/>
              </w:rPr>
              <w:t>Marketng and selling</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70,114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65,192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4,922</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8 %</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137,861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119,964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17,897</w:t>
            </w:r>
          </w:p>
        </w:tc>
        <w:tc>
          <w:tcPr>
            <w:tcW w:w="2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4"/>
                <w:szCs w:val="14"/>
                <w:color w:val="auto"/>
              </w:rPr>
              <w:t>15 %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General and administratve</w:t>
            </w:r>
          </w:p>
        </w:tc>
        <w:tc>
          <w:tcPr>
            <w:tcW w:w="1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61,053</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38,307</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22,746</w:t>
            </w:r>
          </w:p>
        </w:tc>
        <w:tc>
          <w:tcPr>
            <w:tcW w:w="22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Calibri" w:cs="Calibri" w:eastAsia="Calibri" w:hAnsi="Calibri"/>
                <w:sz w:val="14"/>
                <w:szCs w:val="14"/>
                <w:color w:val="auto"/>
              </w:rPr>
              <w:t>59 %</w:t>
            </w:r>
          </w:p>
        </w:tc>
        <w:tc>
          <w:tcPr>
            <w:tcW w:w="1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103,420</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70,696</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32,724</w:t>
            </w:r>
          </w:p>
        </w:tc>
        <w:tc>
          <w:tcPr>
            <w:tcW w:w="2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color w:val="auto"/>
              </w:rPr>
              <w:t>46 %</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580" w:type="dxa"/>
            <w:vAlign w:val="bottom"/>
          </w:tcPr>
          <w:p>
            <w:pPr>
              <w:ind w:left="20"/>
              <w:spacing w:after="0"/>
              <w:rPr>
                <w:sz w:val="20"/>
                <w:szCs w:val="20"/>
                <w:color w:val="auto"/>
              </w:rPr>
            </w:pPr>
            <w:r>
              <w:rPr>
                <w:rFonts w:ascii="Calibri" w:cs="Calibri" w:eastAsia="Calibri" w:hAnsi="Calibri"/>
                <w:sz w:val="14"/>
                <w:szCs w:val="14"/>
                <w:color w:val="auto"/>
              </w:rPr>
              <w:t>Depreciaton and amortzaton</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10,502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2,704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7,798</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288 %</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20,985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5,302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15,683</w:t>
            </w:r>
          </w:p>
        </w:tc>
        <w:tc>
          <w:tcPr>
            <w:tcW w:w="2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4"/>
                <w:szCs w:val="14"/>
                <w:color w:val="auto"/>
              </w:rPr>
              <w:t>296 %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Change in fair value of contngent consideraton</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(1,052 )</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1,052</w:t>
            </w: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rPr>
                <w:sz w:val="20"/>
                <w:szCs w:val="20"/>
                <w:color w:val="auto"/>
              </w:rPr>
            </w:pPr>
            <w:r>
              <w:rPr>
                <w:rFonts w:ascii="Calibri" w:cs="Calibri" w:eastAsia="Calibri" w:hAnsi="Calibri"/>
                <w:sz w:val="14"/>
                <w:szCs w:val="14"/>
                <w:color w:val="auto"/>
              </w:rPr>
              <w:t>100 %</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(1,018 )</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1,018</w:t>
            </w: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100 %</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35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80" w:type="dxa"/>
            <w:vAlign w:val="bottom"/>
          </w:tcPr>
          <w:p>
            <w:pPr>
              <w:ind w:left="20"/>
              <w:spacing w:after="0"/>
              <w:rPr>
                <w:sz w:val="20"/>
                <w:szCs w:val="20"/>
                <w:color w:val="auto"/>
              </w:rPr>
            </w:pPr>
            <w:r>
              <w:rPr>
                <w:rFonts w:ascii="Calibri" w:cs="Calibri" w:eastAsia="Calibri" w:hAnsi="Calibri"/>
                <w:sz w:val="14"/>
                <w:szCs w:val="14"/>
                <w:b w:val="1"/>
                <w:bCs w:val="1"/>
                <w:color w:val="auto"/>
              </w:rPr>
              <w:t>Income from operatons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7,882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17,613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4"/>
                <w:szCs w:val="14"/>
                <w:b w:val="1"/>
                <w:bCs w:val="1"/>
                <w:color w:val="auto"/>
              </w:rPr>
              <w:t>(9,731 )</w:t>
            </w:r>
          </w:p>
        </w:tc>
        <w:tc>
          <w:tcPr>
            <w:tcW w:w="940" w:type="dxa"/>
            <w:vAlign w:val="bottom"/>
            <w:gridSpan w:val="2"/>
          </w:tcPr>
          <w:p>
            <w:pPr>
              <w:jc w:val="right"/>
              <w:ind w:right="60"/>
              <w:spacing w:after="0"/>
              <w:rPr>
                <w:sz w:val="20"/>
                <w:szCs w:val="20"/>
                <w:color w:val="auto"/>
              </w:rPr>
            </w:pPr>
            <w:r>
              <w:rPr>
                <w:rFonts w:ascii="Calibri" w:cs="Calibri" w:eastAsia="Calibri" w:hAnsi="Calibri"/>
                <w:sz w:val="14"/>
                <w:szCs w:val="14"/>
                <w:b w:val="1"/>
                <w:bCs w:val="1"/>
                <w:color w:val="auto"/>
              </w:rPr>
              <w:t>(55 )%</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28,554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51,123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4"/>
                <w:szCs w:val="14"/>
                <w:b w:val="1"/>
                <w:bCs w:val="1"/>
                <w:color w:val="auto"/>
              </w:rPr>
              <w:t>(22,569 )</w:t>
            </w:r>
          </w:p>
        </w:tc>
        <w:tc>
          <w:tcPr>
            <w:tcW w:w="98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(44 )%</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Other expense:</w:t>
            </w:r>
          </w:p>
        </w:tc>
        <w:tc>
          <w:tcPr>
            <w:tcW w:w="1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580" w:type="dxa"/>
            <w:vAlign w:val="bottom"/>
          </w:tcPr>
          <w:p>
            <w:pPr>
              <w:ind w:left="20"/>
              <w:spacing w:after="0"/>
              <w:rPr>
                <w:sz w:val="20"/>
                <w:szCs w:val="20"/>
                <w:color w:val="auto"/>
              </w:rPr>
            </w:pPr>
            <w:r>
              <w:rPr>
                <w:rFonts w:ascii="Calibri" w:cs="Calibri" w:eastAsia="Calibri" w:hAnsi="Calibri"/>
                <w:sz w:val="14"/>
                <w:szCs w:val="14"/>
                <w:color w:val="auto"/>
              </w:rPr>
              <w:t>Interest expense – net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5,324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2,772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2,552</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92 %</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10,406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6,052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4,354</w:t>
            </w:r>
          </w:p>
        </w:tc>
        <w:tc>
          <w:tcPr>
            <w:tcW w:w="2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4"/>
                <w:szCs w:val="14"/>
                <w:color w:val="auto"/>
              </w:rPr>
              <w:t>72 %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Other expense</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3,202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1,000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2,202</w:t>
            </w: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rPr>
                <w:sz w:val="20"/>
                <w:szCs w:val="20"/>
                <w:color w:val="auto"/>
              </w:rPr>
            </w:pPr>
            <w:r>
              <w:rPr>
                <w:rFonts w:ascii="Calibri" w:cs="Calibri" w:eastAsia="Calibri" w:hAnsi="Calibri"/>
                <w:sz w:val="14"/>
                <w:szCs w:val="14"/>
                <w:color w:val="auto"/>
              </w:rPr>
              <w:t>220 %</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5,784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673</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5,111</w:t>
            </w: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759 %</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35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80" w:type="dxa"/>
            <w:vAlign w:val="bottom"/>
          </w:tcPr>
          <w:p>
            <w:pPr>
              <w:ind w:left="20"/>
              <w:spacing w:after="0"/>
              <w:rPr>
                <w:sz w:val="20"/>
                <w:szCs w:val="20"/>
                <w:color w:val="auto"/>
              </w:rPr>
            </w:pPr>
            <w:r>
              <w:rPr>
                <w:rFonts w:ascii="Calibri" w:cs="Calibri" w:eastAsia="Calibri" w:hAnsi="Calibri"/>
                <w:sz w:val="14"/>
                <w:szCs w:val="14"/>
                <w:b w:val="1"/>
                <w:bCs w:val="1"/>
                <w:color w:val="auto"/>
              </w:rPr>
              <w:t>Income (loss) before income taxes</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Calibri" w:cs="Calibri" w:eastAsia="Calibri" w:hAnsi="Calibri"/>
                <w:sz w:val="14"/>
                <w:szCs w:val="14"/>
                <w:b w:val="1"/>
                <w:bCs w:val="1"/>
                <w:color w:val="auto"/>
              </w:rPr>
              <w:t>(644 )</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13,841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4"/>
                <w:szCs w:val="14"/>
                <w:b w:val="1"/>
                <w:bCs w:val="1"/>
                <w:color w:val="auto"/>
              </w:rPr>
              <w:t>(14,485 )</w:t>
            </w:r>
          </w:p>
        </w:tc>
        <w:tc>
          <w:tcPr>
            <w:tcW w:w="940" w:type="dxa"/>
            <w:vAlign w:val="bottom"/>
            <w:gridSpan w:val="2"/>
          </w:tcPr>
          <w:p>
            <w:pPr>
              <w:jc w:val="right"/>
              <w:ind w:right="60"/>
              <w:spacing w:after="0"/>
              <w:rPr>
                <w:sz w:val="20"/>
                <w:szCs w:val="20"/>
                <w:color w:val="auto"/>
              </w:rPr>
            </w:pPr>
            <w:r>
              <w:rPr>
                <w:rFonts w:ascii="Calibri" w:cs="Calibri" w:eastAsia="Calibri" w:hAnsi="Calibri"/>
                <w:sz w:val="14"/>
                <w:szCs w:val="14"/>
                <w:b w:val="1"/>
                <w:bCs w:val="1"/>
                <w:color w:val="auto"/>
              </w:rPr>
              <w:t>(105 )%</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12,364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44,398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4"/>
                <w:szCs w:val="14"/>
                <w:b w:val="1"/>
                <w:bCs w:val="1"/>
                <w:color w:val="auto"/>
              </w:rPr>
              <w:t>(32,034 )</w:t>
            </w:r>
          </w:p>
        </w:tc>
        <w:tc>
          <w:tcPr>
            <w:tcW w:w="98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(72 )%</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5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Income tax expense (beneft)</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577</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(24,485 )</w:t>
            </w: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25,062</w:t>
            </w:r>
          </w:p>
        </w:tc>
        <w:tc>
          <w:tcPr>
            <w:tcW w:w="2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00"/>
              <w:spacing w:after="0"/>
              <w:rPr>
                <w:sz w:val="20"/>
                <w:szCs w:val="20"/>
                <w:color w:val="auto"/>
              </w:rPr>
            </w:pPr>
            <w:r>
              <w:rPr>
                <w:rFonts w:ascii="Calibri" w:cs="Calibri" w:eastAsia="Calibri" w:hAnsi="Calibri"/>
                <w:sz w:val="14"/>
                <w:szCs w:val="14"/>
                <w:color w:val="auto"/>
              </w:rPr>
              <w:t>102 %</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2,846</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(24,200 )</w:t>
            </w: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27,046</w:t>
            </w:r>
          </w:p>
        </w:tc>
        <w:tc>
          <w:tcPr>
            <w:tcW w:w="2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112 %</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80" w:type="dxa"/>
            <w:vAlign w:val="bottom"/>
          </w:tcPr>
          <w:p>
            <w:pPr>
              <w:ind w:left="20"/>
              <w:spacing w:after="0"/>
              <w:rPr>
                <w:sz w:val="20"/>
                <w:szCs w:val="20"/>
                <w:color w:val="auto"/>
              </w:rPr>
            </w:pPr>
            <w:r>
              <w:rPr>
                <w:rFonts w:ascii="Calibri" w:cs="Calibri" w:eastAsia="Calibri" w:hAnsi="Calibri"/>
                <w:sz w:val="14"/>
                <w:szCs w:val="14"/>
                <w:b w:val="1"/>
                <w:bCs w:val="1"/>
                <w:color w:val="auto"/>
              </w:rPr>
              <w:t>Net income (loss)</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Calibri" w:cs="Calibri" w:eastAsia="Calibri" w:hAnsi="Calibri"/>
                <w:sz w:val="14"/>
                <w:szCs w:val="14"/>
                <w:b w:val="1"/>
                <w:bCs w:val="1"/>
                <w:color w:val="auto"/>
              </w:rPr>
              <w:t>(1,221 )</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38,326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4"/>
                <w:szCs w:val="14"/>
                <w:b w:val="1"/>
                <w:bCs w:val="1"/>
                <w:color w:val="auto"/>
              </w:rPr>
              <w:t>(39,547 )</w:t>
            </w:r>
          </w:p>
        </w:tc>
        <w:tc>
          <w:tcPr>
            <w:tcW w:w="940" w:type="dxa"/>
            <w:vAlign w:val="bottom"/>
            <w:gridSpan w:val="2"/>
          </w:tcPr>
          <w:p>
            <w:pPr>
              <w:jc w:val="right"/>
              <w:ind w:right="60"/>
              <w:spacing w:after="0"/>
              <w:rPr>
                <w:sz w:val="20"/>
                <w:szCs w:val="20"/>
                <w:color w:val="auto"/>
              </w:rPr>
            </w:pPr>
            <w:r>
              <w:rPr>
                <w:rFonts w:ascii="Calibri" w:cs="Calibri" w:eastAsia="Calibri" w:hAnsi="Calibri"/>
                <w:sz w:val="14"/>
                <w:szCs w:val="14"/>
                <w:b w:val="1"/>
                <w:bCs w:val="1"/>
                <w:color w:val="auto"/>
              </w:rPr>
              <w:t>(103 )%</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9,518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68,598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4"/>
                <w:szCs w:val="14"/>
                <w:b w:val="1"/>
                <w:bCs w:val="1"/>
                <w:color w:val="auto"/>
              </w:rPr>
              <w:t>(59,080 )</w:t>
            </w:r>
          </w:p>
        </w:tc>
        <w:tc>
          <w:tcPr>
            <w:tcW w:w="98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(86 )%</w:t>
            </w:r>
          </w:p>
        </w:tc>
        <w:tc>
          <w:tcPr>
            <w:tcW w:w="0" w:type="dxa"/>
            <w:vAlign w:val="bottom"/>
          </w:tcPr>
          <w:p>
            <w:pPr>
              <w:spacing w:after="0"/>
              <w:rPr>
                <w:sz w:val="1"/>
                <w:szCs w:val="1"/>
                <w:color w:val="auto"/>
              </w:rPr>
            </w:pPr>
          </w:p>
        </w:tc>
      </w:tr>
      <w:tr>
        <w:trPr>
          <w:trHeight w:val="202"/>
        </w:trPr>
        <w:tc>
          <w:tcPr>
            <w:tcW w:w="3580" w:type="dxa"/>
            <w:vAlign w:val="bottom"/>
          </w:tcPr>
          <w:p>
            <w:pPr>
              <w:ind w:left="20"/>
              <w:spacing w:after="0"/>
              <w:rPr>
                <w:sz w:val="20"/>
                <w:szCs w:val="20"/>
                <w:color w:val="auto"/>
              </w:rPr>
            </w:pPr>
            <w:r>
              <w:rPr>
                <w:rFonts w:ascii="Calibri" w:cs="Calibri" w:eastAsia="Calibri" w:hAnsi="Calibri"/>
                <w:sz w:val="14"/>
                <w:szCs w:val="14"/>
                <w:color w:val="auto"/>
              </w:rPr>
              <w:t>Net income (loss) atributable to redeemable</w:t>
            </w:r>
          </w:p>
        </w:tc>
        <w:tc>
          <w:tcPr>
            <w:tcW w:w="140" w:type="dxa"/>
            <w:vAlign w:val="bottom"/>
          </w:tcPr>
          <w:p>
            <w:pPr>
              <w:spacing w:after="0"/>
              <w:rPr>
                <w:sz w:val="17"/>
                <w:szCs w:val="17"/>
                <w:color w:val="auto"/>
              </w:rPr>
            </w:pPr>
          </w:p>
        </w:tc>
        <w:tc>
          <w:tcPr>
            <w:tcW w:w="820" w:type="dxa"/>
            <w:vAlign w:val="bottom"/>
            <w:gridSpan w:val="2"/>
            <w:vMerge w:val="restart"/>
          </w:tcPr>
          <w:p>
            <w:pPr>
              <w:jc w:val="right"/>
              <w:ind w:right="200"/>
              <w:spacing w:after="0"/>
              <w:rPr>
                <w:sz w:val="20"/>
                <w:szCs w:val="20"/>
                <w:color w:val="auto"/>
              </w:rPr>
            </w:pPr>
            <w:r>
              <w:rPr>
                <w:rFonts w:ascii="Calibri" w:cs="Calibri" w:eastAsia="Calibri" w:hAnsi="Calibri"/>
                <w:sz w:val="14"/>
                <w:szCs w:val="14"/>
                <w:color w:val="auto"/>
              </w:rPr>
              <w:t>(160 )</w:t>
            </w:r>
          </w:p>
        </w:tc>
        <w:tc>
          <w:tcPr>
            <w:tcW w:w="14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Calibri" w:cs="Calibri" w:eastAsia="Calibri" w:hAnsi="Calibri"/>
                <w:sz w:val="14"/>
                <w:szCs w:val="14"/>
                <w:color w:val="auto"/>
              </w:rPr>
              <w:t>7,614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vMerge w:val="restart"/>
          </w:tcPr>
          <w:p>
            <w:pPr>
              <w:jc w:val="right"/>
              <w:ind w:right="160"/>
              <w:spacing w:after="0"/>
              <w:rPr>
                <w:sz w:val="20"/>
                <w:szCs w:val="20"/>
                <w:color w:val="auto"/>
              </w:rPr>
            </w:pPr>
            <w:r>
              <w:rPr>
                <w:rFonts w:ascii="Calibri" w:cs="Calibri" w:eastAsia="Calibri" w:hAnsi="Calibri"/>
                <w:sz w:val="14"/>
                <w:szCs w:val="14"/>
                <w:color w:val="auto"/>
              </w:rPr>
              <w:t>(7,774 )</w:t>
            </w:r>
          </w:p>
        </w:tc>
        <w:tc>
          <w:tcPr>
            <w:tcW w:w="940" w:type="dxa"/>
            <w:vAlign w:val="bottom"/>
            <w:gridSpan w:val="2"/>
            <w:vMerge w:val="restart"/>
          </w:tcPr>
          <w:p>
            <w:pPr>
              <w:jc w:val="right"/>
              <w:ind w:right="60"/>
              <w:spacing w:after="0"/>
              <w:rPr>
                <w:sz w:val="20"/>
                <w:szCs w:val="20"/>
                <w:color w:val="auto"/>
              </w:rPr>
            </w:pPr>
            <w:r>
              <w:rPr>
                <w:rFonts w:ascii="Calibri" w:cs="Calibri" w:eastAsia="Calibri" w:hAnsi="Calibri"/>
                <w:sz w:val="14"/>
                <w:szCs w:val="14"/>
                <w:color w:val="auto"/>
              </w:rPr>
              <w:t>(102 )%</w:t>
            </w:r>
          </w:p>
        </w:tc>
        <w:tc>
          <w:tcPr>
            <w:tcW w:w="14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Calibri" w:cs="Calibri" w:eastAsia="Calibri" w:hAnsi="Calibri"/>
                <w:sz w:val="14"/>
                <w:szCs w:val="14"/>
                <w:color w:val="auto"/>
              </w:rPr>
              <w:t>4,505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Calibri" w:cs="Calibri" w:eastAsia="Calibri" w:hAnsi="Calibri"/>
                <w:sz w:val="14"/>
                <w:szCs w:val="14"/>
                <w:color w:val="auto"/>
              </w:rPr>
              <w:t>25,704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vMerge w:val="restart"/>
          </w:tcPr>
          <w:p>
            <w:pPr>
              <w:jc w:val="right"/>
              <w:ind w:right="160"/>
              <w:spacing w:after="0"/>
              <w:rPr>
                <w:sz w:val="20"/>
                <w:szCs w:val="20"/>
                <w:color w:val="auto"/>
              </w:rPr>
            </w:pPr>
            <w:r>
              <w:rPr>
                <w:rFonts w:ascii="Calibri" w:cs="Calibri" w:eastAsia="Calibri" w:hAnsi="Calibri"/>
                <w:sz w:val="14"/>
                <w:szCs w:val="14"/>
                <w:color w:val="auto"/>
              </w:rPr>
              <w:t>(21,199 )</w:t>
            </w:r>
          </w:p>
        </w:tc>
        <w:tc>
          <w:tcPr>
            <w:tcW w:w="980" w:type="dxa"/>
            <w:vAlign w:val="bottom"/>
            <w:gridSpan w:val="3"/>
            <w:vMerge w:val="restart"/>
          </w:tcPr>
          <w:p>
            <w:pPr>
              <w:jc w:val="right"/>
              <w:spacing w:after="0"/>
              <w:rPr>
                <w:sz w:val="20"/>
                <w:szCs w:val="20"/>
                <w:color w:val="auto"/>
              </w:rPr>
            </w:pPr>
            <w:r>
              <w:rPr>
                <w:rFonts w:ascii="Calibri" w:cs="Calibri" w:eastAsia="Calibri" w:hAnsi="Calibri"/>
                <w:sz w:val="14"/>
                <w:szCs w:val="14"/>
                <w:color w:val="auto"/>
              </w:rPr>
              <w:t>(82 )%</w:t>
            </w:r>
          </w:p>
        </w:tc>
        <w:tc>
          <w:tcPr>
            <w:tcW w:w="0" w:type="dxa"/>
            <w:vAlign w:val="bottom"/>
          </w:tcPr>
          <w:p>
            <w:pPr>
              <w:spacing w:after="0"/>
              <w:rPr>
                <w:sz w:val="1"/>
                <w:szCs w:val="1"/>
                <w:color w:val="auto"/>
              </w:rPr>
            </w:pPr>
          </w:p>
        </w:tc>
      </w:tr>
      <w:tr>
        <w:trPr>
          <w:trHeight w:val="175"/>
        </w:trPr>
        <w:tc>
          <w:tcPr>
            <w:tcW w:w="3580" w:type="dxa"/>
            <w:vAlign w:val="bottom"/>
          </w:tcPr>
          <w:p>
            <w:pPr>
              <w:ind w:left="20"/>
              <w:spacing w:after="0"/>
              <w:rPr>
                <w:sz w:val="20"/>
                <w:szCs w:val="20"/>
                <w:color w:val="auto"/>
              </w:rPr>
            </w:pPr>
            <w:r>
              <w:rPr>
                <w:rFonts w:ascii="Calibri" w:cs="Calibri" w:eastAsia="Calibri" w:hAnsi="Calibri"/>
                <w:sz w:val="14"/>
                <w:szCs w:val="14"/>
                <w:color w:val="auto"/>
              </w:rPr>
              <w:t>noncontrolling interests</w:t>
            </w: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358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Net income (loss) atributable to Class A Common</w:t>
            </w: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580" w:type="dxa"/>
            <w:vAlign w:val="bottom"/>
            <w:vMerge w:val="continue"/>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820" w:type="dxa"/>
            <w:vAlign w:val="bottom"/>
            <w:gridSpan w:val="2"/>
            <w:vMerge w:val="restart"/>
          </w:tcPr>
          <w:p>
            <w:pPr>
              <w:jc w:val="right"/>
              <w:ind w:right="200"/>
              <w:spacing w:after="0"/>
              <w:rPr>
                <w:sz w:val="20"/>
                <w:szCs w:val="20"/>
                <w:color w:val="auto"/>
              </w:rPr>
            </w:pPr>
            <w:r>
              <w:rPr>
                <w:rFonts w:ascii="Calibri" w:cs="Calibri" w:eastAsia="Calibri" w:hAnsi="Calibri"/>
                <w:sz w:val="14"/>
                <w:szCs w:val="14"/>
                <w:b w:val="1"/>
                <w:bCs w:val="1"/>
                <w:color w:val="auto"/>
              </w:rPr>
              <w:t>(1,061 )</w:t>
            </w:r>
          </w:p>
        </w:tc>
        <w:tc>
          <w:tcPr>
            <w:tcW w:w="14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56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rPr>
              <w:t>30,712</w:t>
            </w:r>
          </w:p>
        </w:tc>
        <w:tc>
          <w:tcPr>
            <w:tcW w:w="22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80" w:type="dxa"/>
            <w:vAlign w:val="bottom"/>
            <w:gridSpan w:val="2"/>
            <w:vMerge w:val="restart"/>
          </w:tcPr>
          <w:p>
            <w:pPr>
              <w:jc w:val="right"/>
              <w:ind w:right="160"/>
              <w:spacing w:after="0"/>
              <w:rPr>
                <w:sz w:val="20"/>
                <w:szCs w:val="20"/>
                <w:color w:val="auto"/>
              </w:rPr>
            </w:pPr>
            <w:r>
              <w:rPr>
                <w:rFonts w:ascii="Calibri" w:cs="Calibri" w:eastAsia="Calibri" w:hAnsi="Calibri"/>
                <w:sz w:val="14"/>
                <w:szCs w:val="14"/>
                <w:b w:val="1"/>
                <w:bCs w:val="1"/>
                <w:color w:val="auto"/>
              </w:rPr>
              <w:t>(31,773 )</w:t>
            </w:r>
          </w:p>
        </w:tc>
        <w:tc>
          <w:tcPr>
            <w:tcW w:w="1080" w:type="dxa"/>
            <w:vAlign w:val="bottom"/>
            <w:gridSpan w:val="3"/>
            <w:vMerge w:val="restart"/>
          </w:tcPr>
          <w:p>
            <w:pPr>
              <w:jc w:val="right"/>
              <w:spacing w:after="0"/>
              <w:rPr>
                <w:sz w:val="20"/>
                <w:szCs w:val="20"/>
                <w:color w:val="auto"/>
              </w:rPr>
            </w:pPr>
            <w:r>
              <w:rPr>
                <w:rFonts w:ascii="Calibri" w:cs="Calibri" w:eastAsia="Calibri" w:hAnsi="Calibri"/>
                <w:sz w:val="14"/>
                <w:szCs w:val="14"/>
                <w:b w:val="1"/>
                <w:bCs w:val="1"/>
                <w:color w:val="auto"/>
              </w:rPr>
              <w:t>(103 )% $</w:t>
            </w:r>
          </w:p>
        </w:tc>
        <w:tc>
          <w:tcPr>
            <w:tcW w:w="58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rPr>
              <w:t>5,013</w:t>
            </w:r>
          </w:p>
        </w:tc>
        <w:tc>
          <w:tcPr>
            <w:tcW w:w="360" w:type="dxa"/>
            <w:vAlign w:val="bottom"/>
            <w:gridSpan w:val="2"/>
            <w:vMerge w:val="restart"/>
          </w:tcPr>
          <w:p>
            <w:pPr>
              <w:jc w:val="right"/>
              <w:ind w:right="60"/>
              <w:spacing w:after="0"/>
              <w:rPr>
                <w:sz w:val="20"/>
                <w:szCs w:val="20"/>
                <w:color w:val="auto"/>
              </w:rPr>
            </w:pPr>
            <w:r>
              <w:rPr>
                <w:rFonts w:ascii="Calibri" w:cs="Calibri" w:eastAsia="Calibri" w:hAnsi="Calibri"/>
                <w:sz w:val="14"/>
                <w:szCs w:val="14"/>
                <w:b w:val="1"/>
                <w:bCs w:val="1"/>
                <w:color w:val="auto"/>
              </w:rPr>
              <w:t>$</w:t>
            </w:r>
          </w:p>
        </w:tc>
        <w:tc>
          <w:tcPr>
            <w:tcW w:w="56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rPr>
              <w:t>42,894</w:t>
            </w:r>
          </w:p>
        </w:tc>
        <w:tc>
          <w:tcPr>
            <w:tcW w:w="22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60" w:type="dxa"/>
            <w:vAlign w:val="bottom"/>
            <w:gridSpan w:val="2"/>
            <w:vMerge w:val="restart"/>
          </w:tcPr>
          <w:p>
            <w:pPr>
              <w:jc w:val="right"/>
              <w:ind w:right="160"/>
              <w:spacing w:after="0"/>
              <w:rPr>
                <w:sz w:val="20"/>
                <w:szCs w:val="20"/>
                <w:color w:val="auto"/>
              </w:rPr>
            </w:pPr>
            <w:r>
              <w:rPr>
                <w:rFonts w:ascii="Calibri" w:cs="Calibri" w:eastAsia="Calibri" w:hAnsi="Calibri"/>
                <w:sz w:val="14"/>
                <w:szCs w:val="14"/>
                <w:b w:val="1"/>
                <w:bCs w:val="1"/>
                <w:color w:val="auto"/>
              </w:rPr>
              <w:t>(37,881 )</w:t>
            </w:r>
          </w:p>
        </w:tc>
        <w:tc>
          <w:tcPr>
            <w:tcW w:w="980" w:type="dxa"/>
            <w:vAlign w:val="bottom"/>
            <w:gridSpan w:val="3"/>
            <w:vMerge w:val="restart"/>
          </w:tcPr>
          <w:p>
            <w:pPr>
              <w:jc w:val="right"/>
              <w:spacing w:after="0"/>
              <w:rPr>
                <w:sz w:val="20"/>
                <w:szCs w:val="20"/>
                <w:color w:val="auto"/>
              </w:rPr>
            </w:pPr>
            <w:r>
              <w:rPr>
                <w:rFonts w:ascii="Calibri" w:cs="Calibri" w:eastAsia="Calibri" w:hAnsi="Calibri"/>
                <w:sz w:val="14"/>
                <w:szCs w:val="14"/>
                <w:b w:val="1"/>
                <w:bCs w:val="1"/>
                <w:color w:val="auto"/>
              </w:rPr>
              <w:t>(88 )%</w:t>
            </w:r>
          </w:p>
        </w:tc>
        <w:tc>
          <w:tcPr>
            <w:tcW w:w="0" w:type="dxa"/>
            <w:vAlign w:val="bottom"/>
          </w:tcPr>
          <w:p>
            <w:pPr>
              <w:spacing w:after="0"/>
              <w:rPr>
                <w:sz w:val="1"/>
                <w:szCs w:val="1"/>
                <w:color w:val="auto"/>
              </w:rPr>
            </w:pPr>
          </w:p>
        </w:tc>
      </w:tr>
      <w:tr>
        <w:trPr>
          <w:trHeight w:val="168"/>
        </w:trPr>
        <w:tc>
          <w:tcPr>
            <w:tcW w:w="358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auto"/>
              </w:rPr>
              <w:t>Stockholders</w:t>
            </w:r>
          </w:p>
        </w:tc>
        <w:tc>
          <w:tcPr>
            <w:tcW w:w="1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-1405255</wp:posOffset>
            </wp:positionV>
            <wp:extent cx="774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-1405255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-1405255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-1405255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-1405255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-1405255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-1405255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-1405255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-882015</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-882015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-882015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-882015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-882015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-882015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-882015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-882015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-616585</wp:posOffset>
            </wp:positionV>
            <wp:extent cx="774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-616585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-616585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-616585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-616585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-616585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-616585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-616585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-479425</wp:posOffset>
            </wp:positionV>
            <wp:extent cx="6917690" cy="2400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17690" cy="24003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revenues by segment (in thousands, except percentages):</w:t>
      </w:r>
    </w:p>
    <w:p>
      <w:pPr>
        <w:spacing w:after="0" w:line="130"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840" w:type="dxa"/>
            <w:vAlign w:val="bottom"/>
            <w:gridSpan w:val="5"/>
          </w:tcPr>
          <w:p>
            <w:pPr>
              <w:jc w:val="right"/>
              <w:spacing w:after="0"/>
              <w:rPr>
                <w:sz w:val="20"/>
                <w:szCs w:val="20"/>
                <w:color w:val="auto"/>
              </w:rPr>
            </w:pPr>
            <w:r>
              <w:rPr>
                <w:rFonts w:ascii="Calibri" w:cs="Calibri" w:eastAsia="Calibri" w:hAnsi="Calibri"/>
                <w:sz w:val="14"/>
                <w:szCs w:val="14"/>
                <w:b w:val="1"/>
                <w:bCs w:val="1"/>
                <w:color w:val="auto"/>
              </w:rPr>
              <w:t>Three Months Ended 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right"/>
              <w:ind w:right="28"/>
              <w:spacing w:after="0"/>
              <w:rPr>
                <w:sz w:val="20"/>
                <w:szCs w:val="20"/>
                <w:color w:val="auto"/>
              </w:rPr>
            </w:pPr>
            <w:r>
              <w:rPr>
                <w:rFonts w:ascii="Calibri" w:cs="Calibri" w:eastAsia="Calibri" w:hAnsi="Calibri"/>
                <w:sz w:val="14"/>
                <w:szCs w:val="14"/>
                <w:b w:val="1"/>
                <w:bCs w:val="1"/>
                <w:color w:val="auto"/>
              </w:rPr>
              <w:t>Six Months Ended June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2"/>
                <w:szCs w:val="2"/>
                <w:color w:val="auto"/>
              </w:rPr>
            </w:pPr>
          </w:p>
        </w:tc>
        <w:tc>
          <w:tcPr>
            <w:tcW w:w="1000" w:type="dxa"/>
            <w:vAlign w:val="bottom"/>
            <w:gridSpan w:val="2"/>
            <w:vMerge w:val="restart"/>
          </w:tcPr>
          <w:p>
            <w:pPr>
              <w:jc w:val="right"/>
              <w:ind w:right="320"/>
              <w:spacing w:after="0"/>
              <w:rPr>
                <w:sz w:val="20"/>
                <w:szCs w:val="20"/>
                <w:color w:val="auto"/>
              </w:rPr>
            </w:pPr>
            <w:r>
              <w:rPr>
                <w:rFonts w:ascii="Calibri" w:cs="Calibri" w:eastAsia="Calibri" w:hAnsi="Calibri"/>
                <w:sz w:val="14"/>
                <w:szCs w:val="14"/>
                <w:b w:val="1"/>
                <w:bCs w:val="1"/>
                <w:color w:val="auto"/>
              </w:rPr>
              <w:t>% Change</w:t>
            </w: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2"/>
                <w:szCs w:val="2"/>
                <w:color w:val="auto"/>
              </w:rPr>
            </w:pPr>
          </w:p>
        </w:tc>
        <w:tc>
          <w:tcPr>
            <w:tcW w:w="1260" w:type="dxa"/>
            <w:vAlign w:val="bottom"/>
            <w:gridSpan w:val="3"/>
            <w:vMerge w:val="restart"/>
          </w:tcPr>
          <w:p>
            <w:pPr>
              <w:ind w:left="26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0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Revenues:</w:t>
            </w: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00" w:type="dxa"/>
            <w:vAlign w:val="bottom"/>
          </w:tcPr>
          <w:p>
            <w:pPr>
              <w:ind w:left="20"/>
              <w:spacing w:after="0"/>
              <w:rPr>
                <w:sz w:val="20"/>
                <w:szCs w:val="20"/>
                <w:color w:val="auto"/>
              </w:rPr>
            </w:pPr>
            <w:r>
              <w:rPr>
                <w:rFonts w:ascii="Calibri" w:cs="Calibri" w:eastAsia="Calibri" w:hAnsi="Calibri"/>
                <w:sz w:val="14"/>
                <w:szCs w:val="14"/>
                <w:color w:val="auto"/>
              </w:rPr>
              <w:t>Marketplace</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170,046</w:t>
            </w:r>
          </w:p>
        </w:tc>
        <w:tc>
          <w:tcPr>
            <w:tcW w:w="420" w:type="dxa"/>
            <w:vAlign w:val="bottom"/>
            <w:gridSpan w:val="2"/>
          </w:tcPr>
          <w:p>
            <w:pPr>
              <w:jc w:val="right"/>
              <w:ind w:right="28"/>
              <w:spacing w:after="0"/>
              <w:rPr>
                <w:sz w:val="20"/>
                <w:szCs w:val="20"/>
                <w:color w:val="auto"/>
              </w:rPr>
            </w:pPr>
            <w:r>
              <w:rPr>
                <w:rFonts w:ascii="Calibri" w:cs="Calibri" w:eastAsia="Calibri" w:hAnsi="Calibri"/>
                <w:sz w:val="14"/>
                <w:szCs w:val="14"/>
                <w:color w:val="auto"/>
              </w:rPr>
              <w:t>$</w:t>
            </w:r>
          </w:p>
        </w:tc>
        <w:tc>
          <w:tcPr>
            <w:tcW w:w="620" w:type="dxa"/>
            <w:vAlign w:val="bottom"/>
          </w:tcPr>
          <w:p>
            <w:pPr>
              <w:jc w:val="right"/>
              <w:spacing w:after="0"/>
              <w:rPr>
                <w:sz w:val="20"/>
                <w:szCs w:val="20"/>
                <w:color w:val="auto"/>
              </w:rPr>
            </w:pPr>
            <w:r>
              <w:rPr>
                <w:rFonts w:ascii="Calibri" w:cs="Calibri" w:eastAsia="Calibri" w:hAnsi="Calibri"/>
                <w:sz w:val="14"/>
                <w:szCs w:val="14"/>
                <w:color w:val="auto"/>
              </w:rPr>
              <w:t>139,150</w:t>
            </w:r>
          </w:p>
        </w:tc>
        <w:tc>
          <w:tcPr>
            <w:tcW w:w="340" w:type="dxa"/>
            <w:vAlign w:val="bottom"/>
            <w:gridSpan w:val="3"/>
          </w:tcPr>
          <w:p>
            <w:pPr>
              <w:jc w:val="right"/>
              <w:ind w:right="4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30,896</w:t>
            </w:r>
          </w:p>
        </w:tc>
        <w:tc>
          <w:tcPr>
            <w:tcW w:w="1220" w:type="dxa"/>
            <w:vAlign w:val="bottom"/>
            <w:gridSpan w:val="3"/>
          </w:tcPr>
          <w:p>
            <w:pPr>
              <w:jc w:val="right"/>
              <w:ind w:right="100"/>
              <w:spacing w:after="0"/>
              <w:rPr>
                <w:sz w:val="20"/>
                <w:szCs w:val="20"/>
                <w:color w:val="auto"/>
              </w:rPr>
            </w:pPr>
            <w:r>
              <w:rPr>
                <w:rFonts w:ascii="Calibri" w:cs="Calibri" w:eastAsia="Calibri" w:hAnsi="Calibri"/>
                <w:sz w:val="14"/>
                <w:szCs w:val="14"/>
                <w:color w:val="auto"/>
              </w:rPr>
              <w:t>22 %</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330,058</w:t>
            </w:r>
          </w:p>
        </w:tc>
        <w:tc>
          <w:tcPr>
            <w:tcW w:w="380" w:type="dxa"/>
            <w:vAlign w:val="bottom"/>
            <w:gridSpan w:val="2"/>
          </w:tcPr>
          <w:p>
            <w:pPr>
              <w:jc w:val="right"/>
              <w:ind w:right="80"/>
              <w:spacing w:after="0"/>
              <w:rPr>
                <w:sz w:val="20"/>
                <w:szCs w:val="20"/>
                <w:color w:val="auto"/>
              </w:rPr>
            </w:pPr>
            <w:r>
              <w:rPr>
                <w:rFonts w:ascii="Calibri" w:cs="Calibri" w:eastAsia="Calibri" w:hAnsi="Calibri"/>
                <w:sz w:val="14"/>
                <w:szCs w:val="14"/>
                <w:color w:val="auto"/>
              </w:rPr>
              <w:t>$</w:t>
            </w:r>
          </w:p>
        </w:tc>
        <w:tc>
          <w:tcPr>
            <w:tcW w:w="620" w:type="dxa"/>
            <w:vAlign w:val="bottom"/>
          </w:tcPr>
          <w:p>
            <w:pPr>
              <w:jc w:val="right"/>
              <w:spacing w:after="0"/>
              <w:rPr>
                <w:sz w:val="20"/>
                <w:szCs w:val="20"/>
                <w:color w:val="auto"/>
              </w:rPr>
            </w:pPr>
            <w:r>
              <w:rPr>
                <w:rFonts w:ascii="Calibri" w:cs="Calibri" w:eastAsia="Calibri" w:hAnsi="Calibri"/>
                <w:sz w:val="14"/>
                <w:szCs w:val="14"/>
                <w:color w:val="auto"/>
              </w:rPr>
              <w:t>275,731</w:t>
            </w:r>
          </w:p>
        </w:tc>
        <w:tc>
          <w:tcPr>
            <w:tcW w:w="340" w:type="dxa"/>
            <w:vAlign w:val="bottom"/>
            <w:gridSpan w:val="2"/>
          </w:tcPr>
          <w:p>
            <w:pPr>
              <w:jc w:val="right"/>
              <w:ind w:right="4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54,327</w:t>
            </w:r>
          </w:p>
        </w:tc>
        <w:tc>
          <w:tcPr>
            <w:tcW w:w="1460" w:type="dxa"/>
            <w:vAlign w:val="bottom"/>
            <w:gridSpan w:val="3"/>
          </w:tcPr>
          <w:p>
            <w:pPr>
              <w:jc w:val="right"/>
              <w:spacing w:after="0"/>
              <w:rPr>
                <w:sz w:val="20"/>
                <w:szCs w:val="20"/>
                <w:color w:val="auto"/>
              </w:rPr>
            </w:pPr>
            <w:r>
              <w:rPr>
                <w:rFonts w:ascii="Calibri" w:cs="Calibri" w:eastAsia="Calibri" w:hAnsi="Calibri"/>
                <w:sz w:val="14"/>
                <w:szCs w:val="14"/>
                <w:color w:val="auto"/>
              </w:rPr>
              <w:t>20 %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60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Resale</w:t>
            </w: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28,270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26,230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2,040</w:t>
            </w:r>
          </w:p>
        </w:tc>
        <w:tc>
          <w:tcPr>
            <w:tcW w:w="2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rPr>
                <w:sz w:val="20"/>
                <w:szCs w:val="20"/>
                <w:color w:val="auto"/>
              </w:rPr>
            </w:pPr>
            <w:r>
              <w:rPr>
                <w:rFonts w:ascii="Calibri" w:cs="Calibri" w:eastAsia="Calibri" w:hAnsi="Calibri"/>
                <w:sz w:val="14"/>
                <w:szCs w:val="14"/>
                <w:color w:val="auto"/>
              </w:rPr>
              <w:t>8 %</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59,110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50,712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8,398</w:t>
            </w:r>
          </w:p>
        </w:tc>
        <w:tc>
          <w:tcPr>
            <w:tcW w:w="146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color w:val="auto"/>
              </w:rPr>
              <w:t>17 %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6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00" w:type="dxa"/>
            <w:vAlign w:val="bottom"/>
          </w:tcPr>
          <w:p>
            <w:pPr>
              <w:ind w:left="20"/>
              <w:spacing w:after="0"/>
              <w:rPr>
                <w:sz w:val="20"/>
                <w:szCs w:val="20"/>
                <w:color w:val="auto"/>
              </w:rPr>
            </w:pPr>
            <w:r>
              <w:rPr>
                <w:rFonts w:ascii="Calibri" w:cs="Calibri" w:eastAsia="Calibri" w:hAnsi="Calibri"/>
                <w:sz w:val="14"/>
                <w:szCs w:val="14"/>
                <w:b w:val="1"/>
                <w:bCs w:val="1"/>
                <w:color w:val="auto"/>
              </w:rPr>
              <w:t>Total revenues</w:t>
            </w:r>
          </w:p>
        </w:tc>
        <w:tc>
          <w:tcPr>
            <w:tcW w:w="160" w:type="dxa"/>
            <w:vAlign w:val="bottom"/>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198,316</w:t>
            </w:r>
          </w:p>
        </w:tc>
        <w:tc>
          <w:tcPr>
            <w:tcW w:w="24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Calibri" w:cs="Calibri" w:eastAsia="Calibri" w:hAnsi="Calibri"/>
                <w:sz w:val="14"/>
                <w:szCs w:val="14"/>
                <w:b w:val="1"/>
                <w:bCs w:val="1"/>
                <w:color w:val="auto"/>
                <w:w w:val="83"/>
              </w:rPr>
              <w:t>$</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165,380</w:t>
            </w:r>
          </w:p>
        </w:tc>
        <w:tc>
          <w:tcPr>
            <w:tcW w:w="12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32,936</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Calibri" w:cs="Calibri" w:eastAsia="Calibri" w:hAnsi="Calibri"/>
                <w:sz w:val="14"/>
                <w:szCs w:val="14"/>
                <w:b w:val="1"/>
                <w:bCs w:val="1"/>
                <w:color w:val="auto"/>
              </w:rPr>
              <w:t>20 %</w:t>
            </w:r>
          </w:p>
        </w:tc>
        <w:tc>
          <w:tcPr>
            <w:tcW w:w="8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389,168</w:t>
            </w:r>
          </w:p>
        </w:tc>
        <w:tc>
          <w:tcPr>
            <w:tcW w:w="380" w:type="dxa"/>
            <w:vAlign w:val="bottom"/>
            <w:gridSpan w:val="2"/>
          </w:tcPr>
          <w:p>
            <w:pPr>
              <w:jc w:val="right"/>
              <w:ind w:right="80"/>
              <w:spacing w:after="0"/>
              <w:rPr>
                <w:sz w:val="20"/>
                <w:szCs w:val="20"/>
                <w:color w:val="auto"/>
              </w:rPr>
            </w:pPr>
            <w:r>
              <w:rPr>
                <w:rFonts w:ascii="Calibri" w:cs="Calibri" w:eastAsia="Calibri" w:hAnsi="Calibri"/>
                <w:sz w:val="14"/>
                <w:szCs w:val="14"/>
                <w:b w:val="1"/>
                <w:bCs w:val="1"/>
                <w:color w:val="auto"/>
              </w:rPr>
              <w:t>$</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326,443</w:t>
            </w:r>
          </w:p>
        </w:tc>
        <w:tc>
          <w:tcPr>
            <w:tcW w:w="34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62,725</w:t>
            </w:r>
          </w:p>
        </w:tc>
        <w:tc>
          <w:tcPr>
            <w:tcW w:w="146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19 %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-161925</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-161925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-161925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-161925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-161925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-161925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-161925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-161925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 w:name="page34"/>
    <w:bookmarkEnd w:id="33"/>
    <w:p>
      <w:pPr>
        <w:spacing w:after="0" w:line="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revenues increased $32.9 million, or 20%, during the three months ended June 30, 2024 compared to the three months ended June 30, 2023 and increased $62.7 million, or 19%, during the six months ended June 30, 2024 compared to the six months ended June 30, 2023. The increase, which occurred in both our Marketplace and Resale segments, resulted primarily from an increase in orders processed, which was due in part to the three and six months ended June 30, 2024 including orders processed through Vegas.com and Wavedash.</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Marketplace revenues by event category (in thousands, except percentages):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860" w:type="dxa"/>
            <w:vAlign w:val="bottom"/>
            <w:gridSpan w:val="5"/>
          </w:tcPr>
          <w:p>
            <w:pPr>
              <w:jc w:val="right"/>
              <w:spacing w:after="0"/>
              <w:rPr>
                <w:sz w:val="20"/>
                <w:szCs w:val="20"/>
                <w:color w:val="auto"/>
              </w:rPr>
            </w:pPr>
            <w:r>
              <w:rPr>
                <w:rFonts w:ascii="Calibri" w:cs="Calibri" w:eastAsia="Calibri" w:hAnsi="Calibri"/>
                <w:sz w:val="14"/>
                <w:szCs w:val="14"/>
                <w:b w:val="1"/>
                <w:bCs w:val="1"/>
                <w:color w:val="auto"/>
              </w:rPr>
              <w:t>Three Months Ended June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right"/>
              <w:ind w:right="28"/>
              <w:spacing w:after="0"/>
              <w:rPr>
                <w:sz w:val="20"/>
                <w:szCs w:val="20"/>
                <w:color w:val="auto"/>
              </w:rPr>
            </w:pPr>
            <w:r>
              <w:rPr>
                <w:rFonts w:ascii="Calibri" w:cs="Calibri" w:eastAsia="Calibri" w:hAnsi="Calibri"/>
                <w:sz w:val="14"/>
                <w:szCs w:val="14"/>
                <w:b w:val="1"/>
                <w:bCs w:val="1"/>
                <w:color w:val="auto"/>
              </w:rPr>
              <w:t>Six Months Ended June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2"/>
                <w:szCs w:val="2"/>
                <w:color w:val="auto"/>
              </w:rPr>
            </w:pPr>
          </w:p>
        </w:tc>
        <w:tc>
          <w:tcPr>
            <w:tcW w:w="1000" w:type="dxa"/>
            <w:vAlign w:val="bottom"/>
            <w:gridSpan w:val="2"/>
            <w:vMerge w:val="restart"/>
          </w:tcPr>
          <w:p>
            <w:pPr>
              <w:jc w:val="right"/>
              <w:ind w:right="340"/>
              <w:spacing w:after="0"/>
              <w:rPr>
                <w:sz w:val="20"/>
                <w:szCs w:val="20"/>
                <w:color w:val="auto"/>
              </w:rPr>
            </w:pPr>
            <w:r>
              <w:rPr>
                <w:rFonts w:ascii="Calibri" w:cs="Calibri" w:eastAsia="Calibri" w:hAnsi="Calibri"/>
                <w:sz w:val="14"/>
                <w:szCs w:val="14"/>
                <w:b w:val="1"/>
                <w:bCs w:val="1"/>
                <w:color w:val="auto"/>
              </w:rPr>
              <w:t>% Change</w:t>
            </w: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restart"/>
          </w:tcPr>
          <w:p>
            <w:pPr>
              <w:jc w:val="right"/>
              <w:ind w:right="380"/>
              <w:spacing w:after="0"/>
              <w:rPr>
                <w:sz w:val="20"/>
                <w:szCs w:val="20"/>
                <w:color w:val="auto"/>
              </w:rPr>
            </w:pPr>
            <w:r>
              <w:rPr>
                <w:rFonts w:ascii="Calibri" w:cs="Calibri" w:eastAsia="Calibri" w:hAnsi="Calibri"/>
                <w:sz w:val="14"/>
                <w:szCs w:val="14"/>
                <w:b w:val="1"/>
                <w:bCs w:val="1"/>
                <w:color w:val="auto"/>
              </w:rPr>
              <w:t>Change</w:t>
            </w:r>
          </w:p>
        </w:tc>
        <w:tc>
          <w:tcPr>
            <w:tcW w:w="1420" w:type="dxa"/>
            <w:vAlign w:val="bottom"/>
            <w:gridSpan w:val="3"/>
            <w:vMerge w:val="restart"/>
          </w:tcPr>
          <w:p>
            <w:pPr>
              <w:jc w:val="right"/>
              <w:ind w:right="50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58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Revenues:</w:t>
            </w:r>
          </w:p>
        </w:tc>
        <w:tc>
          <w:tcPr>
            <w:tcW w:w="18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80" w:type="dxa"/>
            <w:vAlign w:val="bottom"/>
          </w:tcPr>
          <w:p>
            <w:pPr>
              <w:ind w:left="20"/>
              <w:spacing w:after="0"/>
              <w:rPr>
                <w:sz w:val="20"/>
                <w:szCs w:val="20"/>
                <w:color w:val="auto"/>
              </w:rPr>
            </w:pPr>
            <w:r>
              <w:rPr>
                <w:rFonts w:ascii="Calibri" w:cs="Calibri" w:eastAsia="Calibri" w:hAnsi="Calibri"/>
                <w:sz w:val="14"/>
                <w:szCs w:val="14"/>
                <w:color w:val="auto"/>
              </w:rPr>
              <w:t>Concerts</w:t>
            </w:r>
          </w:p>
        </w:tc>
        <w:tc>
          <w:tcPr>
            <w:tcW w:w="180" w:type="dxa"/>
            <w:vAlign w:val="bottom"/>
          </w:tcPr>
          <w:p>
            <w:pPr>
              <w:jc w:val="right"/>
              <w:ind w:right="28"/>
              <w:spacing w:after="0"/>
              <w:rPr>
                <w:sz w:val="20"/>
                <w:szCs w:val="20"/>
                <w:color w:val="auto"/>
              </w:rPr>
            </w:pPr>
            <w:r>
              <w:rPr>
                <w:rFonts w:ascii="Calibri" w:cs="Calibri" w:eastAsia="Calibri" w:hAnsi="Calibri"/>
                <w:sz w:val="14"/>
                <w:szCs w:val="14"/>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80,803</w:t>
            </w:r>
          </w:p>
        </w:tc>
        <w:tc>
          <w:tcPr>
            <w:tcW w:w="400" w:type="dxa"/>
            <w:vAlign w:val="bottom"/>
            <w:gridSpan w:val="2"/>
          </w:tcPr>
          <w:p>
            <w:pPr>
              <w:jc w:val="right"/>
              <w:ind w:right="8"/>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77,741</w:t>
            </w:r>
          </w:p>
        </w:tc>
        <w:tc>
          <w:tcPr>
            <w:tcW w:w="340" w:type="dxa"/>
            <w:vAlign w:val="bottom"/>
            <w:gridSpan w:val="3"/>
          </w:tcPr>
          <w:p>
            <w:pPr>
              <w:jc w:val="right"/>
              <w:ind w:right="4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3,062</w:t>
            </w:r>
          </w:p>
        </w:tc>
        <w:tc>
          <w:tcPr>
            <w:tcW w:w="1220" w:type="dxa"/>
            <w:vAlign w:val="bottom"/>
            <w:gridSpan w:val="3"/>
          </w:tcPr>
          <w:p>
            <w:pPr>
              <w:jc w:val="right"/>
              <w:ind w:right="120"/>
              <w:spacing w:after="0"/>
              <w:rPr>
                <w:sz w:val="20"/>
                <w:szCs w:val="20"/>
                <w:color w:val="auto"/>
              </w:rPr>
            </w:pPr>
            <w:r>
              <w:rPr>
                <w:rFonts w:ascii="Calibri" w:cs="Calibri" w:eastAsia="Calibri" w:hAnsi="Calibri"/>
                <w:sz w:val="14"/>
                <w:szCs w:val="14"/>
                <w:color w:val="auto"/>
              </w:rPr>
              <w:t>4 %</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148,832</w:t>
            </w:r>
          </w:p>
        </w:tc>
        <w:tc>
          <w:tcPr>
            <w:tcW w:w="360" w:type="dxa"/>
            <w:vAlign w:val="bottom"/>
            <w:gridSpan w:val="2"/>
          </w:tcPr>
          <w:p>
            <w:pPr>
              <w:jc w:val="right"/>
              <w:ind w:right="60"/>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152,620</w:t>
            </w:r>
          </w:p>
        </w:tc>
        <w:tc>
          <w:tcPr>
            <w:tcW w:w="340" w:type="dxa"/>
            <w:vAlign w:val="bottom"/>
            <w:gridSpan w:val="2"/>
          </w:tcPr>
          <w:p>
            <w:pPr>
              <w:jc w:val="right"/>
              <w:ind w:right="60"/>
              <w:spacing w:after="0"/>
              <w:rPr>
                <w:sz w:val="20"/>
                <w:szCs w:val="20"/>
                <w:color w:val="auto"/>
              </w:rPr>
            </w:pPr>
            <w:r>
              <w:rPr>
                <w:rFonts w:ascii="Calibri" w:cs="Calibri" w:eastAsia="Calibri" w:hAnsi="Calibri"/>
                <w:sz w:val="14"/>
                <w:szCs w:val="14"/>
                <w:color w:val="auto"/>
              </w:rPr>
              <w:t>$</w:t>
            </w:r>
          </w:p>
        </w:tc>
        <w:tc>
          <w:tcPr>
            <w:tcW w:w="86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(3,788 )</w:t>
            </w:r>
          </w:p>
        </w:tc>
        <w:tc>
          <w:tcPr>
            <w:tcW w:w="1420" w:type="dxa"/>
            <w:vAlign w:val="bottom"/>
            <w:gridSpan w:val="3"/>
          </w:tcPr>
          <w:p>
            <w:pPr>
              <w:jc w:val="right"/>
              <w:spacing w:after="0"/>
              <w:rPr>
                <w:sz w:val="20"/>
                <w:szCs w:val="20"/>
                <w:color w:val="auto"/>
              </w:rPr>
            </w:pPr>
            <w:r>
              <w:rPr>
                <w:rFonts w:ascii="Calibri" w:cs="Calibri" w:eastAsia="Calibri" w:hAnsi="Calibri"/>
                <w:sz w:val="14"/>
                <w:szCs w:val="14"/>
                <w:color w:val="auto"/>
              </w:rPr>
              <w:t>(2 )%</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Sports</w:t>
            </w:r>
          </w:p>
        </w:tc>
        <w:tc>
          <w:tcPr>
            <w:tcW w:w="18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51,457</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45,349</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6,108</w:t>
            </w:r>
          </w:p>
        </w:tc>
        <w:tc>
          <w:tcPr>
            <w:tcW w:w="12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Calibri" w:cs="Calibri" w:eastAsia="Calibri" w:hAnsi="Calibri"/>
                <w:sz w:val="14"/>
                <w:szCs w:val="14"/>
                <w:color w:val="auto"/>
              </w:rPr>
              <w:t>13 %</w:t>
            </w:r>
          </w:p>
        </w:tc>
        <w:tc>
          <w:tcPr>
            <w:tcW w:w="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98,805</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90,949</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7,856</w:t>
            </w:r>
          </w:p>
        </w:tc>
        <w:tc>
          <w:tcPr>
            <w:tcW w:w="20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color w:val="auto"/>
              </w:rPr>
              <w:t>9 %</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80" w:type="dxa"/>
            <w:vAlign w:val="bottom"/>
          </w:tcPr>
          <w:p>
            <w:pPr>
              <w:ind w:left="20"/>
              <w:spacing w:after="0"/>
              <w:rPr>
                <w:sz w:val="20"/>
                <w:szCs w:val="20"/>
                <w:color w:val="auto"/>
              </w:rPr>
            </w:pPr>
            <w:r>
              <w:rPr>
                <w:rFonts w:ascii="Calibri" w:cs="Calibri" w:eastAsia="Calibri" w:hAnsi="Calibri"/>
                <w:sz w:val="14"/>
                <w:szCs w:val="14"/>
                <w:color w:val="auto"/>
              </w:rPr>
              <w:t>Theater</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30,932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15,527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15,405</w:t>
            </w:r>
          </w:p>
        </w:tc>
        <w:tc>
          <w:tcPr>
            <w:tcW w:w="1220" w:type="dxa"/>
            <w:vAlign w:val="bottom"/>
            <w:gridSpan w:val="3"/>
          </w:tcPr>
          <w:p>
            <w:pPr>
              <w:jc w:val="right"/>
              <w:ind w:right="120"/>
              <w:spacing w:after="0"/>
              <w:rPr>
                <w:sz w:val="20"/>
                <w:szCs w:val="20"/>
                <w:color w:val="auto"/>
              </w:rPr>
            </w:pPr>
            <w:r>
              <w:rPr>
                <w:rFonts w:ascii="Calibri" w:cs="Calibri" w:eastAsia="Calibri" w:hAnsi="Calibri"/>
                <w:sz w:val="14"/>
                <w:szCs w:val="14"/>
                <w:color w:val="auto"/>
              </w:rPr>
              <w:t>99 %</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68,839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30,917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37,922</w:t>
            </w:r>
          </w:p>
        </w:tc>
        <w:tc>
          <w:tcPr>
            <w:tcW w:w="2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alibri" w:cs="Calibri" w:eastAsia="Calibri" w:hAnsi="Calibri"/>
                <w:sz w:val="14"/>
                <w:szCs w:val="14"/>
                <w:color w:val="auto"/>
              </w:rPr>
              <w:t>123 %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Other</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6,854</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533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6,321</w:t>
            </w:r>
          </w:p>
        </w:tc>
        <w:tc>
          <w:tcPr>
            <w:tcW w:w="2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1,186 %</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13,582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1,245</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12,337</w:t>
            </w:r>
          </w:p>
        </w:tc>
        <w:tc>
          <w:tcPr>
            <w:tcW w:w="20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991 %</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5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580" w:type="dxa"/>
            <w:vAlign w:val="bottom"/>
          </w:tcPr>
          <w:p>
            <w:pPr>
              <w:ind w:left="20"/>
              <w:spacing w:after="0"/>
              <w:rPr>
                <w:sz w:val="20"/>
                <w:szCs w:val="20"/>
                <w:color w:val="auto"/>
              </w:rPr>
            </w:pPr>
            <w:r>
              <w:rPr>
                <w:rFonts w:ascii="Calibri" w:cs="Calibri" w:eastAsia="Calibri" w:hAnsi="Calibri"/>
                <w:sz w:val="14"/>
                <w:szCs w:val="14"/>
                <w:b w:val="1"/>
                <w:bCs w:val="1"/>
                <w:color w:val="auto"/>
              </w:rPr>
              <w:t>Total Marketplace revenues</w:t>
            </w:r>
          </w:p>
        </w:tc>
        <w:tc>
          <w:tcPr>
            <w:tcW w:w="180" w:type="dxa"/>
            <w:vAlign w:val="bottom"/>
          </w:tcPr>
          <w:p>
            <w:pPr>
              <w:jc w:val="right"/>
              <w:ind w:right="2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170,046</w:t>
            </w:r>
          </w:p>
        </w:tc>
        <w:tc>
          <w:tcPr>
            <w:tcW w:w="24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139,150</w:t>
            </w:r>
          </w:p>
        </w:tc>
        <w:tc>
          <w:tcPr>
            <w:tcW w:w="10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30,896</w:t>
            </w:r>
          </w:p>
        </w:tc>
        <w:tc>
          <w:tcPr>
            <w:tcW w:w="2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Calibri" w:cs="Calibri" w:eastAsia="Calibri" w:hAnsi="Calibri"/>
                <w:sz w:val="14"/>
                <w:szCs w:val="14"/>
                <w:b w:val="1"/>
                <w:bCs w:val="1"/>
                <w:color w:val="auto"/>
              </w:rPr>
              <w:t>22 %</w:t>
            </w:r>
          </w:p>
        </w:tc>
        <w:tc>
          <w:tcPr>
            <w:tcW w:w="8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330,058</w:t>
            </w:r>
          </w:p>
        </w:tc>
        <w:tc>
          <w:tcPr>
            <w:tcW w:w="360" w:type="dxa"/>
            <w:vAlign w:val="bottom"/>
            <w:gridSpan w:val="2"/>
          </w:tcPr>
          <w:p>
            <w:pPr>
              <w:jc w:val="right"/>
              <w:ind w:right="60"/>
              <w:spacing w:after="0"/>
              <w:rPr>
                <w:sz w:val="20"/>
                <w:szCs w:val="20"/>
                <w:color w:val="auto"/>
              </w:rPr>
            </w:pPr>
            <w:r>
              <w:rPr>
                <w:rFonts w:ascii="Calibri" w:cs="Calibri" w:eastAsia="Calibri" w:hAnsi="Calibri"/>
                <w:sz w:val="14"/>
                <w:szCs w:val="14"/>
                <w:b w:val="1"/>
                <w:bCs w:val="1"/>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275,731</w:t>
            </w:r>
          </w:p>
        </w:tc>
        <w:tc>
          <w:tcPr>
            <w:tcW w:w="340" w:type="dxa"/>
            <w:vAlign w:val="bottom"/>
            <w:gridSpan w:val="2"/>
          </w:tcPr>
          <w:p>
            <w:pPr>
              <w:jc w:val="right"/>
              <w:ind w:right="60"/>
              <w:spacing w:after="0"/>
              <w:rPr>
                <w:sz w:val="20"/>
                <w:szCs w:val="20"/>
                <w:color w:val="auto"/>
              </w:rPr>
            </w:pPr>
            <w:r>
              <w:rPr>
                <w:rFonts w:ascii="Calibri" w:cs="Calibri" w:eastAsia="Calibri" w:hAnsi="Calibri"/>
                <w:sz w:val="14"/>
                <w:szCs w:val="14"/>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54,327</w:t>
            </w:r>
          </w:p>
        </w:tc>
        <w:tc>
          <w:tcPr>
            <w:tcW w:w="2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20 %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-162560</wp:posOffset>
            </wp:positionV>
            <wp:extent cx="76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-162560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-162560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-162560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-162560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-162560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-162560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-162560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Marketplace revenues increased $30.9 million, or 22%, during the three months ended June 30, 2024 compared to the three months ended June 30, 2023 and increased $54.3 million, or 20%, during the six months ended June 30, 2024 compared to the six months ended June 30, 2023. The increase resulted primarily from an increase in Total Marketplace orders.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Marketplace orders increased 0.5 million, or 18%, during the three months ended June 30, 2024 compared to the three months ended June 30, 2023 and increased 1.1 million, or 22%, during the six months ended June 30, 2024 compared to the six months ended June 30, 2023. The increase resulted primarily from an increase in the number of orders processed, partcularly for theater events, which was due in part to the three and six months ended June 30, 2024 including orders processed through Vegas.com and Wavedash.</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Cancellaton charges, which are recognized as a reducton to revenues, were $3.9 million for the three months ended June 30, 2024 compared to $5.0 million for the three months ended June 30, 2023, and $13.1 million for the six months ended June 30, 2024 compared to $8.6 million for the six months ended June 30, 2023. Cancellaton charges for the three and six months ended June 30, 2023 were impacted by an increase in allowance for credit losses as certain tcket sellers on the marketplace platorm generated balances in excess of their existng payables. We did not have a similar increase for the three and six months ended June 30, 2024.</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Marketplace revenues by business model (in thousands, except percentages):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right"/>
              <w:ind w:right="28"/>
              <w:spacing w:after="0"/>
              <w:rPr>
                <w:sz w:val="20"/>
                <w:szCs w:val="20"/>
                <w:color w:val="auto"/>
              </w:rPr>
            </w:pPr>
            <w:r>
              <w:rPr>
                <w:rFonts w:ascii="Calibri" w:cs="Calibri" w:eastAsia="Calibri" w:hAnsi="Calibri"/>
                <w:sz w:val="14"/>
                <w:szCs w:val="14"/>
                <w:b w:val="1"/>
                <w:bCs w:val="1"/>
                <w:color w:val="auto"/>
              </w:rPr>
              <w:t>Three Months Ended 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28"/>
              <w:spacing w:after="0"/>
              <w:rPr>
                <w:sz w:val="20"/>
                <w:szCs w:val="20"/>
                <w:color w:val="auto"/>
              </w:rPr>
            </w:pPr>
            <w:r>
              <w:rPr>
                <w:rFonts w:ascii="Calibri" w:cs="Calibri" w:eastAsia="Calibri" w:hAnsi="Calibri"/>
                <w:sz w:val="14"/>
                <w:szCs w:val="14"/>
                <w:b w:val="1"/>
                <w:bCs w:val="1"/>
                <w:color w:val="auto"/>
              </w:rPr>
              <w:t>Six Months Ended June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right"/>
              <w:ind w:right="400"/>
              <w:spacing w:after="0"/>
              <w:rPr>
                <w:sz w:val="20"/>
                <w:szCs w:val="20"/>
                <w:color w:val="auto"/>
              </w:rPr>
            </w:pPr>
            <w:r>
              <w:rPr>
                <w:rFonts w:ascii="Calibri" w:cs="Calibri" w:eastAsia="Calibri" w:hAnsi="Calibri"/>
                <w:sz w:val="14"/>
                <w:szCs w:val="14"/>
                <w:b w:val="1"/>
                <w:bCs w:val="1"/>
                <w:color w:val="auto"/>
              </w:rPr>
              <w:t>Change</w:t>
            </w:r>
          </w:p>
        </w:tc>
        <w:tc>
          <w:tcPr>
            <w:tcW w:w="1100" w:type="dxa"/>
            <w:vAlign w:val="bottom"/>
            <w:gridSpan w:val="2"/>
            <w:vMerge w:val="restart"/>
          </w:tcPr>
          <w:p>
            <w:pPr>
              <w:jc w:val="right"/>
              <w:ind w:right="380"/>
              <w:spacing w:after="0"/>
              <w:rPr>
                <w:sz w:val="20"/>
                <w:szCs w:val="20"/>
                <w:color w:val="auto"/>
              </w:rPr>
            </w:pPr>
            <w:r>
              <w:rPr>
                <w:rFonts w:ascii="Calibri" w:cs="Calibri" w:eastAsia="Calibri" w:hAnsi="Calibri"/>
                <w:sz w:val="14"/>
                <w:szCs w:val="14"/>
                <w:b w:val="1"/>
                <w:bCs w:val="1"/>
                <w:color w:val="auto"/>
              </w:rPr>
              <w:t>% Change</w:t>
            </w: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right"/>
              <w:ind w:right="380"/>
              <w:spacing w:after="0"/>
              <w:rPr>
                <w:sz w:val="20"/>
                <w:szCs w:val="20"/>
                <w:color w:val="auto"/>
              </w:rPr>
            </w:pPr>
            <w:r>
              <w:rPr>
                <w:rFonts w:ascii="Calibri" w:cs="Calibri" w:eastAsia="Calibri" w:hAnsi="Calibri"/>
                <w:sz w:val="14"/>
                <w:szCs w:val="14"/>
                <w:b w:val="1"/>
                <w:bCs w:val="1"/>
                <w:color w:val="auto"/>
              </w:rPr>
              <w:t>Change</w:t>
            </w:r>
          </w:p>
        </w:tc>
        <w:tc>
          <w:tcPr>
            <w:tcW w:w="1200" w:type="dxa"/>
            <w:vAlign w:val="bottom"/>
            <w:gridSpan w:val="3"/>
            <w:vMerge w:val="restart"/>
          </w:tcPr>
          <w:p>
            <w:pPr>
              <w:jc w:val="right"/>
              <w:ind w:right="40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248"/>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8"/>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58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Revenues:</w:t>
            </w:r>
          </w:p>
        </w:tc>
        <w:tc>
          <w:tcPr>
            <w:tcW w:w="8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80" w:type="dxa"/>
            <w:vAlign w:val="bottom"/>
          </w:tcPr>
          <w:p>
            <w:pPr>
              <w:ind w:left="20"/>
              <w:spacing w:after="0"/>
              <w:rPr>
                <w:sz w:val="20"/>
                <w:szCs w:val="20"/>
                <w:color w:val="auto"/>
              </w:rPr>
            </w:pPr>
            <w:r>
              <w:rPr>
                <w:rFonts w:ascii="Calibri" w:cs="Calibri" w:eastAsia="Calibri" w:hAnsi="Calibri"/>
                <w:sz w:val="14"/>
                <w:szCs w:val="14"/>
                <w:color w:val="auto"/>
              </w:rPr>
              <w:t>Owned Propertes</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840" w:type="dxa"/>
            <w:vAlign w:val="bottom"/>
          </w:tcPr>
          <w:p>
            <w:pPr>
              <w:jc w:val="right"/>
              <w:spacing w:after="0"/>
              <w:rPr>
                <w:sz w:val="20"/>
                <w:szCs w:val="20"/>
                <w:color w:val="auto"/>
              </w:rPr>
            </w:pPr>
            <w:r>
              <w:rPr>
                <w:rFonts w:ascii="Calibri" w:cs="Calibri" w:eastAsia="Calibri" w:hAnsi="Calibri"/>
                <w:sz w:val="14"/>
                <w:szCs w:val="14"/>
                <w:color w:val="auto"/>
              </w:rPr>
              <w:t>138,587</w:t>
            </w:r>
          </w:p>
        </w:tc>
        <w:tc>
          <w:tcPr>
            <w:tcW w:w="400" w:type="dxa"/>
            <w:vAlign w:val="bottom"/>
            <w:gridSpan w:val="2"/>
          </w:tcPr>
          <w:p>
            <w:pPr>
              <w:jc w:val="right"/>
              <w:ind w:right="8"/>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103,413</w:t>
            </w:r>
          </w:p>
        </w:tc>
        <w:tc>
          <w:tcPr>
            <w:tcW w:w="340" w:type="dxa"/>
            <w:vAlign w:val="bottom"/>
            <w:gridSpan w:val="3"/>
          </w:tcPr>
          <w:p>
            <w:pPr>
              <w:jc w:val="right"/>
              <w:ind w:right="4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35,174</w:t>
            </w:r>
          </w:p>
        </w:tc>
        <w:tc>
          <w:tcPr>
            <w:tcW w:w="2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34 %</w:t>
            </w:r>
          </w:p>
        </w:tc>
        <w:tc>
          <w:tcPr>
            <w:tcW w:w="10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265,158</w:t>
            </w:r>
          </w:p>
        </w:tc>
        <w:tc>
          <w:tcPr>
            <w:tcW w:w="360" w:type="dxa"/>
            <w:vAlign w:val="bottom"/>
            <w:gridSpan w:val="2"/>
          </w:tcPr>
          <w:p>
            <w:pPr>
              <w:jc w:val="right"/>
              <w:ind w:right="80"/>
              <w:spacing w:after="0"/>
              <w:rPr>
                <w:sz w:val="20"/>
                <w:szCs w:val="20"/>
                <w:color w:val="auto"/>
              </w:rPr>
            </w:pPr>
            <w:r>
              <w:rPr>
                <w:rFonts w:ascii="Calibri" w:cs="Calibri" w:eastAsia="Calibri" w:hAnsi="Calibri"/>
                <w:sz w:val="14"/>
                <w:szCs w:val="14"/>
                <w:color w:val="auto"/>
              </w:rPr>
              <w:t>$</w:t>
            </w:r>
          </w:p>
        </w:tc>
        <w:tc>
          <w:tcPr>
            <w:tcW w:w="620" w:type="dxa"/>
            <w:vAlign w:val="bottom"/>
          </w:tcPr>
          <w:p>
            <w:pPr>
              <w:jc w:val="right"/>
              <w:spacing w:after="0"/>
              <w:rPr>
                <w:sz w:val="20"/>
                <w:szCs w:val="20"/>
                <w:color w:val="auto"/>
              </w:rPr>
            </w:pPr>
            <w:r>
              <w:rPr>
                <w:rFonts w:ascii="Calibri" w:cs="Calibri" w:eastAsia="Calibri" w:hAnsi="Calibri"/>
                <w:sz w:val="14"/>
                <w:szCs w:val="14"/>
                <w:color w:val="auto"/>
              </w:rPr>
              <w:t>206,228</w:t>
            </w:r>
          </w:p>
        </w:tc>
        <w:tc>
          <w:tcPr>
            <w:tcW w:w="340" w:type="dxa"/>
            <w:vAlign w:val="bottom"/>
            <w:gridSpan w:val="2"/>
          </w:tcPr>
          <w:p>
            <w:pPr>
              <w:jc w:val="right"/>
              <w:ind w:right="4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58,930</w:t>
            </w:r>
          </w:p>
        </w:tc>
        <w:tc>
          <w:tcPr>
            <w:tcW w:w="2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alibri" w:cs="Calibri" w:eastAsia="Calibri" w:hAnsi="Calibri"/>
                <w:sz w:val="14"/>
                <w:szCs w:val="14"/>
                <w:color w:val="auto"/>
              </w:rPr>
              <w:t>29 %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80" w:type="dxa"/>
            <w:vAlign w:val="bottom"/>
          </w:tcPr>
          <w:p>
            <w:pPr>
              <w:ind w:left="20"/>
              <w:spacing w:after="0"/>
              <w:rPr>
                <w:sz w:val="20"/>
                <w:szCs w:val="20"/>
                <w:color w:val="auto"/>
              </w:rPr>
            </w:pPr>
            <w:r>
              <w:rPr>
                <w:rFonts w:ascii="Calibri" w:cs="Calibri" w:eastAsia="Calibri" w:hAnsi="Calibri"/>
                <w:sz w:val="14"/>
                <w:szCs w:val="14"/>
                <w:color w:val="auto"/>
              </w:rPr>
              <w:t>Private Label</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Calibri" w:cs="Calibri" w:eastAsia="Calibri" w:hAnsi="Calibri"/>
                <w:sz w:val="14"/>
                <w:szCs w:val="14"/>
                <w:color w:val="auto"/>
              </w:rPr>
              <w:t>31,459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35,737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(4,278 )</w:t>
            </w:r>
          </w:p>
        </w:tc>
        <w:tc>
          <w:tcPr>
            <w:tcW w:w="11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(12 )%</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64,900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Calibri" w:cs="Calibri" w:eastAsia="Calibri" w:hAnsi="Calibri"/>
                <w:sz w:val="14"/>
                <w:szCs w:val="14"/>
                <w:color w:val="auto"/>
              </w:rPr>
              <w:t>69,503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(4,603 )</w:t>
            </w:r>
          </w:p>
        </w:tc>
        <w:tc>
          <w:tcPr>
            <w:tcW w:w="1200" w:type="dxa"/>
            <w:vAlign w:val="bottom"/>
            <w:gridSpan w:val="3"/>
          </w:tcPr>
          <w:p>
            <w:pPr>
              <w:jc w:val="right"/>
              <w:spacing w:after="0"/>
              <w:rPr>
                <w:sz w:val="20"/>
                <w:szCs w:val="20"/>
                <w:color w:val="auto"/>
              </w:rPr>
            </w:pPr>
            <w:r>
              <w:rPr>
                <w:rFonts w:ascii="Calibri" w:cs="Calibri" w:eastAsia="Calibri" w:hAnsi="Calibri"/>
                <w:sz w:val="14"/>
                <w:szCs w:val="14"/>
                <w:color w:val="auto"/>
              </w:rPr>
              <w:t>(7 )%</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580" w:type="dxa"/>
            <w:vAlign w:val="bottom"/>
          </w:tcPr>
          <w:p>
            <w:pPr>
              <w:ind w:left="20"/>
              <w:spacing w:after="0"/>
              <w:rPr>
                <w:sz w:val="20"/>
                <w:szCs w:val="20"/>
                <w:color w:val="auto"/>
              </w:rPr>
            </w:pPr>
            <w:r>
              <w:rPr>
                <w:rFonts w:ascii="Calibri" w:cs="Calibri" w:eastAsia="Calibri" w:hAnsi="Calibri"/>
                <w:sz w:val="14"/>
                <w:szCs w:val="14"/>
                <w:b w:val="1"/>
                <w:bCs w:val="1"/>
                <w:color w:val="auto"/>
              </w:rPr>
              <w:t>Total Marketplace revenues</w:t>
            </w:r>
          </w:p>
        </w:tc>
        <w:tc>
          <w:tcPr>
            <w:tcW w:w="8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840" w:type="dxa"/>
            <w:vAlign w:val="bottom"/>
          </w:tcPr>
          <w:p>
            <w:pPr>
              <w:jc w:val="right"/>
              <w:spacing w:after="0"/>
              <w:rPr>
                <w:sz w:val="20"/>
                <w:szCs w:val="20"/>
                <w:color w:val="auto"/>
              </w:rPr>
            </w:pPr>
            <w:r>
              <w:rPr>
                <w:rFonts w:ascii="Calibri" w:cs="Calibri" w:eastAsia="Calibri" w:hAnsi="Calibri"/>
                <w:sz w:val="14"/>
                <w:szCs w:val="14"/>
                <w:b w:val="1"/>
                <w:bCs w:val="1"/>
                <w:color w:val="auto"/>
              </w:rPr>
              <w:t>170,046</w:t>
            </w:r>
          </w:p>
        </w:tc>
        <w:tc>
          <w:tcPr>
            <w:tcW w:w="24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139,150</w:t>
            </w:r>
          </w:p>
        </w:tc>
        <w:tc>
          <w:tcPr>
            <w:tcW w:w="12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30,896</w:t>
            </w:r>
          </w:p>
        </w:tc>
        <w:tc>
          <w:tcPr>
            <w:tcW w:w="2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Calibri" w:cs="Calibri" w:eastAsia="Calibri" w:hAnsi="Calibri"/>
                <w:sz w:val="14"/>
                <w:szCs w:val="14"/>
                <w:b w:val="1"/>
                <w:bCs w:val="1"/>
                <w:color w:val="auto"/>
              </w:rPr>
              <w:t>22 %</w:t>
            </w:r>
          </w:p>
        </w:tc>
        <w:tc>
          <w:tcPr>
            <w:tcW w:w="10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330,058</w:t>
            </w:r>
          </w:p>
        </w:tc>
        <w:tc>
          <w:tcPr>
            <w:tcW w:w="360" w:type="dxa"/>
            <w:vAlign w:val="bottom"/>
            <w:gridSpan w:val="2"/>
          </w:tcPr>
          <w:p>
            <w:pPr>
              <w:jc w:val="right"/>
              <w:ind w:right="80"/>
              <w:spacing w:after="0"/>
              <w:rPr>
                <w:sz w:val="20"/>
                <w:szCs w:val="20"/>
                <w:color w:val="auto"/>
              </w:rPr>
            </w:pPr>
            <w:r>
              <w:rPr>
                <w:rFonts w:ascii="Calibri" w:cs="Calibri" w:eastAsia="Calibri" w:hAnsi="Calibri"/>
                <w:sz w:val="14"/>
                <w:szCs w:val="14"/>
                <w:b w:val="1"/>
                <w:bCs w:val="1"/>
                <w:color w:val="auto"/>
              </w:rPr>
              <w:t>$</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275,731</w:t>
            </w:r>
          </w:p>
        </w:tc>
        <w:tc>
          <w:tcPr>
            <w:tcW w:w="34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54,327</w:t>
            </w:r>
          </w:p>
        </w:tc>
        <w:tc>
          <w:tcPr>
            <w:tcW w:w="220" w:type="dxa"/>
            <w:vAlign w:val="bottom"/>
          </w:tcPr>
          <w:p>
            <w:pPr>
              <w:spacing w:after="0"/>
              <w:rPr>
                <w:sz w:val="17"/>
                <w:szCs w:val="17"/>
                <w:color w:val="auto"/>
              </w:rPr>
            </w:pPr>
          </w:p>
        </w:tc>
        <w:tc>
          <w:tcPr>
            <w:tcW w:w="1200" w:type="dxa"/>
            <w:vAlign w:val="bottom"/>
            <w:gridSpan w:val="3"/>
          </w:tcPr>
          <w:p>
            <w:pPr>
              <w:jc w:val="right"/>
              <w:ind w:right="40"/>
              <w:spacing w:after="0"/>
              <w:rPr>
                <w:sz w:val="20"/>
                <w:szCs w:val="20"/>
                <w:color w:val="auto"/>
              </w:rPr>
            </w:pPr>
            <w:r>
              <w:rPr>
                <w:rFonts w:ascii="Calibri" w:cs="Calibri" w:eastAsia="Calibri" w:hAnsi="Calibri"/>
                <w:sz w:val="14"/>
                <w:szCs w:val="14"/>
                <w:b w:val="1"/>
                <w:bCs w:val="1"/>
                <w:color w:val="auto"/>
              </w:rPr>
              <w:t>20 %</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-290830</wp:posOffset>
            </wp:positionV>
            <wp:extent cx="6986270" cy="1371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increase in Owned Propertes revenues during the three and six months ended June 30, 2024 compared to the three and six months ended June 30, 2023 resulted primarily from an increase in the number of orders processed, which was due in part to the three and six months ended June 30, 2024 including orders processed through Vegas.com and Wavedash.</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decrease in Private Label revenues during the three and six months ended June 30, 2024 compared to the three and six months ended June 30, 2023 resulted primarily from the negatve impact to revenue of decreased customer credit breakage.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Marketplace segment, we also earn referral fee revenue by ofering event tcket insurance to tcket buyers using a third-party insurance provider. Our referral fee revenue was $6.8 million and $13.6 million during the three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both"/>
        <w:ind w:right="20"/>
        <w:spacing w:after="0" w:line="235" w:lineRule="auto"/>
        <w:rPr>
          <w:sz w:val="20"/>
          <w:szCs w:val="20"/>
          <w:color w:val="auto"/>
        </w:rPr>
      </w:pPr>
      <w:r>
        <w:rPr>
          <w:rFonts w:ascii="Calibri" w:cs="Calibri" w:eastAsia="Calibri" w:hAnsi="Calibri"/>
          <w:sz w:val="18"/>
          <w:szCs w:val="18"/>
          <w:color w:val="auto"/>
        </w:rPr>
        <w:t>and six months ended June 30, 2024, respectvely, and $7.4 million and $14.6 million during the three and six months ended June 30, 2023, respectvely. The decrease was primarily due to a decline in the insurance atachment rate to orders.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Resale revenues increased $2.0 million, or 8%, during the three months ended June 30, 2024 compared to the three months ended June 30, 2023 and increased $8.4 million, or 17%, during the six months ended June 30, 2024 compared to the six months ended June 30, 2023. The increase resulted primarily from an increase in Total Resale orders.</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Total Resale orders increased less than 0.1 million, or 33%, during the three months ended June 30, 2024 compared to the three months ended June 30, 2023 and increased less than 0.1 million, or 23%, during the six months ended June 30, 2024 compared to the six months ended June 30, 2023. The increase resulted primarily from higher order volume.</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Cancellaton charges, which are classifed as a reducton to revenues, negatvely impacted Resale revenues by $0.5 million and $0.8 million for the three and six months ended June 30, 2024, respectvely, compared to $0.2 million and $0.7 million for the three and six months ended June 30, 2023, respectvely. The increase for both periods was due to a higher number of cancelled orders.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Cost of Revenues (exclusive of Depreciaton and Amortzaton)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cost of revenues by segment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1900" w:type="dxa"/>
            <w:vAlign w:val="bottom"/>
            <w:gridSpan w:val="5"/>
          </w:tcPr>
          <w:p>
            <w:pPr>
              <w:jc w:val="right"/>
              <w:spacing w:after="0"/>
              <w:rPr>
                <w:sz w:val="20"/>
                <w:szCs w:val="20"/>
                <w:color w:val="auto"/>
              </w:rPr>
            </w:pPr>
            <w:r>
              <w:rPr>
                <w:rFonts w:ascii="Calibri" w:cs="Calibri" w:eastAsia="Calibri" w:hAnsi="Calibri"/>
                <w:sz w:val="14"/>
                <w:szCs w:val="14"/>
                <w:b w:val="1"/>
                <w:bCs w:val="1"/>
                <w:color w:val="auto"/>
              </w:rPr>
              <w:t>Three Months Ended June 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28"/>
              <w:spacing w:after="0"/>
              <w:rPr>
                <w:sz w:val="20"/>
                <w:szCs w:val="20"/>
                <w:color w:val="auto"/>
              </w:rPr>
            </w:pPr>
            <w:r>
              <w:rPr>
                <w:rFonts w:ascii="Calibri" w:cs="Calibri" w:eastAsia="Calibri" w:hAnsi="Calibri"/>
                <w:sz w:val="14"/>
                <w:szCs w:val="14"/>
                <w:b w:val="1"/>
                <w:bCs w:val="1"/>
                <w:color w:val="auto"/>
              </w:rPr>
              <w:t>Six Months Ended June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Change</w:t>
            </w:r>
          </w:p>
        </w:tc>
        <w:tc>
          <w:tcPr>
            <w:tcW w:w="240" w:type="dxa"/>
            <w:vAlign w:val="bottom"/>
          </w:tcPr>
          <w:p>
            <w:pPr>
              <w:spacing w:after="0"/>
              <w:rPr>
                <w:sz w:val="2"/>
                <w:szCs w:val="2"/>
                <w:color w:val="auto"/>
              </w:rPr>
            </w:pPr>
          </w:p>
        </w:tc>
        <w:tc>
          <w:tcPr>
            <w:tcW w:w="1080" w:type="dxa"/>
            <w:vAlign w:val="bottom"/>
            <w:gridSpan w:val="2"/>
            <w:vMerge w:val="restart"/>
          </w:tcPr>
          <w:p>
            <w:pPr>
              <w:jc w:val="right"/>
              <w:ind w:right="380"/>
              <w:spacing w:after="0"/>
              <w:rPr>
                <w:sz w:val="20"/>
                <w:szCs w:val="20"/>
                <w:color w:val="auto"/>
              </w:rPr>
            </w:pPr>
            <w:r>
              <w:rPr>
                <w:rFonts w:ascii="Calibri" w:cs="Calibri" w:eastAsia="Calibri" w:hAnsi="Calibri"/>
                <w:sz w:val="14"/>
                <w:szCs w:val="14"/>
                <w:b w:val="1"/>
                <w:bCs w:val="1"/>
                <w:color w:val="auto"/>
              </w:rPr>
              <w:t>% Change</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2"/>
                <w:szCs w:val="2"/>
                <w:color w:val="auto"/>
              </w:rPr>
            </w:pPr>
          </w:p>
        </w:tc>
        <w:tc>
          <w:tcPr>
            <w:tcW w:w="1280" w:type="dxa"/>
            <w:vAlign w:val="bottom"/>
            <w:gridSpan w:val="3"/>
            <w:vMerge w:val="restart"/>
          </w:tcPr>
          <w:p>
            <w:pPr>
              <w:ind w:left="28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08"/>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68"/>
              <w:spacing w:after="0" w:line="164"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68"/>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6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Cost of revenues:</w:t>
            </w:r>
          </w:p>
        </w:tc>
        <w:tc>
          <w:tcPr>
            <w:tcW w:w="18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60" w:type="dxa"/>
            <w:vAlign w:val="bottom"/>
          </w:tcPr>
          <w:p>
            <w:pPr>
              <w:ind w:left="20"/>
              <w:spacing w:after="0"/>
              <w:rPr>
                <w:sz w:val="20"/>
                <w:szCs w:val="20"/>
                <w:color w:val="auto"/>
              </w:rPr>
            </w:pPr>
            <w:r>
              <w:rPr>
                <w:rFonts w:ascii="Calibri" w:cs="Calibri" w:eastAsia="Calibri" w:hAnsi="Calibri"/>
                <w:sz w:val="14"/>
                <w:szCs w:val="14"/>
                <w:color w:val="auto"/>
              </w:rPr>
              <w:t>Marketplace</w:t>
            </w:r>
          </w:p>
        </w:tc>
        <w:tc>
          <w:tcPr>
            <w:tcW w:w="1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25,163</w:t>
            </w:r>
          </w:p>
        </w:tc>
        <w:tc>
          <w:tcPr>
            <w:tcW w:w="420" w:type="dxa"/>
            <w:vAlign w:val="bottom"/>
            <w:gridSpan w:val="2"/>
          </w:tcPr>
          <w:p>
            <w:pPr>
              <w:jc w:val="right"/>
              <w:ind w:right="28"/>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22,766</w:t>
            </w:r>
          </w:p>
        </w:tc>
        <w:tc>
          <w:tcPr>
            <w:tcW w:w="380" w:type="dxa"/>
            <w:vAlign w:val="bottom"/>
            <w:gridSpan w:val="2"/>
          </w:tcPr>
          <w:p>
            <w:pPr>
              <w:jc w:val="right"/>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2,397</w:t>
            </w:r>
          </w:p>
        </w:tc>
        <w:tc>
          <w:tcPr>
            <w:tcW w:w="1320" w:type="dxa"/>
            <w:vAlign w:val="bottom"/>
            <w:gridSpan w:val="3"/>
          </w:tcPr>
          <w:p>
            <w:pPr>
              <w:jc w:val="right"/>
              <w:ind w:right="140"/>
              <w:spacing w:after="0"/>
              <w:rPr>
                <w:sz w:val="20"/>
                <w:szCs w:val="20"/>
                <w:color w:val="auto"/>
              </w:rPr>
            </w:pPr>
            <w:r>
              <w:rPr>
                <w:rFonts w:ascii="Calibri" w:cs="Calibri" w:eastAsia="Calibri" w:hAnsi="Calibri"/>
                <w:sz w:val="14"/>
                <w:szCs w:val="14"/>
                <w:color w:val="auto"/>
              </w:rPr>
              <w:t>11 %</w:t>
            </w:r>
          </w:p>
        </w:tc>
        <w:tc>
          <w:tcPr>
            <w:tcW w:w="10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51,304</w:t>
            </w:r>
          </w:p>
        </w:tc>
        <w:tc>
          <w:tcPr>
            <w:tcW w:w="400" w:type="dxa"/>
            <w:vAlign w:val="bottom"/>
            <w:gridSpan w:val="2"/>
          </w:tcPr>
          <w:p>
            <w:pPr>
              <w:jc w:val="right"/>
              <w:ind w:right="80"/>
              <w:spacing w:after="0"/>
              <w:rPr>
                <w:sz w:val="20"/>
                <w:szCs w:val="20"/>
                <w:color w:val="auto"/>
              </w:rPr>
            </w:pPr>
            <w:r>
              <w:rPr>
                <w:rFonts w:ascii="Calibri" w:cs="Calibri" w:eastAsia="Calibri" w:hAnsi="Calibri"/>
                <w:sz w:val="14"/>
                <w:szCs w:val="14"/>
                <w:color w:val="auto"/>
              </w:rPr>
              <w:t>$</w:t>
            </w:r>
          </w:p>
        </w:tc>
        <w:tc>
          <w:tcPr>
            <w:tcW w:w="620" w:type="dxa"/>
            <w:vAlign w:val="bottom"/>
          </w:tcPr>
          <w:p>
            <w:pPr>
              <w:jc w:val="right"/>
              <w:spacing w:after="0"/>
              <w:rPr>
                <w:sz w:val="20"/>
                <w:szCs w:val="20"/>
                <w:color w:val="auto"/>
              </w:rPr>
            </w:pPr>
            <w:r>
              <w:rPr>
                <w:rFonts w:ascii="Calibri" w:cs="Calibri" w:eastAsia="Calibri" w:hAnsi="Calibri"/>
                <w:sz w:val="14"/>
                <w:szCs w:val="14"/>
                <w:color w:val="auto"/>
              </w:rPr>
              <w:t>42,826</w:t>
            </w:r>
          </w:p>
        </w:tc>
        <w:tc>
          <w:tcPr>
            <w:tcW w:w="360" w:type="dxa"/>
            <w:vAlign w:val="bottom"/>
            <w:gridSpan w:val="2"/>
          </w:tcPr>
          <w:p>
            <w:pPr>
              <w:jc w:val="right"/>
              <w:ind w:right="6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8,478</w:t>
            </w:r>
          </w:p>
        </w:tc>
        <w:tc>
          <w:tcPr>
            <w:tcW w:w="1480" w:type="dxa"/>
            <w:vAlign w:val="bottom"/>
            <w:gridSpan w:val="3"/>
          </w:tcPr>
          <w:p>
            <w:pPr>
              <w:jc w:val="right"/>
              <w:spacing w:after="0"/>
              <w:rPr>
                <w:sz w:val="20"/>
                <w:szCs w:val="20"/>
                <w:color w:val="auto"/>
              </w:rPr>
            </w:pPr>
            <w:r>
              <w:rPr>
                <w:rFonts w:ascii="Calibri" w:cs="Calibri" w:eastAsia="Calibri" w:hAnsi="Calibri"/>
                <w:sz w:val="14"/>
                <w:szCs w:val="14"/>
                <w:color w:val="auto"/>
              </w:rPr>
              <w:t>20 %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Resale</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23,602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19,850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3,752</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4"/>
                <w:szCs w:val="14"/>
                <w:color w:val="auto"/>
              </w:rPr>
              <w:t>19 %</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47,044</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37,550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9,494</w:t>
            </w:r>
          </w:p>
        </w:tc>
        <w:tc>
          <w:tcPr>
            <w:tcW w:w="148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color w:val="auto"/>
              </w:rPr>
              <w:t>25 %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66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Pr>
          <w:p>
            <w:pPr>
              <w:ind w:left="20"/>
              <w:spacing w:after="0"/>
              <w:rPr>
                <w:sz w:val="20"/>
                <w:szCs w:val="20"/>
                <w:color w:val="auto"/>
              </w:rPr>
            </w:pPr>
            <w:r>
              <w:rPr>
                <w:rFonts w:ascii="Calibri" w:cs="Calibri" w:eastAsia="Calibri" w:hAnsi="Calibri"/>
                <w:sz w:val="14"/>
                <w:szCs w:val="14"/>
                <w:b w:val="1"/>
                <w:bCs w:val="1"/>
                <w:color w:val="auto"/>
              </w:rPr>
              <w:t>Total cost of revenues</w:t>
            </w:r>
          </w:p>
        </w:tc>
        <w:tc>
          <w:tcPr>
            <w:tcW w:w="18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48,765</w:t>
            </w:r>
          </w:p>
        </w:tc>
        <w:tc>
          <w:tcPr>
            <w:tcW w:w="24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42,616</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6,149</w:t>
            </w:r>
          </w:p>
        </w:tc>
        <w:tc>
          <w:tcPr>
            <w:tcW w:w="2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Calibri" w:cs="Calibri" w:eastAsia="Calibri" w:hAnsi="Calibri"/>
                <w:sz w:val="14"/>
                <w:szCs w:val="14"/>
                <w:b w:val="1"/>
                <w:bCs w:val="1"/>
                <w:color w:val="auto"/>
              </w:rPr>
              <w:t>14 %</w:t>
            </w:r>
          </w:p>
        </w:tc>
        <w:tc>
          <w:tcPr>
            <w:tcW w:w="10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98,348</w:t>
            </w:r>
          </w:p>
        </w:tc>
        <w:tc>
          <w:tcPr>
            <w:tcW w:w="400" w:type="dxa"/>
            <w:vAlign w:val="bottom"/>
            <w:gridSpan w:val="2"/>
          </w:tcPr>
          <w:p>
            <w:pPr>
              <w:jc w:val="right"/>
              <w:ind w:right="80"/>
              <w:spacing w:after="0"/>
              <w:rPr>
                <w:sz w:val="20"/>
                <w:szCs w:val="20"/>
                <w:color w:val="auto"/>
              </w:rPr>
            </w:pPr>
            <w:r>
              <w:rPr>
                <w:rFonts w:ascii="Calibri" w:cs="Calibri" w:eastAsia="Calibri" w:hAnsi="Calibri"/>
                <w:sz w:val="14"/>
                <w:szCs w:val="14"/>
                <w:b w:val="1"/>
                <w:bCs w:val="1"/>
                <w:color w:val="auto"/>
              </w:rPr>
              <w:t>$</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80,376</w:t>
            </w:r>
          </w:p>
        </w:tc>
        <w:tc>
          <w:tcPr>
            <w:tcW w:w="360" w:type="dxa"/>
            <w:vAlign w:val="bottom"/>
            <w:gridSpan w:val="2"/>
          </w:tcPr>
          <w:p>
            <w:pPr>
              <w:jc w:val="right"/>
              <w:ind w:right="60"/>
              <w:spacing w:after="0"/>
              <w:rPr>
                <w:sz w:val="20"/>
                <w:szCs w:val="20"/>
                <w:color w:val="auto"/>
              </w:rPr>
            </w:pPr>
            <w:r>
              <w:rPr>
                <w:rFonts w:ascii="Calibri" w:cs="Calibri" w:eastAsia="Calibri" w:hAnsi="Calibri"/>
                <w:sz w:val="14"/>
                <w:szCs w:val="14"/>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17,972</w:t>
            </w:r>
          </w:p>
        </w:tc>
        <w:tc>
          <w:tcPr>
            <w:tcW w:w="148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22 %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-162560</wp:posOffset>
            </wp:positionV>
            <wp:extent cx="774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-162560</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-162560</wp:posOffset>
            </wp:positionV>
            <wp:extent cx="7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-162560</wp:posOffset>
            </wp:positionV>
            <wp:extent cx="768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-162560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-162560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-162560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Total cost of revenues increased $6.2 million, or 14%, for the three months ended June 30, 2024 compared to the three months ended June 30, 2023 and increased $18.0 million, or 22%, for the six months ended June 30, 2024 compared to the six months ended June 30, 2023. The increase resulted primarily from higher order volume in both our Marketplace and Resale segments.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Marketplace cost of revenues increased $2.4 million, or 11%, for the three months ended June 30, 2024 compared to the three months ended June 30, 2023 and increased $8.5 million, or 20%, for the six months ended June 30, 2024 compared to the three months ended June 30, 2023. The increase was relatvely consistent with the increase in Marketplace GOV, which increased by 5% and 12% during the same respectve periods.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w:t>
      </w:r>
    </w:p>
    <w:p>
      <w:pPr>
        <w:spacing w:after="0" w:line="109" w:lineRule="exact"/>
        <w:rPr>
          <w:sz w:val="20"/>
          <w:szCs w:val="20"/>
          <w:color w:val="auto"/>
        </w:rPr>
      </w:pPr>
    </w:p>
    <w:p>
      <w:pPr>
        <w:jc w:val="both"/>
        <w:ind w:right="20"/>
        <w:spacing w:after="0" w:line="254" w:lineRule="auto"/>
        <w:rPr>
          <w:sz w:val="20"/>
          <w:szCs w:val="20"/>
          <w:color w:val="auto"/>
        </w:rPr>
      </w:pPr>
      <w:r>
        <w:rPr>
          <w:rFonts w:ascii="Calibri" w:cs="Calibri" w:eastAsia="Calibri" w:hAnsi="Calibri"/>
          <w:sz w:val="17"/>
          <w:szCs w:val="17"/>
          <w:color w:val="auto"/>
        </w:rPr>
        <w:t>Resale cost of revenues increased $3.8 million, or 19%, for the three months ended June 30, 2024 compared to the three months ended June 30, 2023 and increased $9.5 million, or 25%, for the six months ended June 30, 2024 compared to the six months ended June 30, 2023. The increase was not consistent with the increase in Resale revenues, which increased by 8% and 17% during the same respectve periods, due to certain event categories with lower margins.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13" w:right="319" w:bottom="1440" w:gutter="0" w:footer="0" w:header="0"/>
        </w:sectPr>
      </w:pPr>
    </w:p>
    <w:bookmarkStart w:id="35" w:name="page36"/>
    <w:bookmarkEnd w:id="35"/>
    <w:p>
      <w:pPr>
        <w:spacing w:after="0"/>
        <w:rPr>
          <w:sz w:val="20"/>
          <w:szCs w:val="20"/>
          <w:color w:val="auto"/>
        </w:rPr>
      </w:pPr>
      <w:r>
        <w:rPr>
          <w:rFonts w:ascii="Calibri" w:cs="Calibri" w:eastAsia="Calibri" w:hAnsi="Calibri"/>
          <w:sz w:val="18"/>
          <w:szCs w:val="18"/>
          <w:b w:val="1"/>
          <w:bCs w:val="1"/>
          <w:color w:val="auto"/>
        </w:rPr>
        <w:t>Marketng and Selling</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marketng and selling expenses (in thousands, except percentages):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860" w:type="dxa"/>
            <w:vAlign w:val="bottom"/>
            <w:gridSpan w:val="5"/>
          </w:tcPr>
          <w:p>
            <w:pPr>
              <w:jc w:val="right"/>
              <w:spacing w:after="0"/>
              <w:rPr>
                <w:sz w:val="20"/>
                <w:szCs w:val="20"/>
                <w:color w:val="auto"/>
              </w:rPr>
            </w:pPr>
            <w:r>
              <w:rPr>
                <w:rFonts w:ascii="Calibri" w:cs="Calibri" w:eastAsia="Calibri" w:hAnsi="Calibri"/>
                <w:sz w:val="14"/>
                <w:szCs w:val="14"/>
                <w:b w:val="1"/>
                <w:bCs w:val="1"/>
                <w:color w:val="auto"/>
              </w:rPr>
              <w:t>Three Months Ended June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jc w:val="right"/>
              <w:ind w:right="68"/>
              <w:spacing w:after="0"/>
              <w:rPr>
                <w:sz w:val="20"/>
                <w:szCs w:val="20"/>
                <w:color w:val="auto"/>
              </w:rPr>
            </w:pPr>
            <w:r>
              <w:rPr>
                <w:rFonts w:ascii="Calibri" w:cs="Calibri" w:eastAsia="Calibri" w:hAnsi="Calibri"/>
                <w:sz w:val="14"/>
                <w:szCs w:val="14"/>
                <w:b w:val="1"/>
                <w:bCs w:val="1"/>
                <w:color w:val="auto"/>
              </w:rPr>
              <w:t>Six Months Ended June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right"/>
              <w:ind w:right="400"/>
              <w:spacing w:after="0"/>
              <w:rPr>
                <w:sz w:val="20"/>
                <w:szCs w:val="20"/>
                <w:color w:val="auto"/>
              </w:rPr>
            </w:pPr>
            <w:r>
              <w:rPr>
                <w:rFonts w:ascii="Calibri" w:cs="Calibri" w:eastAsia="Calibri" w:hAnsi="Calibri"/>
                <w:sz w:val="14"/>
                <w:szCs w:val="14"/>
                <w:b w:val="1"/>
                <w:bCs w:val="1"/>
                <w:color w:val="auto"/>
              </w:rPr>
              <w:t>Change</w:t>
            </w:r>
          </w:p>
        </w:tc>
        <w:tc>
          <w:tcPr>
            <w:tcW w:w="1100" w:type="dxa"/>
            <w:vAlign w:val="bottom"/>
            <w:gridSpan w:val="2"/>
            <w:vMerge w:val="restart"/>
          </w:tcPr>
          <w:p>
            <w:pPr>
              <w:jc w:val="right"/>
              <w:ind w:right="380"/>
              <w:spacing w:after="0"/>
              <w:rPr>
                <w:sz w:val="20"/>
                <w:szCs w:val="20"/>
                <w:color w:val="auto"/>
              </w:rPr>
            </w:pPr>
            <w:r>
              <w:rPr>
                <w:rFonts w:ascii="Calibri" w:cs="Calibri" w:eastAsia="Calibri" w:hAnsi="Calibri"/>
                <w:sz w:val="14"/>
                <w:szCs w:val="14"/>
                <w:b w:val="1"/>
                <w:bCs w:val="1"/>
                <w:color w:val="auto"/>
              </w:rPr>
              <w:t>% Change</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right"/>
              <w:ind w:right="8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2"/>
                <w:szCs w:val="2"/>
                <w:color w:val="auto"/>
              </w:rPr>
            </w:pPr>
          </w:p>
        </w:tc>
        <w:tc>
          <w:tcPr>
            <w:tcW w:w="1140" w:type="dxa"/>
            <w:vAlign w:val="bottom"/>
            <w:gridSpan w:val="3"/>
            <w:vMerge w:val="restart"/>
          </w:tcPr>
          <w:p>
            <w:pPr>
              <w:ind w:left="20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08"/>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68"/>
              <w:spacing w:after="0" w:line="164"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28"/>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0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Marketng and selling:</w:t>
            </w:r>
          </w:p>
        </w:tc>
        <w:tc>
          <w:tcPr>
            <w:tcW w:w="16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00" w:type="dxa"/>
            <w:vAlign w:val="bottom"/>
          </w:tcPr>
          <w:p>
            <w:pPr>
              <w:ind w:left="20"/>
              <w:spacing w:after="0"/>
              <w:rPr>
                <w:sz w:val="20"/>
                <w:szCs w:val="20"/>
                <w:color w:val="auto"/>
              </w:rPr>
            </w:pPr>
            <w:r>
              <w:rPr>
                <w:rFonts w:ascii="Calibri" w:cs="Calibri" w:eastAsia="Calibri" w:hAnsi="Calibri"/>
                <w:sz w:val="14"/>
                <w:szCs w:val="14"/>
                <w:color w:val="auto"/>
              </w:rPr>
              <w:t>Online</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63,905</w:t>
            </w:r>
          </w:p>
        </w:tc>
        <w:tc>
          <w:tcPr>
            <w:tcW w:w="400" w:type="dxa"/>
            <w:vAlign w:val="bottom"/>
            <w:gridSpan w:val="2"/>
          </w:tcPr>
          <w:p>
            <w:pPr>
              <w:jc w:val="right"/>
              <w:ind w:right="8"/>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58,890</w:t>
            </w:r>
          </w:p>
        </w:tc>
        <w:tc>
          <w:tcPr>
            <w:tcW w:w="360" w:type="dxa"/>
            <w:vAlign w:val="bottom"/>
            <w:gridSpan w:val="2"/>
          </w:tcPr>
          <w:p>
            <w:pPr>
              <w:jc w:val="right"/>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5,015</w:t>
            </w:r>
          </w:p>
        </w:tc>
        <w:tc>
          <w:tcPr>
            <w:tcW w:w="2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9 %</w:t>
            </w:r>
          </w:p>
        </w:tc>
        <w:tc>
          <w:tcPr>
            <w:tcW w:w="12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125,811</w:t>
            </w:r>
          </w:p>
        </w:tc>
        <w:tc>
          <w:tcPr>
            <w:tcW w:w="4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107,998</w:t>
            </w:r>
          </w:p>
        </w:tc>
        <w:tc>
          <w:tcPr>
            <w:tcW w:w="340" w:type="dxa"/>
            <w:vAlign w:val="bottom"/>
            <w:gridSpan w:val="2"/>
          </w:tcPr>
          <w:p>
            <w:pPr>
              <w:jc w:val="right"/>
              <w:ind w:right="4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17,813</w:t>
            </w:r>
          </w:p>
        </w:tc>
        <w:tc>
          <w:tcPr>
            <w:tcW w:w="1340" w:type="dxa"/>
            <w:vAlign w:val="bottom"/>
            <w:gridSpan w:val="3"/>
          </w:tcPr>
          <w:p>
            <w:pPr>
              <w:jc w:val="right"/>
              <w:spacing w:after="0"/>
              <w:rPr>
                <w:sz w:val="20"/>
                <w:szCs w:val="20"/>
                <w:color w:val="auto"/>
              </w:rPr>
            </w:pPr>
            <w:r>
              <w:rPr>
                <w:rFonts w:ascii="Calibri" w:cs="Calibri" w:eastAsia="Calibri" w:hAnsi="Calibri"/>
                <w:sz w:val="14"/>
                <w:szCs w:val="14"/>
                <w:color w:val="auto"/>
              </w:rPr>
              <w:t>16 %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60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Ofine</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6,209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6,302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(93 )</w:t>
            </w:r>
          </w:p>
        </w:tc>
        <w:tc>
          <w:tcPr>
            <w:tcW w:w="110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(1 )%</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12,050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11,966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84</w:t>
            </w:r>
          </w:p>
        </w:tc>
        <w:tc>
          <w:tcPr>
            <w:tcW w:w="134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color w:val="auto"/>
              </w:rPr>
              <w:t>1 %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6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00" w:type="dxa"/>
            <w:vAlign w:val="bottom"/>
          </w:tcPr>
          <w:p>
            <w:pPr>
              <w:ind w:left="20"/>
              <w:spacing w:after="0"/>
              <w:rPr>
                <w:sz w:val="20"/>
                <w:szCs w:val="20"/>
                <w:color w:val="auto"/>
              </w:rPr>
            </w:pPr>
            <w:r>
              <w:rPr>
                <w:rFonts w:ascii="Calibri" w:cs="Calibri" w:eastAsia="Calibri" w:hAnsi="Calibri"/>
                <w:sz w:val="14"/>
                <w:szCs w:val="14"/>
                <w:b w:val="1"/>
                <w:bCs w:val="1"/>
                <w:color w:val="auto"/>
              </w:rPr>
              <w:t>Total marketng and selling</w:t>
            </w:r>
          </w:p>
        </w:tc>
        <w:tc>
          <w:tcPr>
            <w:tcW w:w="160" w:type="dxa"/>
            <w:vAlign w:val="bottom"/>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70,114</w:t>
            </w:r>
          </w:p>
        </w:tc>
        <w:tc>
          <w:tcPr>
            <w:tcW w:w="24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65,192</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4,922</w:t>
            </w:r>
          </w:p>
        </w:tc>
        <w:tc>
          <w:tcPr>
            <w:tcW w:w="2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Calibri" w:cs="Calibri" w:eastAsia="Calibri" w:hAnsi="Calibri"/>
                <w:sz w:val="14"/>
                <w:szCs w:val="14"/>
                <w:b w:val="1"/>
                <w:bCs w:val="1"/>
                <w:color w:val="auto"/>
              </w:rPr>
              <w:t>8 %</w:t>
            </w:r>
          </w:p>
        </w:tc>
        <w:tc>
          <w:tcPr>
            <w:tcW w:w="12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137,861</w:t>
            </w:r>
          </w:p>
        </w:tc>
        <w:tc>
          <w:tcPr>
            <w:tcW w:w="400" w:type="dxa"/>
            <w:vAlign w:val="bottom"/>
            <w:gridSpan w:val="2"/>
          </w:tcPr>
          <w:p>
            <w:pPr>
              <w:jc w:val="right"/>
              <w:ind w:right="100"/>
              <w:spacing w:after="0"/>
              <w:rPr>
                <w:sz w:val="20"/>
                <w:szCs w:val="20"/>
                <w:color w:val="auto"/>
              </w:rPr>
            </w:pPr>
            <w:r>
              <w:rPr>
                <w:rFonts w:ascii="Calibri" w:cs="Calibri" w:eastAsia="Calibri" w:hAnsi="Calibri"/>
                <w:sz w:val="14"/>
                <w:szCs w:val="14"/>
                <w:b w:val="1"/>
                <w:bCs w:val="1"/>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119,964</w:t>
            </w:r>
          </w:p>
        </w:tc>
        <w:tc>
          <w:tcPr>
            <w:tcW w:w="34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17,897</w:t>
            </w:r>
          </w:p>
        </w:tc>
        <w:tc>
          <w:tcPr>
            <w:tcW w:w="134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15 %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-162560</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-162560</wp:posOffset>
            </wp:positionV>
            <wp:extent cx="768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-162560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-162560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-162560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-162560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-162560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-162560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Marketng and selling expenses, which are entrely atributable to our Marketplace segment, increased $4.9 million, or 8%, during the three months ended June 30, 2024 compared to the three months ended June 30, 2023 and increased $17.9 million, or 15%, during the six months ended June 30, 2024 compared to the six months ended June 30, 2023. The increase primarily resulted from greater spending on online advertsing, which increased by $5.0 million, or 9%, during the three months ended June 30, 2024 compared to the three and six months ended June 30, 2023 and increased by $17.8 million, or 16%, during the six months ended June 30, 2024 compared to the six months ended June 30, 2023. The increase in spending on online advertsing was primarily driven by an increase in performance marketng channel spend to support growth, and was relatvely consistent with the increase in Marketplace GOV, which increased by 5% and 12% during the same respectve periods.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General and Administratve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general and administratve expenses (in thousands, except percentages):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1860" w:type="dxa"/>
            <w:vAlign w:val="bottom"/>
            <w:gridSpan w:val="5"/>
          </w:tcPr>
          <w:p>
            <w:pPr>
              <w:jc w:val="right"/>
              <w:spacing w:after="0"/>
              <w:rPr>
                <w:sz w:val="20"/>
                <w:szCs w:val="20"/>
                <w:color w:val="auto"/>
              </w:rPr>
            </w:pPr>
            <w:r>
              <w:rPr>
                <w:rFonts w:ascii="Calibri" w:cs="Calibri" w:eastAsia="Calibri" w:hAnsi="Calibri"/>
                <w:sz w:val="14"/>
                <w:szCs w:val="14"/>
                <w:b w:val="1"/>
                <w:bCs w:val="1"/>
                <w:color w:val="auto"/>
              </w:rPr>
              <w:t>Three Months Ended June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right"/>
              <w:ind w:right="28"/>
              <w:spacing w:after="0"/>
              <w:rPr>
                <w:sz w:val="20"/>
                <w:szCs w:val="20"/>
                <w:color w:val="auto"/>
              </w:rPr>
            </w:pPr>
            <w:r>
              <w:rPr>
                <w:rFonts w:ascii="Calibri" w:cs="Calibri" w:eastAsia="Calibri" w:hAnsi="Calibri"/>
                <w:sz w:val="14"/>
                <w:szCs w:val="14"/>
                <w:b w:val="1"/>
                <w:bCs w:val="1"/>
                <w:color w:val="auto"/>
              </w:rPr>
              <w:t>Six Months Ended June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2"/>
                <w:szCs w:val="2"/>
                <w:color w:val="auto"/>
              </w:rPr>
            </w:pPr>
          </w:p>
        </w:tc>
        <w:tc>
          <w:tcPr>
            <w:tcW w:w="1000" w:type="dxa"/>
            <w:vAlign w:val="bottom"/>
            <w:gridSpan w:val="2"/>
            <w:vMerge w:val="restart"/>
          </w:tcPr>
          <w:p>
            <w:pPr>
              <w:jc w:val="right"/>
              <w:ind w:right="340"/>
              <w:spacing w:after="0"/>
              <w:rPr>
                <w:sz w:val="20"/>
                <w:szCs w:val="20"/>
                <w:color w:val="auto"/>
              </w:rPr>
            </w:pPr>
            <w:r>
              <w:rPr>
                <w:rFonts w:ascii="Calibri" w:cs="Calibri" w:eastAsia="Calibri" w:hAnsi="Calibri"/>
                <w:sz w:val="14"/>
                <w:szCs w:val="14"/>
                <w:b w:val="1"/>
                <w:bCs w:val="1"/>
                <w:color w:val="auto"/>
              </w:rPr>
              <w:t>% Change</w:t>
            </w: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Change</w:t>
            </w:r>
          </w:p>
        </w:tc>
        <w:tc>
          <w:tcPr>
            <w:tcW w:w="200" w:type="dxa"/>
            <w:vAlign w:val="bottom"/>
          </w:tcPr>
          <w:p>
            <w:pPr>
              <w:spacing w:after="0"/>
              <w:rPr>
                <w:sz w:val="2"/>
                <w:szCs w:val="2"/>
                <w:color w:val="auto"/>
              </w:rPr>
            </w:pPr>
          </w:p>
        </w:tc>
        <w:tc>
          <w:tcPr>
            <w:tcW w:w="1480" w:type="dxa"/>
            <w:vAlign w:val="bottom"/>
            <w:gridSpan w:val="3"/>
            <w:vMerge w:val="restart"/>
          </w:tcPr>
          <w:p>
            <w:pPr>
              <w:ind w:left="38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50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General and administratve:</w:t>
            </w: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rPr>
                <w:sz w:val="20"/>
                <w:szCs w:val="20"/>
                <w:color w:val="auto"/>
              </w:rPr>
            </w:pPr>
            <w:r>
              <w:rPr>
                <w:rFonts w:ascii="Calibri" w:cs="Calibri" w:eastAsia="Calibri" w:hAnsi="Calibri"/>
                <w:sz w:val="14"/>
                <w:szCs w:val="14"/>
                <w:color w:val="auto"/>
              </w:rPr>
              <w:t>Personnel expenses</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43,088</w:t>
            </w:r>
          </w:p>
        </w:tc>
        <w:tc>
          <w:tcPr>
            <w:tcW w:w="420" w:type="dxa"/>
            <w:vAlign w:val="bottom"/>
            <w:gridSpan w:val="2"/>
          </w:tcPr>
          <w:p>
            <w:pPr>
              <w:jc w:val="right"/>
              <w:ind w:right="28"/>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26,360</w:t>
            </w:r>
          </w:p>
        </w:tc>
        <w:tc>
          <w:tcPr>
            <w:tcW w:w="340" w:type="dxa"/>
            <w:vAlign w:val="bottom"/>
            <w:gridSpan w:val="2"/>
          </w:tcPr>
          <w:p>
            <w:pPr>
              <w:jc w:val="right"/>
              <w:ind w:right="4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16,728</w:t>
            </w:r>
          </w:p>
        </w:tc>
        <w:tc>
          <w:tcPr>
            <w:tcW w:w="1220" w:type="dxa"/>
            <w:vAlign w:val="bottom"/>
            <w:gridSpan w:val="3"/>
          </w:tcPr>
          <w:p>
            <w:pPr>
              <w:jc w:val="right"/>
              <w:ind w:right="120"/>
              <w:spacing w:after="0"/>
              <w:rPr>
                <w:sz w:val="20"/>
                <w:szCs w:val="20"/>
                <w:color w:val="auto"/>
              </w:rPr>
            </w:pPr>
            <w:r>
              <w:rPr>
                <w:rFonts w:ascii="Calibri" w:cs="Calibri" w:eastAsia="Calibri" w:hAnsi="Calibri"/>
                <w:sz w:val="14"/>
                <w:szCs w:val="14"/>
                <w:color w:val="auto"/>
              </w:rPr>
              <w:t>63 %</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75,690</w:t>
            </w:r>
          </w:p>
        </w:tc>
        <w:tc>
          <w:tcPr>
            <w:tcW w:w="360" w:type="dxa"/>
            <w:vAlign w:val="bottom"/>
            <w:gridSpan w:val="2"/>
          </w:tcPr>
          <w:p>
            <w:pPr>
              <w:jc w:val="right"/>
              <w:ind w:right="80"/>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51,051</w:t>
            </w:r>
          </w:p>
        </w:tc>
        <w:tc>
          <w:tcPr>
            <w:tcW w:w="340" w:type="dxa"/>
            <w:vAlign w:val="bottom"/>
            <w:gridSpan w:val="2"/>
          </w:tcPr>
          <w:p>
            <w:pPr>
              <w:jc w:val="right"/>
              <w:ind w:right="6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24,639</w:t>
            </w:r>
          </w:p>
        </w:tc>
        <w:tc>
          <w:tcPr>
            <w:tcW w:w="1660" w:type="dxa"/>
            <w:vAlign w:val="bottom"/>
            <w:gridSpan w:val="3"/>
          </w:tcPr>
          <w:p>
            <w:pPr>
              <w:jc w:val="right"/>
              <w:spacing w:after="0"/>
              <w:rPr>
                <w:sz w:val="20"/>
                <w:szCs w:val="20"/>
                <w:color w:val="auto"/>
              </w:rPr>
            </w:pPr>
            <w:r>
              <w:rPr>
                <w:rFonts w:ascii="Calibri" w:cs="Calibri" w:eastAsia="Calibri" w:hAnsi="Calibri"/>
                <w:sz w:val="14"/>
                <w:szCs w:val="14"/>
                <w:color w:val="auto"/>
              </w:rPr>
              <w:t>48 %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Non-income tax expense</w:t>
            </w: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5,522</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498</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5,024</w:t>
            </w:r>
          </w:p>
        </w:tc>
        <w:tc>
          <w:tcPr>
            <w:tcW w:w="12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Calibri" w:cs="Calibri" w:eastAsia="Calibri" w:hAnsi="Calibri"/>
                <w:sz w:val="14"/>
                <w:szCs w:val="14"/>
                <w:color w:val="auto"/>
              </w:rPr>
              <w:t>1,009 %</w:t>
            </w:r>
          </w:p>
        </w:tc>
        <w:tc>
          <w:tcPr>
            <w:tcW w:w="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3,143</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954</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2,189</w:t>
            </w:r>
          </w:p>
        </w:tc>
        <w:tc>
          <w:tcPr>
            <w:tcW w:w="1660" w:type="dxa"/>
            <w:vAlign w:val="bottom"/>
            <w:tcBorders>
              <w:bottom w:val="single" w:sz="8" w:color="CFF0FC"/>
            </w:tcBorders>
            <w:gridSpan w:val="3"/>
            <w:shd w:val="clear" w:color="auto" w:fill="CFF0FC"/>
          </w:tcPr>
          <w:p>
            <w:pPr>
              <w:jc w:val="right"/>
              <w:spacing w:after="0"/>
              <w:rPr>
                <w:sz w:val="20"/>
                <w:szCs w:val="20"/>
                <w:color w:val="auto"/>
              </w:rPr>
            </w:pPr>
            <w:r>
              <w:rPr>
                <w:rFonts w:ascii="Calibri" w:cs="Calibri" w:eastAsia="Calibri" w:hAnsi="Calibri"/>
                <w:sz w:val="14"/>
                <w:szCs w:val="14"/>
                <w:color w:val="auto"/>
              </w:rPr>
              <w:t>229 %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20"/>
              <w:spacing w:after="0"/>
              <w:rPr>
                <w:sz w:val="20"/>
                <w:szCs w:val="20"/>
                <w:color w:val="auto"/>
              </w:rPr>
            </w:pPr>
            <w:r>
              <w:rPr>
                <w:rFonts w:ascii="Calibri" w:cs="Calibri" w:eastAsia="Calibri" w:hAnsi="Calibri"/>
                <w:sz w:val="14"/>
                <w:szCs w:val="14"/>
                <w:color w:val="auto"/>
              </w:rPr>
              <w:t>Other</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12,443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11,449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994</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9 %</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24,587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18,691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5,896</w:t>
            </w:r>
          </w:p>
        </w:tc>
        <w:tc>
          <w:tcPr>
            <w:tcW w:w="1660" w:type="dxa"/>
            <w:vAlign w:val="bottom"/>
            <w:gridSpan w:val="3"/>
          </w:tcPr>
          <w:p>
            <w:pPr>
              <w:jc w:val="right"/>
              <w:spacing w:after="0"/>
              <w:rPr>
                <w:sz w:val="20"/>
                <w:szCs w:val="20"/>
                <w:color w:val="auto"/>
              </w:rPr>
            </w:pPr>
            <w:r>
              <w:rPr>
                <w:rFonts w:ascii="Calibri" w:cs="Calibri" w:eastAsia="Calibri" w:hAnsi="Calibri"/>
                <w:sz w:val="14"/>
                <w:szCs w:val="14"/>
                <w:color w:val="auto"/>
              </w:rPr>
              <w:t>32 %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Total general and administratve</w:t>
            </w:r>
          </w:p>
        </w:tc>
        <w:tc>
          <w:tcPr>
            <w:tcW w:w="160" w:type="dxa"/>
            <w:vAlign w:val="bottom"/>
            <w:shd w:val="clear" w:color="auto" w:fill="CFF0FC"/>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61,053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38,307</w:t>
            </w:r>
          </w:p>
        </w:tc>
        <w:tc>
          <w:tcPr>
            <w:tcW w:w="340" w:type="dxa"/>
            <w:vAlign w:val="bottom"/>
            <w:gridSpan w:val="2"/>
            <w:shd w:val="clear" w:color="auto" w:fill="CFF0FC"/>
          </w:tcPr>
          <w:p>
            <w:pPr>
              <w:jc w:val="right"/>
              <w:ind w:right="40"/>
              <w:spacing w:after="0"/>
              <w:rPr>
                <w:sz w:val="20"/>
                <w:szCs w:val="20"/>
                <w:color w:val="auto"/>
              </w:rPr>
            </w:pPr>
            <w:r>
              <w:rPr>
                <w:rFonts w:ascii="Calibri" w:cs="Calibri" w:eastAsia="Calibri" w:hAnsi="Calibri"/>
                <w:sz w:val="14"/>
                <w:szCs w:val="14"/>
                <w:b w:val="1"/>
                <w:bCs w:val="1"/>
                <w:color w:val="auto"/>
              </w:rPr>
              <w:t>$</w:t>
            </w: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22,746</w:t>
            </w:r>
          </w:p>
        </w:tc>
        <w:tc>
          <w:tcPr>
            <w:tcW w:w="1220" w:type="dxa"/>
            <w:vAlign w:val="bottom"/>
            <w:gridSpan w:val="3"/>
            <w:shd w:val="clear" w:color="auto" w:fill="CFF0FC"/>
          </w:tcPr>
          <w:p>
            <w:pPr>
              <w:jc w:val="right"/>
              <w:ind w:right="120"/>
              <w:spacing w:after="0"/>
              <w:rPr>
                <w:sz w:val="20"/>
                <w:szCs w:val="20"/>
                <w:color w:val="auto"/>
              </w:rPr>
            </w:pPr>
            <w:r>
              <w:rPr>
                <w:rFonts w:ascii="Calibri" w:cs="Calibri" w:eastAsia="Calibri" w:hAnsi="Calibri"/>
                <w:sz w:val="14"/>
                <w:szCs w:val="14"/>
                <w:b w:val="1"/>
                <w:bCs w:val="1"/>
                <w:color w:val="auto"/>
              </w:rPr>
              <w:t>59 %</w:t>
            </w:r>
          </w:p>
        </w:tc>
        <w:tc>
          <w:tcPr>
            <w:tcW w:w="8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0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103,420</w:t>
            </w:r>
          </w:p>
        </w:tc>
        <w:tc>
          <w:tcPr>
            <w:tcW w:w="360" w:type="dxa"/>
            <w:vAlign w:val="bottom"/>
            <w:gridSpan w:val="2"/>
            <w:shd w:val="clear" w:color="auto" w:fill="CFF0FC"/>
          </w:tcPr>
          <w:p>
            <w:pPr>
              <w:jc w:val="right"/>
              <w:ind w:right="80"/>
              <w:spacing w:after="0"/>
              <w:rPr>
                <w:sz w:val="20"/>
                <w:szCs w:val="20"/>
                <w:color w:val="auto"/>
              </w:rPr>
            </w:pPr>
            <w:r>
              <w:rPr>
                <w:rFonts w:ascii="Calibri" w:cs="Calibri" w:eastAsia="Calibri" w:hAnsi="Calibri"/>
                <w:sz w:val="14"/>
                <w:szCs w:val="14"/>
                <w:b w:val="1"/>
                <w:bCs w:val="1"/>
                <w:color w:val="auto"/>
              </w:rPr>
              <w:t>$</w:t>
            </w: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70,696</w:t>
            </w:r>
          </w:p>
        </w:tc>
        <w:tc>
          <w:tcPr>
            <w:tcW w:w="34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b w:val="1"/>
                <w:bCs w:val="1"/>
                <w:color w:val="auto"/>
              </w:rPr>
              <w:t>$</w:t>
            </w: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32,724</w:t>
            </w:r>
          </w:p>
        </w:tc>
        <w:tc>
          <w:tcPr>
            <w:tcW w:w="166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b w:val="1"/>
                <w:bCs w:val="1"/>
                <w:color w:val="auto"/>
              </w:rPr>
              <w:t>46 %</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-24765</wp:posOffset>
            </wp:positionV>
            <wp:extent cx="774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-7620</wp:posOffset>
            </wp:positionV>
            <wp:extent cx="774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-24765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-7620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general and administratve expenses increased $22.8 million, or 59%, for the three months ended June 30, 2024 compared to the three months ended June 30, 2023 and increased $32.7 million, or 46%, for the six months ended June 30, 2024 compared to the six months ended June 30, 2023. The increase was primarily due to higher personnel expenses from higher equity-based compensaton expense, partcularly Hoya Topco’s r</w:t>
      </w:r>
      <w:r>
        <w:rPr>
          <w:rFonts w:ascii="Calibri" w:cs="Calibri" w:eastAsia="Calibri" w:hAnsi="Calibri"/>
          <w:sz w:val="18"/>
          <w:szCs w:val="18"/>
          <w:color w:val="2B333D"/>
        </w:rPr>
        <w:t>epurchase and cancellaton</w:t>
      </w:r>
      <w:r>
        <w:rPr>
          <w:rFonts w:ascii="Calibri" w:cs="Calibri" w:eastAsia="Calibri" w:hAnsi="Calibri"/>
          <w:sz w:val="18"/>
          <w:szCs w:val="18"/>
          <w:color w:val="auto"/>
        </w:rPr>
        <w:t xml:space="preserve"> </w:t>
      </w:r>
      <w:r>
        <w:rPr>
          <w:rFonts w:ascii="Calibri" w:cs="Calibri" w:eastAsia="Calibri" w:hAnsi="Calibri"/>
          <w:sz w:val="18"/>
          <w:szCs w:val="18"/>
          <w:color w:val="2B333D"/>
        </w:rPr>
        <w:t xml:space="preserve">(using its own funds) of all of its outstanding profts interests and phantom units held by our employees (as discussed in Note 18, </w:t>
      </w:r>
      <w:r>
        <w:rPr>
          <w:rFonts w:ascii="Calibri" w:cs="Calibri" w:eastAsia="Calibri" w:hAnsi="Calibri"/>
          <w:sz w:val="18"/>
          <w:szCs w:val="18"/>
          <w:i w:val="1"/>
          <w:iCs w:val="1"/>
          <w:color w:val="2B333D"/>
        </w:rPr>
        <w:t>Equity-Based Compensaton</w:t>
      </w:r>
      <w:r>
        <w:rPr>
          <w:rFonts w:ascii="Calibri" w:cs="Calibri" w:eastAsia="Calibri" w:hAnsi="Calibri"/>
          <w:sz w:val="18"/>
          <w:szCs w:val="18"/>
          <w:color w:val="2B333D"/>
        </w:rPr>
        <w:t xml:space="preserve">, to our condensed consolidated fnancial statements included elsewhere in this Report), </w:t>
      </w:r>
      <w:r>
        <w:rPr>
          <w:rFonts w:ascii="Calibri" w:cs="Calibri" w:eastAsia="Calibri" w:hAnsi="Calibri"/>
          <w:sz w:val="18"/>
          <w:szCs w:val="18"/>
          <w:color w:val="000000"/>
        </w:rPr>
        <w:t>and higher employee headcount, including headcount added through</w:t>
      </w:r>
      <w:r>
        <w:rPr>
          <w:rFonts w:ascii="Calibri" w:cs="Calibri" w:eastAsia="Calibri" w:hAnsi="Calibri"/>
          <w:sz w:val="18"/>
          <w:szCs w:val="18"/>
          <w:color w:val="2B333D"/>
        </w:rPr>
        <w:t xml:space="preserve"> </w:t>
      </w:r>
      <w:r>
        <w:rPr>
          <w:rFonts w:ascii="Calibri" w:cs="Calibri" w:eastAsia="Calibri" w:hAnsi="Calibri"/>
          <w:sz w:val="18"/>
          <w:szCs w:val="18"/>
          <w:color w:val="000000"/>
        </w:rPr>
        <w:t>our acquisitons of Vegas.com and Wavedash. Non-income tax expense increased as a result of accruing for sales and indirect taxes in jurisdictons where we believe it is probable we should remit but have not yet collected from customers. The increase in other expenses for the six months ended June 30, 2024 as compared to the six months ended June 30, 2023 was primarily driven by higher computer and telecom expenses and higher ofce expenses, including those related to our acquisitons of Vegas.com and Wavedash.</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Depreciaton and Amortzaton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Depreciaton and amortzaton expenses increased $7.8 million, or 288%, during the three months ended June 30, 2024 compared to the three months ended June 30, 2023 and increased $15.7 million, or 296%, during the six months ended June 30, 2024 compared to the six months ended June 30, 2023. The increase was primarily due to the intangibles acquired as part of our acquisitons of Vegas.com and Wavedash and, to a lesser extent, an increase in capitalized development actvites related to our platorm.</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 w:name="page37"/>
    <w:bookmarkEnd w:id="36"/>
    <w:p>
      <w:pPr>
        <w:spacing w:after="0"/>
        <w:rPr>
          <w:sz w:val="20"/>
          <w:szCs w:val="20"/>
          <w:color w:val="auto"/>
        </w:rPr>
      </w:pPr>
      <w:r>
        <w:rPr>
          <w:rFonts w:ascii="Calibri" w:cs="Calibri" w:eastAsia="Calibri" w:hAnsi="Calibri"/>
          <w:sz w:val="18"/>
          <w:szCs w:val="18"/>
          <w:b w:val="1"/>
          <w:bCs w:val="1"/>
          <w:color w:val="auto"/>
        </w:rPr>
        <w:t>Other Expense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Expense – Net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Interest expense increased $2.6 million, or 92%, for the three months ended June 30, 2024 compared to the three months ended June 30, 2023 and increased $4.4 million, or 72%, for the six months ended June 30, 2024 compared to the six months ended June 30, 2023. The increase was primarily due to lower interest income earned on cash balances.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Other Expense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Other expense increased $2.2 million, or 220%, for the three months ended June 30, 2024 compared to the three months ended June 30, 2023 and increased $5.1 million, or 759%, for the six months ended June 30, 2024 compared to the six months ended June 30, 2023. The increase was primarily due to the due to the refnancing of the February 2022 First Lien Loan with the June 2024 First Lien Loan on June 14, 2024 and the fair value remeasurement of warrants, net of foreign currency revaluaton losses due to unrealized gains arising from the remeasurement of non-operatng assets and liabilites denominated in non-functonal currencies on the balance sheet date.</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Income Tax Expense (Beneft)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Income tax expense increased $25.1 million during the three months ended June 30, 2024 compared to the three months ended June 30, 2023 and increased $27.1 million for the six months ended June 30, 2024 compared to the six months ended June 30, 2023. The increase was primarily due to the June 30, 2023 release of our previously recorded valuaton allowance on our U.S. tax atributes carryforward deferred tax assets.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historically fnanced our operatons primarily through cash generated from operatons. Our primary short-term requirements for liquidity and capital are to fund general working capital, capital expenditures and debt service requirements. Our primary long-term liquidity needs are related to debt repayment and potental acquisitons.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primary source of funds is cash generated from operatons. Our existng cash and cash equivalents are sufcient to fund our liquidity needs for the next 12 months and thereafer for the foreseeable future. As of June 30, 2024, we had $234.3 million of cash and cash equivalents, which consist of interest-bearing deposit accounts, money market accounts managed by fnancial insttutons and highly liquid investments with maturites of three months or less. For the six months ended June 30, 2024, we generated positve cash fows from our operatng actvites.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Loan Agreements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June 2017, we entered into a $575.0 million frst lien debt facility (the “June 2017 First Lien Term Loan”). We had an outstanding loan balance of $465.7 million under the June 2017 First Lien Loan as of December 31, 2021. In the frst quarter of 2022, we repaid $190.7 million of the outstanding June 2017 First Lien Loan. On February 3, 2022, we entered into an amendment which refnanced the remaining balance of the June 2017 First Lien Loan with a $275.0 million term loan (the “February 2022 First Lien Loan”), added a $100.0 million revolving credit facility (the “Revolving Facility”) with a maturity date of February 3, 2027, replaced the London Interbank Ofered Rate (“LIBOR”)-based foatng interest rate with a term SOFR-based foatng interest rate, and revised the springing fnancial covenant to require compliance with a frst lien net leverage rato when revolver borrowings exceed certain levels.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June 14, 2024, we entered into an amendment which refnanced the remaining balance of the February 2022 First Lien Loan with a $395.0 million term loan (the “June 2024 First Lien Loan”) with a maturity date of February 3, 2029 and revised the term SOFR-based foatng interest rate. The June 2024 First Lien Loan requires quarterly amortzaton payments of $1.0 million. The Revolving Facility, which was unafected by the refnancing of the February 2022 First Lien Loan, does not require periodic payments. All obligatons under the June 2024 First Lien Loan are secured, subject to permited liens and other exceptons, by frst-priority perfected security interests in substantally all of our and the applicable guarantors’ assets. The June 2024 First Lien Loan carries an interest rate of SOFR (subject to a 0.5% foor) plus a margin of 3.00%; </w:t>
      </w:r>
      <w:r>
        <w:rPr>
          <w:rFonts w:ascii="Calibri" w:cs="Calibri" w:eastAsia="Calibri" w:hAnsi="Calibri"/>
          <w:sz w:val="18"/>
          <w:szCs w:val="18"/>
          <w:i w:val="1"/>
          <w:iCs w:val="1"/>
          <w:color w:val="auto"/>
        </w:rPr>
        <w:t>provided</w:t>
      </w:r>
      <w:r>
        <w:rPr>
          <w:rFonts w:ascii="Calibri" w:cs="Calibri" w:eastAsia="Calibri" w:hAnsi="Calibri"/>
          <w:sz w:val="18"/>
          <w:szCs w:val="18"/>
          <w:color w:val="auto"/>
        </w:rPr>
        <w:t xml:space="preserve"> that such margin may be reduced to 2.75% if the corporate ratng assigned to us by Moody’s Investors Service, Inc. and S&amp;P Global Ratngs is at least Ba3/BB- (in each case, stable or beter).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 w:name="page38"/>
    <w:bookmarkEnd w:id="37"/>
    <w:p>
      <w:pPr>
        <w:jc w:val="both"/>
        <w:spacing w:after="0" w:line="235" w:lineRule="auto"/>
        <w:rPr>
          <w:sz w:val="20"/>
          <w:szCs w:val="20"/>
          <w:color w:val="auto"/>
        </w:rPr>
      </w:pPr>
      <w:r>
        <w:rPr>
          <w:rFonts w:ascii="Calibri" w:cs="Calibri" w:eastAsia="Calibri" w:hAnsi="Calibri"/>
          <w:sz w:val="18"/>
          <w:szCs w:val="18"/>
          <w:color w:val="auto"/>
        </w:rPr>
        <w:t>In connecton with our acquisiton of Wavedash, we assumed long-term debt owed to Shoko Chukin Bank (the “Shoko Chukin Bank Loan”) of JPY 458.3 million (approximately $3.1 million), which had an original maturity date of June 24, 2026 and was subject to a fxed interest rate of 1.27% per annum. On April 4, 2024, we paid of the Shoko Chukin Bank Loan balance in its entrety.</w:t>
      </w:r>
    </w:p>
    <w:p>
      <w:pPr>
        <w:spacing w:after="0" w:line="111" w:lineRule="exact"/>
        <w:rPr>
          <w:sz w:val="20"/>
          <w:szCs w:val="20"/>
          <w:color w:val="auto"/>
        </w:rPr>
      </w:pPr>
    </w:p>
    <w:p>
      <w:pPr>
        <w:ind w:right="1960"/>
        <w:spacing w:after="0" w:line="348" w:lineRule="auto"/>
        <w:rPr>
          <w:sz w:val="20"/>
          <w:szCs w:val="20"/>
          <w:color w:val="auto"/>
        </w:rPr>
      </w:pPr>
      <w:r>
        <w:rPr>
          <w:rFonts w:ascii="Calibri" w:cs="Calibri" w:eastAsia="Calibri" w:hAnsi="Calibri"/>
          <w:sz w:val="18"/>
          <w:szCs w:val="18"/>
          <w:color w:val="auto"/>
        </w:rPr>
        <w:t xml:space="preserve">As of June 30, 2024, we had the June 2024 First Lien Loan outstanding and no outstanding borrowings under the Revolving Facility. </w:t>
      </w:r>
      <w:r>
        <w:rPr>
          <w:rFonts w:ascii="Calibri" w:cs="Calibri" w:eastAsia="Calibri" w:hAnsi="Calibri"/>
          <w:sz w:val="18"/>
          <w:szCs w:val="18"/>
          <w:i w:val="1"/>
          <w:iCs w:val="1"/>
          <w:color w:val="auto"/>
        </w:rPr>
        <w:t>Share Repurchase Programs</w:t>
      </w:r>
    </w:p>
    <w:p>
      <w:pPr>
        <w:spacing w:after="0" w:line="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February 29, 2024, our Board of Directors (our “Board”) authorized a share repurchase program for up to $100.0 million of our Class A common stock, which program was publicly announced on March 5, 2024 and does not have a fxed expiraton date (the “2024 Repurchase Program”). As of June 30, 2024, we had repurchased approximately 3.5 million shares of our Class A Common Stock for approximately $20.0 million under the 2024 Repurchase Program and paid less than $0.1 million in commissions. As of June 30, 2024, approximately $80.0 million remained available for future repurchases under the 2024 Repurchase Program.</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May 25, 2022, our Board authorized a share repurchase program for up to $40.0 million of our Class A common stock, which program was publicly announced on May 26, 2022 (the “2022 Repurchase Program”). The 2022 Repurchase Program’s authorizaton was fully utlized during 2022 and the three months ended March 31, 2023. Cumulatvely under the 2022 Repurchase Program, we repurchased 5.3 million shares of our Class A common stock for $40.0 million and paid $0.1 million in commissions.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Share repurchases are accounted for as Treasury stock in the Condensed Consolidated Balance Sheets.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Distributons to Non-Controlling Interests</w:t>
      </w:r>
    </w:p>
    <w:p>
      <w:pPr>
        <w:spacing w:after="0" w:line="109"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Per its Limited Liability Company Agreement, Hoya Intermediate is required to make pro-rata tax distributons to its members, of which $2.8 million and $6.4 million was distributed to non-controlling interests in the three and six months ended June 30, 2024, respectvely.</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Tax Receivable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Merger Transacton, we entered into a Tax Receivable Agreement (the “TRA”) with the existng Hoya Intermediate shareholders that provides for our payment to such shareholders of 85% of the amount of the tax savings, if any, that we realize (or, under certain circumstances, are deemed to realize) as a result of, or atributable to, (i) increases in the tax basis of assets owned directly or indirectly by Hoya Intermediate or its subsidiaries from, among other things, any redemptons or exchanges of Intermediate Units, (ii) existng tax basis (including depreciaton and amortzaton deductons arising from such tax basis) in long-lived assets owned directly or indirectly by Hoya Intermediate and its subsidiaries and (iii) certain other tax benefts (including deductons in respect of imputed interest) related to us making payments under the TRA.</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Amounts payable under the TRA are contngent upon the generaton of future taxable income over the term of the TRA and future changes in tax laws. If we do not generate sufcient taxable income in the aggregate over the term of the TRA to utlize the tax benefts, then we would not be required to make the related payments. As of June 30, 2024, we estmate that the tax savings associated with all tax atributes described above would require us to pay $165.7 million, primarily over the next 15 years. As of June 30, 2024, $3.5 million is due within the next 12 months.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0"/>
        </w:trPr>
        <w:tc>
          <w:tcPr>
            <w:tcW w:w="8160" w:type="dxa"/>
            <w:vAlign w:val="bottom"/>
          </w:tcPr>
          <w:p>
            <w:pPr>
              <w:spacing w:after="0"/>
              <w:rPr>
                <w:sz w:val="20"/>
                <w:szCs w:val="20"/>
                <w:color w:val="auto"/>
              </w:rPr>
            </w:pPr>
            <w:r>
              <w:rPr>
                <w:rFonts w:ascii="Calibri" w:cs="Calibri" w:eastAsia="Calibri" w:hAnsi="Calibri"/>
                <w:sz w:val="18"/>
                <w:szCs w:val="18"/>
                <w:b w:val="1"/>
                <w:bCs w:val="1"/>
                <w:color w:val="auto"/>
              </w:rPr>
              <w:t>Cash Flows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4"/>
        </w:trPr>
        <w:tc>
          <w:tcPr>
            <w:tcW w:w="8160" w:type="dxa"/>
            <w:vAlign w:val="bottom"/>
          </w:tcPr>
          <w:p>
            <w:pPr>
              <w:spacing w:after="0"/>
              <w:rPr>
                <w:sz w:val="20"/>
                <w:szCs w:val="20"/>
                <w:color w:val="auto"/>
              </w:rPr>
            </w:pPr>
            <w:r>
              <w:rPr>
                <w:rFonts w:ascii="Calibri" w:cs="Calibri" w:eastAsia="Calibri" w:hAnsi="Calibri"/>
                <w:sz w:val="18"/>
                <w:szCs w:val="18"/>
                <w:color w:val="auto"/>
              </w:rPr>
              <w:t>The following table summarizes our cash fows (in thousands):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8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gridSpan w:val="5"/>
          </w:tcPr>
          <w:p>
            <w:pPr>
              <w:jc w:val="right"/>
              <w:ind w:right="620"/>
              <w:spacing w:after="0"/>
              <w:rPr>
                <w:sz w:val="20"/>
                <w:szCs w:val="20"/>
                <w:color w:val="auto"/>
              </w:rPr>
            </w:pPr>
            <w:r>
              <w:rPr>
                <w:rFonts w:ascii="Calibri" w:cs="Calibri" w:eastAsia="Calibri" w:hAnsi="Calibri"/>
                <w:sz w:val="18"/>
                <w:szCs w:val="18"/>
                <w:b w:val="1"/>
                <w:bCs w:val="1"/>
                <w:color w:val="auto"/>
              </w:rPr>
              <w:t>Six Months Ended June 30,</w:t>
            </w:r>
          </w:p>
        </w:tc>
      </w:tr>
      <w:tr>
        <w:trPr>
          <w:trHeight w:val="37"/>
        </w:trPr>
        <w:tc>
          <w:tcPr>
            <w:tcW w:w="81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8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90"/>
              <w:spacing w:after="0" w:line="208" w:lineRule="exact"/>
              <w:rPr>
                <w:sz w:val="20"/>
                <w:szCs w:val="20"/>
                <w:color w:val="auto"/>
              </w:rPr>
            </w:pPr>
            <w:r>
              <w:rPr>
                <w:rFonts w:ascii="Calibri" w:cs="Calibri" w:eastAsia="Calibri" w:hAnsi="Calibri"/>
                <w:sz w:val="18"/>
                <w:szCs w:val="18"/>
                <w:b w:val="1"/>
                <w:bCs w:val="1"/>
                <w:color w:val="auto"/>
              </w:rPr>
              <w:t>2024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9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81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cash provided by operatng actvites</w:t>
            </w:r>
          </w:p>
        </w:tc>
        <w:tc>
          <w:tcPr>
            <w:tcW w:w="300" w:type="dxa"/>
            <w:vAlign w:val="bottom"/>
            <w:tcBorders>
              <w:bottom w:val="single" w:sz="8" w:color="CFF0FC"/>
            </w:tcBorders>
            <w:shd w:val="clear" w:color="auto" w:fill="CFF0FC"/>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25,359</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82,670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8160" w:type="dxa"/>
            <w:vAlign w:val="bottom"/>
          </w:tcPr>
          <w:p>
            <w:pPr>
              <w:ind w:left="20"/>
              <w:spacing w:after="0" w:line="215" w:lineRule="exact"/>
              <w:rPr>
                <w:sz w:val="20"/>
                <w:szCs w:val="20"/>
                <w:color w:val="auto"/>
              </w:rPr>
            </w:pPr>
            <w:r>
              <w:rPr>
                <w:rFonts w:ascii="Calibri" w:cs="Calibri" w:eastAsia="Calibri" w:hAnsi="Calibri"/>
                <w:sz w:val="18"/>
                <w:szCs w:val="18"/>
                <w:color w:val="auto"/>
              </w:rPr>
              <w:t>Net cash used in investng actvites</w:t>
            </w:r>
          </w:p>
        </w:tc>
        <w:tc>
          <w:tcPr>
            <w:tcW w:w="300" w:type="dxa"/>
            <w:vAlign w:val="bottom"/>
          </w:tcPr>
          <w:p>
            <w:pPr>
              <w:spacing w:after="0"/>
              <w:rPr>
                <w:sz w:val="18"/>
                <w:szCs w:val="18"/>
                <w:color w:val="auto"/>
              </w:rPr>
            </w:pPr>
          </w:p>
        </w:tc>
        <w:tc>
          <w:tcPr>
            <w:tcW w:w="136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(10,548 )</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(5,583 )</w:t>
            </w:r>
          </w:p>
        </w:tc>
      </w:tr>
      <w:tr>
        <w:trPr>
          <w:trHeight w:val="28"/>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cash provided by (used in) fnancing actvites</w:t>
            </w:r>
          </w:p>
        </w:tc>
        <w:tc>
          <w:tcPr>
            <w:tcW w:w="3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94,716</w:t>
            </w: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(22,503 )</w:t>
            </w:r>
          </w:p>
        </w:tc>
      </w:tr>
      <w:tr>
        <w:trPr>
          <w:trHeight w:val="215"/>
        </w:trPr>
        <w:tc>
          <w:tcPr>
            <w:tcW w:w="8160" w:type="dxa"/>
            <w:vAlign w:val="bottom"/>
          </w:tcPr>
          <w:p>
            <w:pPr>
              <w:ind w:left="20"/>
              <w:spacing w:after="0" w:line="215" w:lineRule="exact"/>
              <w:rPr>
                <w:sz w:val="20"/>
                <w:szCs w:val="20"/>
                <w:color w:val="auto"/>
              </w:rPr>
            </w:pPr>
            <w:r>
              <w:rPr>
                <w:rFonts w:ascii="Calibri" w:cs="Calibri" w:eastAsia="Calibri" w:hAnsi="Calibri"/>
                <w:sz w:val="18"/>
                <w:szCs w:val="18"/>
                <w:color w:val="auto"/>
              </w:rPr>
              <w:t>Impact of foreign exchange on cash, cash equivalents, and restricted cash</w:t>
            </w:r>
          </w:p>
        </w:tc>
        <w:tc>
          <w:tcPr>
            <w:tcW w:w="300" w:type="dxa"/>
            <w:vAlign w:val="bottom"/>
          </w:tcPr>
          <w:p>
            <w:pPr>
              <w:spacing w:after="0"/>
              <w:rPr>
                <w:sz w:val="18"/>
                <w:szCs w:val="18"/>
                <w:color w:val="auto"/>
              </w:rPr>
            </w:pPr>
          </w:p>
        </w:tc>
        <w:tc>
          <w:tcPr>
            <w:tcW w:w="136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(1,536 )</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2"/>
        </w:trPr>
        <w:tc>
          <w:tcPr>
            <w:tcW w:w="81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Net increase in cash, cash equivalents, and restricted cash</w:t>
            </w:r>
          </w:p>
        </w:tc>
        <w:tc>
          <w:tcPr>
            <w:tcW w:w="300" w:type="dxa"/>
            <w:vAlign w:val="bottom"/>
            <w:tcBorders>
              <w:bottom w:val="single" w:sz="8" w:color="CFF0FC"/>
            </w:tcBorders>
            <w:shd w:val="clear" w:color="auto" w:fill="CFF0FC"/>
          </w:tcPr>
          <w:p>
            <w:pPr>
              <w:jc w:val="right"/>
              <w:ind w:right="110"/>
              <w:spacing w:after="0" w:line="208" w:lineRule="exact"/>
              <w:rPr>
                <w:sz w:val="20"/>
                <w:szCs w:val="20"/>
                <w:color w:val="auto"/>
              </w:rPr>
            </w:pPr>
            <w:r>
              <w:rPr>
                <w:rFonts w:ascii="Calibri" w:cs="Calibri" w:eastAsia="Calibri" w:hAnsi="Calibri"/>
                <w:sz w:val="18"/>
                <w:szCs w:val="18"/>
                <w:b w:val="1"/>
                <w:bCs w:val="1"/>
                <w:color w:val="auto"/>
                <w:w w:val="87"/>
              </w:rPr>
              <w:t>$</w:t>
            </w:r>
          </w:p>
        </w:tc>
        <w:tc>
          <w:tcPr>
            <w:tcW w:w="10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107,991</w:t>
            </w:r>
          </w:p>
        </w:tc>
        <w:tc>
          <w:tcPr>
            <w:tcW w:w="3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110"/>
              <w:spacing w:after="0" w:line="208" w:lineRule="exact"/>
              <w:rPr>
                <w:sz w:val="20"/>
                <w:szCs w:val="20"/>
                <w:color w:val="auto"/>
              </w:rPr>
            </w:pPr>
            <w:r>
              <w:rPr>
                <w:rFonts w:ascii="Calibri" w:cs="Calibri" w:eastAsia="Calibri" w:hAnsi="Calibri"/>
                <w:sz w:val="18"/>
                <w:szCs w:val="18"/>
                <w:b w:val="1"/>
                <w:bCs w:val="1"/>
                <w:color w:val="auto"/>
                <w:w w:val="87"/>
              </w:rPr>
              <w:t>$</w:t>
            </w:r>
          </w:p>
        </w:tc>
        <w:tc>
          <w:tcPr>
            <w:tcW w:w="10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54,584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8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Cash Provided by Operatng Actvites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provided by operatng actvites was $25.4 million for the six months ended June 30, 2024 due to $9.5 million in net income, net non-cash charges of $54.0 million and net cash outlows from a $38.2 million change in net operatng assets. The net cash outlows from the change in net operatng assets were primarily due to the tming of receipts and disbursements for accrued expenses and other current liabilites, accounts receivable and inventory.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provided by operatng actvites was $82.7 million for the six months ended June 30, 2023 due to $68.6 million in net income, net non-cash incomes of $5.9 million and net cash infows from a $20.0 million change in net operatng assets. The net cash infows from the change in net operatng assets were primarily due to an increase in accounts payable resultng from seasonal fuctuatons.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Cash Used in Investng Actvites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investng actvites was $10.6 million and $5.6 million for the six months ended June 30, 2024 and 2023, respectvely, which was primarily related to capital spending on development actvites related to our platorm.</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Cash Provided By (Used In) Financing Actvites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provided by fnancing actvites was $94.7 million for the six months ended June 30, 2024, which was primarily related to the refnancing of the February 2022 First Lien Loan with the June 2024 First Lien Loan in June 2024.</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fnancing actvites was $22.5 million for the six months ended June 30, 2023, which was primarily related to the 2022 Repurchase Program and tax distributons to non-controlling interests.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Policies and Estmates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condensed consolidated fnancial statements are prepared in accordance with GAAP, which requires us to make estmates and assumptons that afect the reported amounts of assets, liabilites, revenue, costs and expenses, and related disclosures. On an ongoing basis, we evaluate our estmates and assumptons. Actual results may difer from these estmates under diferent assumptons or conditons. The estmates and assumptons associated with revenue recogniton, equity-based compensaton, warrants and earnouts, recoverability of our goodwill, indefnite-lived intangible assets, defnite-lived intangible assets, long-lived assets and valuaton allowances have the greatest potental impact on our consolidated fnancial statements. Accordingly, these are the policies that are the most critcal to aid in fully understanding and evaluatng our condensed consolidated fnancial statements. See our 2023 Form 10-K for a descripton of our critcal accountng policies and estmates. There have been no material changes to the critcal accountng policies disclosed in our 2023 Form 10-K.</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Accountng Pronouncements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See Note 2, </w:t>
      </w:r>
      <w:r>
        <w:rPr>
          <w:rFonts w:ascii="Calibri" w:cs="Calibri" w:eastAsia="Calibri" w:hAnsi="Calibri"/>
          <w:sz w:val="18"/>
          <w:szCs w:val="18"/>
          <w:i w:val="1"/>
          <w:iCs w:val="1"/>
          <w:color w:val="auto"/>
        </w:rPr>
        <w:t>New Accountng Standards</w:t>
      </w:r>
      <w:r>
        <w:rPr>
          <w:rFonts w:ascii="Calibri" w:cs="Calibri" w:eastAsia="Calibri" w:hAnsi="Calibri"/>
          <w:sz w:val="18"/>
          <w:szCs w:val="18"/>
          <w:color w:val="auto"/>
        </w:rPr>
        <w:t>, to our condensed consolidated fnancial statements included elsewhere in this Report for a descripton of recently adopted accountng pronouncements and issued accountng pronouncements not yet adopted.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 w:name="page40"/>
    <w:bookmarkEnd w:id="39"/>
    <w:p>
      <w:pPr>
        <w:jc w:val="center"/>
        <w:spacing w:after="0"/>
        <w:rPr>
          <w:sz w:val="20"/>
          <w:szCs w:val="20"/>
          <w:color w:val="auto"/>
        </w:rPr>
      </w:pPr>
      <w:r>
        <w:rPr>
          <w:rFonts w:ascii="Calibri" w:cs="Calibri" w:eastAsia="Calibri" w:hAnsi="Calibri"/>
          <w:sz w:val="18"/>
          <w:szCs w:val="18"/>
          <w:b w:val="1"/>
          <w:bCs w:val="1"/>
          <w:color w:val="auto"/>
        </w:rPr>
        <w:t>Item 3. Quanttatve and Qualitatve Disclosures about Market Risk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 risk is the potental loss from adverse changes in interest rates, foreign exchange rates and market prices. Our primary market risk is interest rate risk associated with our long-term debt. We manage our exposure to this risk through established policies and procedures. Our objectve is to mitgate potental income statement, cash fow and market exposures from changes in interest rates.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Rate Risk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market risk is afected by changes in interest rates. The February 2022 First Lien Loan and the June 2024 First Lien Loan both bear a foatng interest rate based on market rates plus an applicable spread. We will be susceptble to fuctuatons in interest rates if we do not hedge the interest rate exposure arising from our foatng-rate debt, which may adversely impact our fnancial results. A hypothetcal 1% change in interest rates, assuming rates are above our interest rate foor, would have impacted our interest expense by $0.7 million and $1.4 million for the three and six months ended June 30, 2024, respectvely, based on amounts outstanding under the February 2022 First Lien Loan and the June 2024 First Lien Loan.</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Foreign Currency Exchange Risk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reportng currency is the U.S. dollar, while certain of our internatonal subsidiaries’ functonal currency is their local currency. Our internatonal revenue, as well as costs and expenses denominated in foreign currencies, expose us to the risk of fuctuatons in foreign currency exchange rates against the U.S. dollar. Accordingly, we are subject to foreign currency risk, which may adversely impact our fnancial results.</w:t>
      </w:r>
    </w:p>
    <w:p>
      <w:pPr>
        <w:spacing w:after="0" w:line="111" w:lineRule="exact"/>
        <w:rPr>
          <w:sz w:val="20"/>
          <w:szCs w:val="20"/>
          <w:color w:val="auto"/>
        </w:rPr>
      </w:pPr>
    </w:p>
    <w:p>
      <w:pPr>
        <w:spacing w:after="0"/>
        <w:rPr>
          <w:sz w:val="20"/>
          <w:szCs w:val="20"/>
          <w:color w:val="auto"/>
        </w:rPr>
      </w:pPr>
      <w:r>
        <w:rPr>
          <w:rFonts w:ascii="Calibri" w:cs="Calibri" w:eastAsia="Calibri" w:hAnsi="Calibri"/>
          <w:sz w:val="17"/>
          <w:szCs w:val="17"/>
          <w:color w:val="auto"/>
        </w:rPr>
        <w:t>We are also exposed to foreign exchange rate fuctuatons as we translate the fnancial statements of our foreign subsidiaries into U.S. dollars in consolidaton.</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not entered into derivatve or hedging transactons, but we may do so in the future if our exposure to foreign currency becomes more signifcant.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Due to fuctuatons in exchange rates resultng from the current macroeconomic environment, we may experience negatve impacts on the translaton adjustments resultng from the conversion of the fnancial statements of our foreign subsidiaries into U.S. dollars, as well as the revaluaton adjustments on U.S. dollar denominated intercompany loans. Our foreign currency translaton adjustment included in the Condensed Consolidated Statements of Comprehensive Income (Loss) resulted in losses of $1.3 million and $3.1 million for the three and six months ended June 30, 2024, respectvely. As of June 30, 2024, a hypothetcal 10% change in foreign currency exchange rates applicable to our business would have impacted our foreign currency revaluaton gain or loss, which is refected in the Condensed Consolidated Statements of Operatons, by $4.2 million.</w:t>
      </w:r>
    </w:p>
    <w:p>
      <w:pPr>
        <w:spacing w:after="0" w:line="108" w:lineRule="exact"/>
        <w:rPr>
          <w:sz w:val="20"/>
          <w:szCs w:val="20"/>
          <w:color w:val="auto"/>
        </w:rPr>
      </w:pPr>
    </w:p>
    <w:p>
      <w:pPr>
        <w:ind w:left="4460"/>
        <w:spacing w:after="0"/>
        <w:rPr>
          <w:sz w:val="20"/>
          <w:szCs w:val="20"/>
          <w:color w:val="auto"/>
        </w:rPr>
      </w:pPr>
      <w:r>
        <w:rPr>
          <w:rFonts w:ascii="Calibri" w:cs="Calibri" w:eastAsia="Calibri" w:hAnsi="Calibri"/>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Limitatons on Efectveness of Disclosure Controls and Procedures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designing and evaluatng our disclosure controls and procedures, management recognizes that any controls and procedures, no mater how well designed and operated, can provide only reasonable assurance of achieving the desired control objectves. In additon, the design of disclosure controls and procedures must refect the fact that there are resource constraints and that management is required to apply judgment in evaluatng the benefts of possible controls and procedures relatve to their costs.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Evaluaton of Disclosure Controls and Procedures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Disclosure controls and procedures (as defned in Rules 13a-15(e) and 15d-15(e) under the Exchange Act) are designed to ensure that informaton required to be disclosed in reports fled or submited under the Exchange Act is recorded, processed, summarized, and reported within the tme periods specifed in the SEC rules and forms, and that such informaton is accumulated and communicated to management, including our principal executve and principal fnancial ofcers, as appropriate, to allow tmely decisions regarding required disclosures.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management, with the partcipaton of our principal executve and principal fnancial ofcers, has evaluated the efectveness of our disclosure controls and procedures (as defned in Rules 13a-15(e) and 15d-15(e) under the Exchange Act) as of the end of the period covered by this Report. Based on such evaluaton, our principal executve and principal fnancial ofcers concluded that our disclosure controls and procedures were not efectve at the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 w:name="page41"/>
    <w:bookmarkEnd w:id="40"/>
    <w:p>
      <w:pPr>
        <w:ind w:right="1240"/>
        <w:spacing w:after="0" w:line="348" w:lineRule="auto"/>
        <w:rPr>
          <w:sz w:val="20"/>
          <w:szCs w:val="20"/>
          <w:color w:val="auto"/>
        </w:rPr>
      </w:pPr>
      <w:r>
        <w:rPr>
          <w:rFonts w:ascii="Calibri" w:cs="Calibri" w:eastAsia="Calibri" w:hAnsi="Calibri"/>
          <w:sz w:val="18"/>
          <w:szCs w:val="18"/>
          <w:color w:val="auto"/>
        </w:rPr>
        <w:t xml:space="preserve">reasonable assurance level as of June 30, 2024 due to the material weakness in our internal control over fnancial reportng described below. </w:t>
      </w:r>
      <w:r>
        <w:rPr>
          <w:rFonts w:ascii="Calibri" w:cs="Calibri" w:eastAsia="Calibri" w:hAnsi="Calibri"/>
          <w:sz w:val="18"/>
          <w:szCs w:val="18"/>
          <w:i w:val="1"/>
          <w:iCs w:val="1"/>
          <w:color w:val="auto"/>
        </w:rPr>
        <w:t>Material Weakness</w:t>
      </w:r>
    </w:p>
    <w:p>
      <w:pPr>
        <w:spacing w:after="0" w:line="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audit of our consolidated fnancial statements as of December 31, 2023, 2022 and 2021, we identfed a material weakness in our internal control over fnancial reportng related to the implementaton of segregaton of dutes as part of our control actvites, the establishment of clearly defned roles within our fnance and accountng functons and the number of personnel in those functons with an appropriate level of technical accountng and SEC reportng experience which, in the aggregate, consttute a material weakness.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Remediaton Actvites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contnue to strengthen our internal control over fnancial reportng and are commited to ensuring that such controls are designed and operatng efectvely. During the three months ended June 30, 2024, we contnued to review our internal control procedures, to implement new controls and processes, to hire additonal qualifed personnel and to establish more robust processes to support our internal control over fnancial reportng, including by creatng clearly defned roles and responsibilites and the appropriate segregaton of dutes. These actons are contnuing to be validated through testng and, when fully implemented, we believe they will be efectve in remediatng the material weakness. However, additonal tme is required to complete implementng the enhanced procedures and to test and ensure the efectveness and sustainability of the improved controls. The material weakness will not be considered remediated untl the applicable controls have been in place and operatng for a sufcient period of tme and management has concluded, through testng, that these controls are efectve. We contnue to devote signifcant tme and atenton to these eforts.</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Changes in Internal Control over Financial Reportng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Except with respect to the contnuing remediaton actvites described above, there were no changes in our internal control over fnancial reportng (as defned in Rules 13a-15(f) and 15d-15(f) under the Exchange Act) during the quarter ended June 30, 2024 that have materially afected, or are reasonably likely to materially afect, our internal control over fnancial reportng. We are contnuing to review the internal control structures of Wavedash and Vegas.com and, if necessary, will make appropriate changes as we contnue to integrate such businesses into our overall internal control over fnancial reportng.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ind w:left="4680"/>
        <w:spacing w:after="0"/>
        <w:rPr>
          <w:sz w:val="20"/>
          <w:szCs w:val="20"/>
          <w:color w:val="auto"/>
        </w:rPr>
      </w:pPr>
      <w:r>
        <w:rPr>
          <w:rFonts w:ascii="Calibri" w:cs="Calibri" w:eastAsia="Calibri" w:hAnsi="Calibri"/>
          <w:sz w:val="18"/>
          <w:szCs w:val="18"/>
          <w:b w:val="1"/>
          <w:bCs w:val="1"/>
          <w:color w:val="auto"/>
        </w:rPr>
        <w:t xml:space="preserve">Part II </w:t>
      </w:r>
      <w:r>
        <w:rPr>
          <w:rFonts w:ascii="Times New Roman" w:cs="Times New Roman" w:eastAsia="Times New Roman" w:hAnsi="Times New Roman"/>
          <w:sz w:val="18"/>
          <w:szCs w:val="18"/>
          <w:b w:val="1"/>
          <w:bCs w:val="1"/>
          <w:color w:val="auto"/>
        </w:rPr>
        <w:t>-</w:t>
      </w:r>
      <w:r>
        <w:rPr>
          <w:rFonts w:ascii="Calibri" w:cs="Calibri" w:eastAsia="Calibri" w:hAnsi="Calibri"/>
          <w:sz w:val="18"/>
          <w:szCs w:val="18"/>
          <w:b w:val="1"/>
          <w:bCs w:val="1"/>
          <w:color w:val="auto"/>
        </w:rPr>
        <w:t xml:space="preserve"> Other Informaton</w:t>
      </w:r>
    </w:p>
    <w:p>
      <w:pPr>
        <w:spacing w:after="0" w:line="113" w:lineRule="exact"/>
        <w:rPr>
          <w:sz w:val="20"/>
          <w:szCs w:val="20"/>
          <w:color w:val="auto"/>
        </w:rPr>
      </w:pPr>
    </w:p>
    <w:p>
      <w:pPr>
        <w:ind w:left="4700"/>
        <w:spacing w:after="0"/>
        <w:rPr>
          <w:sz w:val="20"/>
          <w:szCs w:val="20"/>
          <w:color w:val="auto"/>
        </w:rPr>
      </w:pPr>
      <w:r>
        <w:rPr>
          <w:rFonts w:ascii="Calibri" w:cs="Calibri" w:eastAsia="Calibri" w:hAnsi="Calibri"/>
          <w:sz w:val="18"/>
          <w:szCs w:val="18"/>
          <w:b w:val="1"/>
          <w:bCs w:val="1"/>
          <w:color w:val="auto"/>
        </w:rPr>
        <w:t>Item 1. Legal Proceedings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1A. Risk Factors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the other informaton set forth in this Report, you should carefully consider the risks and uncertaintes discussed in the “Risk Factors” secton of our 2023 Form 10-K. These risks and uncertaintes could cause actual results to difer materially from historical results or the results contemplated by the forward-looking statements contained in this Report. There have been no material changes to the risk factors disclosed in our 2023 Form 10-K.</w:t>
      </w:r>
    </w:p>
    <w:p>
      <w:pPr>
        <w:spacing w:after="0" w:line="111" w:lineRule="exact"/>
        <w:rPr>
          <w:sz w:val="20"/>
          <w:szCs w:val="20"/>
          <w:color w:val="auto"/>
        </w:rPr>
      </w:pPr>
    </w:p>
    <w:p>
      <w:pPr>
        <w:ind w:right="3180" w:firstLine="3188"/>
        <w:spacing w:after="0" w:line="348" w:lineRule="auto"/>
        <w:rPr>
          <w:sz w:val="20"/>
          <w:szCs w:val="20"/>
          <w:color w:val="auto"/>
        </w:rPr>
      </w:pPr>
      <w:r>
        <w:rPr>
          <w:rFonts w:ascii="Calibri" w:cs="Calibri" w:eastAsia="Calibri" w:hAnsi="Calibri"/>
          <w:sz w:val="18"/>
          <w:szCs w:val="18"/>
          <w:b w:val="1"/>
          <w:bCs w:val="1"/>
          <w:color w:val="auto"/>
        </w:rPr>
        <w:t xml:space="preserve">Item 2. Unregistered Sales of Equity Securites and Use of Proceeds </w:t>
      </w:r>
      <w:r>
        <w:rPr>
          <w:rFonts w:ascii="Calibri" w:cs="Calibri" w:eastAsia="Calibri" w:hAnsi="Calibri"/>
          <w:sz w:val="18"/>
          <w:szCs w:val="18"/>
          <w:i w:val="1"/>
          <w:iCs w:val="1"/>
          <w:color w:val="auto"/>
        </w:rPr>
        <w:t>Purchases of Equity Securites by the Issuer and Afliated Purchasers</w:t>
      </w:r>
    </w:p>
    <w:p>
      <w:pPr>
        <w:spacing w:after="0" w:line="11"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following table provides informaton about repurchases of our common stock during the three months ended June 30, 2024 (in thousands, except share and per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Total Number of Shares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2"/>
          </w:tcPr>
          <w:p>
            <w:pPr>
              <w:jc w:val="center"/>
              <w:ind w:right="280"/>
              <w:spacing w:after="0"/>
              <w:rPr>
                <w:sz w:val="20"/>
                <w:szCs w:val="20"/>
                <w:color w:val="auto"/>
              </w:rPr>
            </w:pPr>
            <w:r>
              <w:rPr>
                <w:rFonts w:ascii="Calibri" w:cs="Calibri" w:eastAsia="Calibri" w:hAnsi="Calibri"/>
                <w:sz w:val="18"/>
                <w:szCs w:val="18"/>
                <w:b w:val="1"/>
                <w:bCs w:val="1"/>
                <w:color w:val="auto"/>
                <w:w w:val="96"/>
              </w:rPr>
              <w:t>Approximate Dollar Value of</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Purchased As Part of</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2"/>
          </w:tcPr>
          <w:p>
            <w:pPr>
              <w:jc w:val="center"/>
              <w:ind w:right="280"/>
              <w:spacing w:after="0" w:line="216" w:lineRule="exact"/>
              <w:rPr>
                <w:sz w:val="20"/>
                <w:szCs w:val="20"/>
                <w:color w:val="auto"/>
              </w:rPr>
            </w:pPr>
            <w:r>
              <w:rPr>
                <w:rFonts w:ascii="Calibri" w:cs="Calibri" w:eastAsia="Calibri" w:hAnsi="Calibri"/>
                <w:sz w:val="18"/>
                <w:szCs w:val="18"/>
                <w:b w:val="1"/>
                <w:bCs w:val="1"/>
                <w:color w:val="auto"/>
                <w:w w:val="96"/>
              </w:rPr>
              <w:t>Shares That May Yet Be</w:t>
            </w:r>
          </w:p>
        </w:tc>
      </w:tr>
      <w:tr>
        <w:trPr>
          <w:trHeight w:val="193"/>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ind w:right="170"/>
              <w:spacing w:after="0" w:line="193" w:lineRule="exact"/>
              <w:rPr>
                <w:sz w:val="20"/>
                <w:szCs w:val="20"/>
                <w:color w:val="auto"/>
              </w:rPr>
            </w:pPr>
            <w:r>
              <w:rPr>
                <w:rFonts w:ascii="Calibri" w:cs="Calibri" w:eastAsia="Calibri" w:hAnsi="Calibri"/>
                <w:sz w:val="18"/>
                <w:szCs w:val="18"/>
                <w:b w:val="1"/>
                <w:bCs w:val="1"/>
                <w:color w:val="auto"/>
              </w:rPr>
              <w:t>Total Number of</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90"/>
              <w:spacing w:after="0" w:line="193" w:lineRule="exact"/>
              <w:rPr>
                <w:sz w:val="20"/>
                <w:szCs w:val="20"/>
                <w:color w:val="auto"/>
              </w:rPr>
            </w:pPr>
            <w:r>
              <w:rPr>
                <w:rFonts w:ascii="Calibri" w:cs="Calibri" w:eastAsia="Calibri" w:hAnsi="Calibri"/>
                <w:sz w:val="18"/>
                <w:szCs w:val="18"/>
                <w:b w:val="1"/>
                <w:bCs w:val="1"/>
                <w:color w:val="auto"/>
                <w:w w:val="97"/>
              </w:rPr>
              <w:t>Average Price Paid</w:t>
            </w:r>
          </w:p>
        </w:tc>
        <w:tc>
          <w:tcPr>
            <w:tcW w:w="260" w:type="dxa"/>
            <w:vAlign w:val="bottom"/>
          </w:tcPr>
          <w:p>
            <w:pPr>
              <w:spacing w:after="0"/>
              <w:rPr>
                <w:sz w:val="16"/>
                <w:szCs w:val="16"/>
                <w:color w:val="auto"/>
              </w:rPr>
            </w:pPr>
          </w:p>
        </w:tc>
        <w:tc>
          <w:tcPr>
            <w:tcW w:w="2200" w:type="dxa"/>
            <w:vAlign w:val="bottom"/>
          </w:tcPr>
          <w:p>
            <w:pPr>
              <w:jc w:val="center"/>
              <w:spacing w:after="0" w:line="193" w:lineRule="exact"/>
              <w:rPr>
                <w:sz w:val="20"/>
                <w:szCs w:val="20"/>
                <w:color w:val="auto"/>
              </w:rPr>
            </w:pPr>
            <w:r>
              <w:rPr>
                <w:rFonts w:ascii="Calibri" w:cs="Calibri" w:eastAsia="Calibri" w:hAnsi="Calibri"/>
                <w:sz w:val="18"/>
                <w:szCs w:val="18"/>
                <w:b w:val="1"/>
                <w:bCs w:val="1"/>
                <w:color w:val="auto"/>
                <w:w w:val="97"/>
              </w:rPr>
              <w:t>Publicly Announced</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2"/>
          </w:tcPr>
          <w:p>
            <w:pPr>
              <w:jc w:val="center"/>
              <w:ind w:right="260"/>
              <w:spacing w:after="0" w:line="193" w:lineRule="exact"/>
              <w:rPr>
                <w:sz w:val="20"/>
                <w:szCs w:val="20"/>
                <w:color w:val="auto"/>
              </w:rPr>
            </w:pPr>
            <w:r>
              <w:rPr>
                <w:rFonts w:ascii="Calibri" w:cs="Calibri" w:eastAsia="Calibri" w:hAnsi="Calibri"/>
                <w:sz w:val="18"/>
                <w:szCs w:val="18"/>
                <w:b w:val="1"/>
                <w:bCs w:val="1"/>
                <w:color w:val="auto"/>
                <w:w w:val="97"/>
              </w:rPr>
              <w:t>Purchased Under the Plans or</w:t>
            </w:r>
          </w:p>
        </w:tc>
      </w:tr>
      <w:tr>
        <w:trPr>
          <w:trHeight w:val="276"/>
        </w:trPr>
        <w:tc>
          <w:tcPr>
            <w:tcW w:w="2040" w:type="dxa"/>
            <w:vAlign w:val="bottom"/>
            <w:tcBorders>
              <w:bottom w:val="single" w:sz="8" w:color="auto"/>
            </w:tcBorders>
          </w:tcPr>
          <w:p>
            <w:pPr>
              <w:ind w:left="780"/>
              <w:spacing w:after="0"/>
              <w:rPr>
                <w:sz w:val="20"/>
                <w:szCs w:val="20"/>
                <w:color w:val="auto"/>
              </w:rPr>
            </w:pPr>
            <w:r>
              <w:rPr>
                <w:rFonts w:ascii="Calibri" w:cs="Calibri" w:eastAsia="Calibri" w:hAnsi="Calibri"/>
                <w:sz w:val="18"/>
                <w:szCs w:val="18"/>
                <w:b w:val="1"/>
                <w:bCs w:val="1"/>
                <w:color w:val="auto"/>
              </w:rPr>
              <w:t>Period</w:t>
            </w:r>
          </w:p>
        </w:tc>
        <w:tc>
          <w:tcPr>
            <w:tcW w:w="120" w:type="dxa"/>
            <w:vAlign w:val="bottom"/>
          </w:tcPr>
          <w:p>
            <w:pPr>
              <w:spacing w:after="0"/>
              <w:rPr>
                <w:sz w:val="24"/>
                <w:szCs w:val="24"/>
                <w:color w:val="auto"/>
              </w:rPr>
            </w:pPr>
          </w:p>
        </w:tc>
        <w:tc>
          <w:tcPr>
            <w:tcW w:w="1720" w:type="dxa"/>
            <w:vAlign w:val="bottom"/>
            <w:tcBorders>
              <w:bottom w:val="single" w:sz="8" w:color="auto"/>
            </w:tcBorders>
          </w:tcPr>
          <w:p>
            <w:pPr>
              <w:jc w:val="right"/>
              <w:ind w:right="130"/>
              <w:spacing w:after="0"/>
              <w:rPr>
                <w:sz w:val="20"/>
                <w:szCs w:val="20"/>
                <w:color w:val="auto"/>
              </w:rPr>
            </w:pPr>
            <w:r>
              <w:rPr>
                <w:rFonts w:ascii="Calibri" w:cs="Calibri" w:eastAsia="Calibri" w:hAnsi="Calibri"/>
                <w:sz w:val="18"/>
                <w:szCs w:val="18"/>
                <w:b w:val="1"/>
                <w:bCs w:val="1"/>
                <w:color w:val="auto"/>
              </w:rPr>
              <w:t>Shares Purchased</w:t>
            </w: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350"/>
              <w:spacing w:after="0" w:line="276" w:lineRule="exact"/>
              <w:rPr>
                <w:sz w:val="20"/>
                <w:szCs w:val="20"/>
                <w:color w:val="auto"/>
              </w:rPr>
            </w:pPr>
            <w:r>
              <w:rPr>
                <w:rFonts w:ascii="Calibri" w:cs="Calibri" w:eastAsia="Calibri" w:hAnsi="Calibri"/>
                <w:sz w:val="18"/>
                <w:szCs w:val="18"/>
                <w:b w:val="1"/>
                <w:bCs w:val="1"/>
                <w:color w:val="auto"/>
              </w:rPr>
              <w:t>Per Share</w:t>
            </w:r>
            <w:r>
              <w:rPr>
                <w:rFonts w:ascii="Calibri" w:cs="Calibri" w:eastAsia="Calibri" w:hAnsi="Calibri"/>
                <w:sz w:val="24"/>
                <w:szCs w:val="24"/>
                <w:b w:val="1"/>
                <w:bCs w:val="1"/>
                <w:color w:val="auto"/>
                <w:vertAlign w:val="superscript"/>
              </w:rPr>
              <w:t>(1)</w:t>
            </w:r>
          </w:p>
        </w:tc>
        <w:tc>
          <w:tcPr>
            <w:tcW w:w="260" w:type="dxa"/>
            <w:vAlign w:val="bottom"/>
          </w:tcPr>
          <w:p>
            <w:pPr>
              <w:spacing w:after="0"/>
              <w:rPr>
                <w:sz w:val="24"/>
                <w:szCs w:val="24"/>
                <w:color w:val="auto"/>
              </w:rPr>
            </w:pPr>
          </w:p>
        </w:tc>
        <w:tc>
          <w:tcPr>
            <w:tcW w:w="2200" w:type="dxa"/>
            <w:vAlign w:val="bottom"/>
            <w:tcBorders>
              <w:bottom w:val="single" w:sz="8" w:color="auto"/>
            </w:tcBorders>
          </w:tcPr>
          <w:p>
            <w:pPr>
              <w:jc w:val="center"/>
              <w:spacing w:after="0"/>
              <w:rPr>
                <w:sz w:val="20"/>
                <w:szCs w:val="20"/>
                <w:color w:val="auto"/>
              </w:rPr>
            </w:pPr>
            <w:r>
              <w:rPr>
                <w:rFonts w:ascii="Calibri" w:cs="Calibri" w:eastAsia="Calibri" w:hAnsi="Calibri"/>
                <w:sz w:val="18"/>
                <w:szCs w:val="18"/>
                <w:b w:val="1"/>
                <w:bCs w:val="1"/>
                <w:color w:val="auto"/>
                <w:w w:val="97"/>
              </w:rPr>
              <w:t>Plans or Programs</w:t>
            </w: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center"/>
              <w:ind w:right="50"/>
              <w:spacing w:after="0" w:line="276" w:lineRule="exact"/>
              <w:rPr>
                <w:sz w:val="20"/>
                <w:szCs w:val="20"/>
                <w:color w:val="auto"/>
              </w:rPr>
            </w:pPr>
            <w:r>
              <w:rPr>
                <w:rFonts w:ascii="Calibri" w:cs="Calibri" w:eastAsia="Calibri" w:hAnsi="Calibri"/>
                <w:sz w:val="18"/>
                <w:szCs w:val="18"/>
                <w:b w:val="1"/>
                <w:bCs w:val="1"/>
                <w:color w:val="auto"/>
                <w:w w:val="91"/>
              </w:rPr>
              <w:t>Programs</w:t>
            </w:r>
            <w:r>
              <w:rPr>
                <w:rFonts w:ascii="Calibri" w:cs="Calibri" w:eastAsia="Calibri" w:hAnsi="Calibri"/>
                <w:sz w:val="24"/>
                <w:szCs w:val="24"/>
                <w:b w:val="1"/>
                <w:bCs w:val="1"/>
                <w:color w:val="auto"/>
                <w:w w:val="91"/>
                <w:vertAlign w:val="superscript"/>
              </w:rPr>
              <w:t>(2)</w:t>
            </w:r>
          </w:p>
        </w:tc>
        <w:tc>
          <w:tcPr>
            <w:tcW w:w="100" w:type="dxa"/>
            <w:vAlign w:val="bottom"/>
          </w:tcPr>
          <w:p>
            <w:pPr>
              <w:spacing w:after="0"/>
              <w:rPr>
                <w:sz w:val="24"/>
                <w:szCs w:val="24"/>
                <w:color w:val="auto"/>
              </w:rPr>
            </w:pPr>
          </w:p>
        </w:tc>
      </w:tr>
      <w:tr>
        <w:trPr>
          <w:trHeight w:val="217"/>
        </w:trPr>
        <w:tc>
          <w:tcPr>
            <w:tcW w:w="20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April 1-30, 2024</w:t>
            </w:r>
          </w:p>
        </w:tc>
        <w:tc>
          <w:tcPr>
            <w:tcW w:w="184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2,743,656</w:t>
            </w:r>
          </w:p>
        </w:tc>
        <w:tc>
          <w:tcPr>
            <w:tcW w:w="4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5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5.79</w:t>
            </w:r>
          </w:p>
        </w:tc>
        <w:tc>
          <w:tcPr>
            <w:tcW w:w="24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2,743,656</w:t>
            </w:r>
          </w:p>
        </w:tc>
        <w:tc>
          <w:tcPr>
            <w:tcW w:w="42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23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2040" w:type="dxa"/>
            <w:vAlign w:val="bottom"/>
          </w:tcPr>
          <w:p>
            <w:pPr>
              <w:ind w:left="20"/>
              <w:spacing w:after="0" w:line="215" w:lineRule="exact"/>
              <w:rPr>
                <w:sz w:val="20"/>
                <w:szCs w:val="20"/>
                <w:color w:val="auto"/>
              </w:rPr>
            </w:pPr>
            <w:r>
              <w:rPr>
                <w:rFonts w:ascii="Calibri" w:cs="Calibri" w:eastAsia="Calibri" w:hAnsi="Calibri"/>
                <w:sz w:val="18"/>
                <w:szCs w:val="18"/>
                <w:color w:val="auto"/>
              </w:rPr>
              <w:t>May 1-31, 2024</w:t>
            </w:r>
          </w:p>
        </w:tc>
        <w:tc>
          <w:tcPr>
            <w:tcW w:w="120" w:type="dxa"/>
            <w:vAlign w:val="bottom"/>
          </w:tcPr>
          <w:p>
            <w:pPr>
              <w:spacing w:after="0"/>
              <w:rPr>
                <w:sz w:val="18"/>
                <w:szCs w:val="18"/>
                <w:color w:val="auto"/>
              </w:rPr>
            </w:pPr>
          </w:p>
        </w:tc>
        <w:tc>
          <w:tcPr>
            <w:tcW w:w="17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2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right"/>
              <w:spacing w:after="0" w:line="215" w:lineRule="exact"/>
              <w:rPr>
                <w:sz w:val="20"/>
                <w:szCs w:val="20"/>
                <w:color w:val="auto"/>
              </w:rPr>
            </w:pPr>
            <w:r>
              <w:rPr>
                <w:rFonts w:ascii="Calibri" w:cs="Calibri" w:eastAsia="Calibri" w:hAnsi="Calibri"/>
                <w:sz w:val="18"/>
                <w:szCs w:val="18"/>
                <w:color w:val="auto"/>
              </w:rPr>
              <w:t>80,000</w:t>
            </w:r>
          </w:p>
        </w:tc>
        <w:tc>
          <w:tcPr>
            <w:tcW w:w="100" w:type="dxa"/>
            <w:vAlign w:val="bottom"/>
          </w:tcPr>
          <w:p>
            <w:pPr>
              <w:spacing w:after="0"/>
              <w:rPr>
                <w:sz w:val="18"/>
                <w:szCs w:val="18"/>
                <w:color w:val="auto"/>
              </w:rPr>
            </w:pPr>
          </w:p>
        </w:tc>
      </w:tr>
      <w:tr>
        <w:trPr>
          <w:trHeight w:val="28"/>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20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June 1-30, 2024</w:t>
            </w:r>
          </w:p>
        </w:tc>
        <w:tc>
          <w:tcPr>
            <w:tcW w:w="12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80,000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04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Total</w:t>
            </w:r>
          </w:p>
        </w:tc>
        <w:tc>
          <w:tcPr>
            <w:tcW w:w="120" w:type="dxa"/>
            <w:vAlign w:val="bottom"/>
            <w:tcBorders>
              <w:top w:val="single" w:sz="8" w:color="CFF0FC"/>
            </w:tcBorders>
          </w:tcPr>
          <w:p>
            <w:pPr>
              <w:spacing w:after="0"/>
              <w:rPr>
                <w:sz w:val="20"/>
                <w:szCs w:val="20"/>
                <w:color w:val="auto"/>
              </w:rPr>
            </w:pPr>
          </w:p>
        </w:tc>
        <w:tc>
          <w:tcPr>
            <w:tcW w:w="17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2,743,656</w:t>
            </w: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5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5.79</w:t>
            </w:r>
          </w:p>
        </w:tc>
        <w:tc>
          <w:tcPr>
            <w:tcW w:w="260" w:type="dxa"/>
            <w:vAlign w:val="bottom"/>
            <w:tcBorders>
              <w:top w:val="single" w:sz="8" w:color="CFF0FC"/>
            </w:tcBorders>
          </w:tcPr>
          <w:p>
            <w:pPr>
              <w:spacing w:after="0"/>
              <w:rPr>
                <w:sz w:val="20"/>
                <w:szCs w:val="20"/>
                <w:color w:val="auto"/>
              </w:rPr>
            </w:pPr>
          </w:p>
        </w:tc>
        <w:tc>
          <w:tcPr>
            <w:tcW w:w="22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2,743,656</w:t>
            </w: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23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80,000</w:t>
            </w:r>
          </w:p>
        </w:tc>
        <w:tc>
          <w:tcPr>
            <w:tcW w:w="100" w:type="dxa"/>
            <w:vAlign w:val="bottom"/>
            <w:tcBorders>
              <w:top w:val="single" w:sz="8" w:color="CFF0FC"/>
            </w:tcBorders>
          </w:tcPr>
          <w:p>
            <w:pPr>
              <w:spacing w:after="0"/>
              <w:rPr>
                <w:sz w:val="20"/>
                <w:szCs w:val="20"/>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-187960</wp:posOffset>
            </wp:positionV>
            <wp:extent cx="7747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-187960</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ind w:left="320" w:hanging="312"/>
        <w:spacing w:after="0"/>
        <w:tabs>
          <w:tab w:leader="none" w:pos="32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Excludes brokerage commissions and other costs of executon.</w:t>
      </w:r>
    </w:p>
    <w:p>
      <w:pPr>
        <w:spacing w:after="0" w:line="109" w:lineRule="exact"/>
        <w:rPr>
          <w:rFonts w:ascii="Calibri" w:cs="Calibri" w:eastAsia="Calibri" w:hAnsi="Calibri"/>
          <w:sz w:val="18"/>
          <w:szCs w:val="18"/>
          <w:color w:val="auto"/>
        </w:rPr>
      </w:pPr>
    </w:p>
    <w:p>
      <w:pPr>
        <w:jc w:val="both"/>
        <w:ind w:left="300" w:hanging="292"/>
        <w:spacing w:after="0" w:line="235" w:lineRule="auto"/>
        <w:tabs>
          <w:tab w:leader="none" w:pos="318"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On February 29, 2024, our Board authorized the 2024 Repurchase Program for up to $100.0 million of our Class A common stock. The 2024 Repurchase Program was publicly announced on March 5, 2024, does not have a fxed expiraton date and does not obligate us to purchase any minimum number of shares. Under the 2024 Repurchase Program, we may repurchase shares in privately negotated or open market transactons, including under plans complying with Rule 10b5-1 under the Exchange Act.</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3. Defaults Upon Senior Securites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4. Mine Safety Disclosures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Item 5. Other Informaton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0"/>
        </w:trPr>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18"/>
          </w:tcPr>
          <w:p>
            <w:pPr>
              <w:ind w:left="380"/>
              <w:spacing w:after="0"/>
              <w:rPr>
                <w:sz w:val="20"/>
                <w:szCs w:val="20"/>
                <w:color w:val="auto"/>
              </w:rPr>
            </w:pPr>
            <w:r>
              <w:rPr>
                <w:rFonts w:ascii="Calibri" w:cs="Calibri" w:eastAsia="Calibri" w:hAnsi="Calibri"/>
                <w:sz w:val="18"/>
                <w:szCs w:val="18"/>
                <w:b w:val="1"/>
                <w:bCs w:val="1"/>
                <w:color w:val="auto"/>
              </w:rPr>
              <w:t>Item 6. Exhibits</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3"/>
          </w:tcPr>
          <w:p>
            <w:pPr>
              <w:ind w:left="380"/>
              <w:spacing w:after="0"/>
              <w:rPr>
                <w:sz w:val="20"/>
                <w:szCs w:val="20"/>
                <w:color w:val="auto"/>
              </w:rPr>
            </w:pPr>
            <w:r>
              <w:rPr>
                <w:rFonts w:ascii="Calibri" w:cs="Calibri" w:eastAsia="Calibri" w:hAnsi="Calibri"/>
                <w:sz w:val="18"/>
                <w:szCs w:val="18"/>
                <w:b w:val="1"/>
                <w:bCs w:val="1"/>
                <w:color w:val="auto"/>
              </w:rPr>
              <w:t>Incorporated by Reference</w:t>
            </w:r>
          </w:p>
        </w:tc>
        <w:tc>
          <w:tcPr>
            <w:tcW w:w="1120" w:type="dxa"/>
            <w:vAlign w:val="bottom"/>
          </w:tcPr>
          <w:p>
            <w:pPr>
              <w:jc w:val="center"/>
              <w:spacing w:after="0"/>
              <w:rPr>
                <w:sz w:val="20"/>
                <w:szCs w:val="20"/>
                <w:color w:val="auto"/>
              </w:rPr>
            </w:pPr>
            <w:r>
              <w:rPr>
                <w:rFonts w:ascii="Calibri" w:cs="Calibri" w:eastAsia="Calibri" w:hAnsi="Calibri"/>
                <w:sz w:val="18"/>
                <w:szCs w:val="18"/>
                <w:b w:val="1"/>
                <w:bCs w:val="1"/>
                <w:color w:val="auto"/>
              </w:rPr>
              <w:t>Filed /</w:t>
            </w:r>
          </w:p>
        </w:tc>
        <w:tc>
          <w:tcPr>
            <w:tcW w:w="0" w:type="dxa"/>
            <w:vAlign w:val="bottom"/>
          </w:tcPr>
          <w:p>
            <w:pPr>
              <w:spacing w:after="0"/>
              <w:rPr>
                <w:sz w:val="1"/>
                <w:szCs w:val="1"/>
                <w:color w:val="auto"/>
              </w:rPr>
            </w:pPr>
          </w:p>
        </w:tc>
      </w:tr>
      <w:tr>
        <w:trPr>
          <w:trHeight w:val="132"/>
        </w:trPr>
        <w:tc>
          <w:tcPr>
            <w:tcW w:w="1040" w:type="dxa"/>
            <w:vAlign w:val="bottom"/>
            <w:vMerge w:val="restart"/>
          </w:tcPr>
          <w:p>
            <w:pPr>
              <w:ind w:left="20"/>
              <w:spacing w:after="0" w:line="216" w:lineRule="exact"/>
              <w:rPr>
                <w:sz w:val="20"/>
                <w:szCs w:val="20"/>
                <w:color w:val="auto"/>
              </w:rPr>
            </w:pPr>
            <w:r>
              <w:rPr>
                <w:rFonts w:ascii="Calibri" w:cs="Calibri" w:eastAsia="Calibri" w:hAnsi="Calibri"/>
                <w:sz w:val="18"/>
                <w:szCs w:val="18"/>
                <w:b w:val="1"/>
                <w:bCs w:val="1"/>
                <w:color w:val="auto"/>
              </w:rPr>
              <w:t>Exhibit</w:t>
            </w: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120" w:type="dxa"/>
            <w:vAlign w:val="bottom"/>
            <w:vMerge w:val="restart"/>
          </w:tcPr>
          <w:p>
            <w:pPr>
              <w:jc w:val="center"/>
              <w:spacing w:after="0" w:line="216" w:lineRule="exact"/>
              <w:rPr>
                <w:sz w:val="20"/>
                <w:szCs w:val="20"/>
                <w:color w:val="auto"/>
              </w:rPr>
            </w:pPr>
            <w:r>
              <w:rPr>
                <w:rFonts w:ascii="Calibri" w:cs="Calibri" w:eastAsia="Calibri" w:hAnsi="Calibri"/>
                <w:sz w:val="18"/>
                <w:szCs w:val="18"/>
                <w:b w:val="1"/>
                <w:bCs w:val="1"/>
                <w:color w:val="auto"/>
                <w:w w:val="97"/>
              </w:rPr>
              <w:t>Furnished</w:t>
            </w:r>
          </w:p>
        </w:tc>
        <w:tc>
          <w:tcPr>
            <w:tcW w:w="0" w:type="dxa"/>
            <w:vAlign w:val="bottom"/>
          </w:tcPr>
          <w:p>
            <w:pPr>
              <w:spacing w:after="0"/>
              <w:rPr>
                <w:sz w:val="1"/>
                <w:szCs w:val="1"/>
                <w:color w:val="auto"/>
              </w:rPr>
            </w:pPr>
          </w:p>
        </w:tc>
      </w:tr>
      <w:tr>
        <w:trPr>
          <w:trHeight w:val="65"/>
        </w:trPr>
        <w:tc>
          <w:tcPr>
            <w:tcW w:w="10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line="216" w:lineRule="exact"/>
              <w:rPr>
                <w:sz w:val="20"/>
                <w:szCs w:val="20"/>
                <w:color w:val="auto"/>
              </w:rPr>
            </w:pPr>
            <w:r>
              <w:rPr>
                <w:rFonts w:ascii="Calibri" w:cs="Calibri" w:eastAsia="Calibri" w:hAnsi="Calibri"/>
                <w:sz w:val="18"/>
                <w:szCs w:val="18"/>
                <w:b w:val="1"/>
                <w:bCs w:val="1"/>
                <w:color w:val="auto"/>
              </w:rPr>
              <w:t>Number</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gridSpan w:val="21"/>
          </w:tcPr>
          <w:p>
            <w:pPr>
              <w:ind w:left="300"/>
              <w:spacing w:after="0" w:line="216" w:lineRule="exact"/>
              <w:rPr>
                <w:sz w:val="20"/>
                <w:szCs w:val="20"/>
                <w:color w:val="auto"/>
              </w:rPr>
            </w:pPr>
            <w:r>
              <w:rPr>
                <w:rFonts w:ascii="Calibri" w:cs="Calibri" w:eastAsia="Calibri" w:hAnsi="Calibri"/>
                <w:sz w:val="18"/>
                <w:szCs w:val="18"/>
                <w:b w:val="1"/>
                <w:bCs w:val="1"/>
                <w:color w:val="auto"/>
              </w:rPr>
              <w:t>Descripton</w:t>
            </w:r>
          </w:p>
        </w:tc>
        <w:tc>
          <w:tcPr>
            <w:tcW w:w="6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Form</w:t>
            </w:r>
          </w:p>
        </w:tc>
        <w:tc>
          <w:tcPr>
            <w:tcW w:w="840" w:type="dxa"/>
            <w:vAlign w:val="bottom"/>
          </w:tcPr>
          <w:p>
            <w:pPr>
              <w:ind w:left="140"/>
              <w:spacing w:after="0" w:line="216" w:lineRule="exact"/>
              <w:rPr>
                <w:sz w:val="20"/>
                <w:szCs w:val="20"/>
                <w:color w:val="auto"/>
              </w:rPr>
            </w:pPr>
            <w:r>
              <w:rPr>
                <w:rFonts w:ascii="Calibri" w:cs="Calibri" w:eastAsia="Calibri" w:hAnsi="Calibri"/>
                <w:sz w:val="18"/>
                <w:szCs w:val="18"/>
                <w:b w:val="1"/>
                <w:bCs w:val="1"/>
                <w:color w:val="auto"/>
              </w:rPr>
              <w:t>Exhibit</w:t>
            </w:r>
          </w:p>
        </w:tc>
        <w:tc>
          <w:tcPr>
            <w:tcW w:w="1220" w:type="dxa"/>
            <w:vAlign w:val="bottom"/>
          </w:tcPr>
          <w:p>
            <w:pPr>
              <w:ind w:left="220"/>
              <w:spacing w:after="0" w:line="216" w:lineRule="exact"/>
              <w:rPr>
                <w:sz w:val="20"/>
                <w:szCs w:val="20"/>
                <w:color w:val="auto"/>
              </w:rPr>
            </w:pPr>
            <w:r>
              <w:rPr>
                <w:rFonts w:ascii="Calibri" w:cs="Calibri" w:eastAsia="Calibri" w:hAnsi="Calibri"/>
                <w:sz w:val="18"/>
                <w:szCs w:val="18"/>
                <w:b w:val="1"/>
                <w:bCs w:val="1"/>
                <w:color w:val="auto"/>
              </w:rPr>
              <w:t>Filing Date</w:t>
            </w:r>
          </w:p>
        </w:tc>
        <w:tc>
          <w:tcPr>
            <w:tcW w:w="11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Herewith</w:t>
            </w:r>
          </w:p>
        </w:tc>
        <w:tc>
          <w:tcPr>
            <w:tcW w:w="0" w:type="dxa"/>
            <w:vAlign w:val="bottom"/>
          </w:tcPr>
          <w:p>
            <w:pPr>
              <w:spacing w:after="0"/>
              <w:rPr>
                <w:sz w:val="1"/>
                <w:szCs w:val="1"/>
                <w:color w:val="auto"/>
              </w:rPr>
            </w:pPr>
          </w:p>
        </w:tc>
      </w:tr>
      <w:tr>
        <w:trPr>
          <w:trHeight w:val="37"/>
        </w:trPr>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Calibri" w:cs="Calibri" w:eastAsia="Calibri" w:hAnsi="Calibri"/>
                <w:sz w:val="18"/>
                <w:szCs w:val="18"/>
                <w:color w:val="auto"/>
              </w:rPr>
              <w:t>2.1</w:t>
            </w:r>
          </w:p>
        </w:tc>
        <w:tc>
          <w:tcPr>
            <w:tcW w:w="6340" w:type="dxa"/>
            <w:vAlign w:val="bottom"/>
            <w:tcBorders>
              <w:bottom w:val="single" w:sz="8" w:color="0000FF"/>
            </w:tcBorders>
            <w:gridSpan w:val="23"/>
          </w:tcPr>
          <w:p>
            <w:pPr>
              <w:spacing w:after="0" w:line="196" w:lineRule="exact"/>
              <w:rPr>
                <w:rFonts w:ascii="Calibri" w:cs="Calibri" w:eastAsia="Calibri" w:hAnsi="Calibri"/>
                <w:sz w:val="18"/>
                <w:szCs w:val="18"/>
                <w:color w:val="0000FF"/>
              </w:rPr>
            </w:pPr>
            <w:hyperlink r:id="rId386">
              <w:r>
                <w:rPr>
                  <w:rFonts w:ascii="Calibri" w:cs="Calibri" w:eastAsia="Calibri" w:hAnsi="Calibri"/>
                  <w:sz w:val="18"/>
                  <w:szCs w:val="18"/>
                  <w:color w:val="0000FF"/>
                </w:rPr>
                <w:t>Transacton Agreement, dated April 21, 2021, among Horizon Acquisiton Corporaton,</w:t>
              </w:r>
            </w:hyperlink>
          </w:p>
        </w:tc>
        <w:tc>
          <w:tcPr>
            <w:tcW w:w="60" w:type="dxa"/>
            <w:vAlign w:val="bottom"/>
            <w:gridSpan w:val="3"/>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Calibri" w:cs="Calibri" w:eastAsia="Calibri" w:hAnsi="Calibri"/>
                <w:sz w:val="18"/>
                <w:szCs w:val="18"/>
                <w:color w:val="auto"/>
              </w:rPr>
              <w:t>S-4</w:t>
            </w:r>
          </w:p>
        </w:tc>
        <w:tc>
          <w:tcPr>
            <w:tcW w:w="84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2.1</w:t>
            </w:r>
          </w:p>
        </w:tc>
        <w:tc>
          <w:tcPr>
            <w:tcW w:w="122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5/28/2021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400" w:type="dxa"/>
            <w:vAlign w:val="bottom"/>
            <w:gridSpan w:val="26"/>
          </w:tcPr>
          <w:p>
            <w:pPr>
              <w:spacing w:after="0" w:line="196" w:lineRule="exact"/>
              <w:rPr>
                <w:rFonts w:ascii="Calibri" w:cs="Calibri" w:eastAsia="Calibri" w:hAnsi="Calibri"/>
                <w:sz w:val="18"/>
                <w:szCs w:val="18"/>
                <w:color w:val="0000FF"/>
              </w:rPr>
            </w:pPr>
            <w:hyperlink r:id="rId386">
              <w:r>
                <w:rPr>
                  <w:rFonts w:ascii="Calibri" w:cs="Calibri" w:eastAsia="Calibri" w:hAnsi="Calibri"/>
                  <w:sz w:val="18"/>
                  <w:szCs w:val="18"/>
                  <w:color w:val="0000FF"/>
                </w:rPr>
                <w:t>Horizon Sponsor, LLC, Hoya Topco, LLC, Hoya Intermediate, LLC and Vivid Seats Inc.</w:t>
              </w:r>
            </w:hyperlink>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2.2</w:t>
            </w:r>
          </w:p>
        </w:tc>
        <w:tc>
          <w:tcPr>
            <w:tcW w:w="6240" w:type="dxa"/>
            <w:vAlign w:val="bottom"/>
            <w:tcBorders>
              <w:bottom w:val="single" w:sz="8" w:color="0000FF"/>
            </w:tcBorders>
            <w:gridSpan w:val="18"/>
          </w:tcPr>
          <w:p>
            <w:pPr>
              <w:spacing w:after="0"/>
              <w:rPr>
                <w:rFonts w:ascii="Calibri" w:cs="Calibri" w:eastAsia="Calibri" w:hAnsi="Calibri"/>
                <w:sz w:val="18"/>
                <w:szCs w:val="18"/>
                <w:color w:val="0000FF"/>
                <w:w w:val="99"/>
              </w:rPr>
            </w:pPr>
            <w:hyperlink r:id="rId387">
              <w:r>
                <w:rPr>
                  <w:rFonts w:ascii="Calibri" w:cs="Calibri" w:eastAsia="Calibri" w:hAnsi="Calibri"/>
                  <w:sz w:val="18"/>
                  <w:szCs w:val="18"/>
                  <w:color w:val="0000FF"/>
                  <w:w w:val="99"/>
                </w:rPr>
                <w:t>Purchase, Sale and Redempton Agreement, dated April 21, 2021, among Hoya Topco,</w:t>
              </w:r>
            </w:hyperlink>
          </w:p>
        </w:tc>
        <w:tc>
          <w:tcPr>
            <w:tcW w:w="20" w:type="dxa"/>
            <w:vAlign w:val="bottom"/>
            <w:tcBorders>
              <w:bottom w:val="single" w:sz="8" w:color="0000EE"/>
            </w:tcBorders>
          </w:tcPr>
          <w:p>
            <w:pPr>
              <w:spacing w:after="0"/>
              <w:rPr>
                <w:sz w:val="21"/>
                <w:szCs w:val="21"/>
                <w:color w:val="auto"/>
              </w:rPr>
            </w:pPr>
          </w:p>
        </w:tc>
        <w:tc>
          <w:tcPr>
            <w:tcW w:w="140" w:type="dxa"/>
            <w:vAlign w:val="bottom"/>
            <w:gridSpan w:val="7"/>
          </w:tcPr>
          <w:p>
            <w:pPr>
              <w:spacing w:after="0"/>
              <w:rPr>
                <w:sz w:val="21"/>
                <w:szCs w:val="21"/>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rPr>
              <w:t>S-4</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2.2</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7"/>
              </w:rPr>
              <w:t>5/28/2021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320" w:type="dxa"/>
            <w:vAlign w:val="bottom"/>
            <w:tcBorders>
              <w:bottom w:val="single" w:sz="8" w:color="0000FF"/>
            </w:tcBorders>
            <w:gridSpan w:val="22"/>
          </w:tcPr>
          <w:p>
            <w:pPr>
              <w:spacing w:after="0" w:line="196" w:lineRule="exact"/>
              <w:rPr>
                <w:rFonts w:ascii="Calibri" w:cs="Calibri" w:eastAsia="Calibri" w:hAnsi="Calibri"/>
                <w:sz w:val="18"/>
                <w:szCs w:val="18"/>
                <w:color w:val="0000FF"/>
              </w:rPr>
            </w:pPr>
            <w:hyperlink r:id="rId387">
              <w:r>
                <w:rPr>
                  <w:rFonts w:ascii="Calibri" w:cs="Calibri" w:eastAsia="Calibri" w:hAnsi="Calibri"/>
                  <w:sz w:val="18"/>
                  <w:szCs w:val="18"/>
                  <w:color w:val="0000FF"/>
                </w:rPr>
                <w:t>LLC, Hoya Intermediate, LLC, Vivid Seats Inc., Crescent Mezzanine Partners VIB, L.P.,</w:t>
              </w:r>
            </w:hyperlink>
          </w:p>
        </w:tc>
        <w:tc>
          <w:tcPr>
            <w:tcW w:w="20" w:type="dxa"/>
            <w:vAlign w:val="bottom"/>
            <w:tcBorders>
              <w:bottom w:val="single" w:sz="8" w:color="0000EE"/>
            </w:tcBorders>
          </w:tcPr>
          <w:p>
            <w:pPr>
              <w:spacing w:after="0"/>
              <w:rPr>
                <w:sz w:val="17"/>
                <w:szCs w:val="17"/>
                <w:color w:val="auto"/>
              </w:rPr>
            </w:pPr>
          </w:p>
        </w:tc>
        <w:tc>
          <w:tcPr>
            <w:tcW w:w="6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380" w:type="dxa"/>
            <w:vAlign w:val="bottom"/>
            <w:tcBorders>
              <w:bottom w:val="single" w:sz="8" w:color="0000FF"/>
            </w:tcBorders>
            <w:gridSpan w:val="25"/>
          </w:tcPr>
          <w:p>
            <w:pPr>
              <w:spacing w:after="0" w:line="196" w:lineRule="exact"/>
              <w:rPr>
                <w:rFonts w:ascii="Calibri" w:cs="Calibri" w:eastAsia="Calibri" w:hAnsi="Calibri"/>
                <w:sz w:val="18"/>
                <w:szCs w:val="18"/>
                <w:color w:val="0000FF"/>
              </w:rPr>
            </w:pPr>
            <w:hyperlink r:id="rId387">
              <w:r>
                <w:rPr>
                  <w:rFonts w:ascii="Calibri" w:cs="Calibri" w:eastAsia="Calibri" w:hAnsi="Calibri"/>
                  <w:sz w:val="18"/>
                  <w:szCs w:val="18"/>
                  <w:color w:val="0000FF"/>
                </w:rPr>
                <w:t>Crescent Mezzanine Partners VIC, L.P., NPS/Crescent Strategic Partnership II, LP, CM7C</w:t>
              </w:r>
            </w:hyperlink>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320" w:type="dxa"/>
            <w:vAlign w:val="bottom"/>
            <w:tcBorders>
              <w:bottom w:val="single" w:sz="8" w:color="0000FF"/>
            </w:tcBorders>
            <w:gridSpan w:val="22"/>
          </w:tcPr>
          <w:p>
            <w:pPr>
              <w:spacing w:after="0" w:line="196" w:lineRule="exact"/>
              <w:rPr>
                <w:rFonts w:ascii="Calibri" w:cs="Calibri" w:eastAsia="Calibri" w:hAnsi="Calibri"/>
                <w:sz w:val="18"/>
                <w:szCs w:val="18"/>
                <w:color w:val="0000FF"/>
                <w:w w:val="99"/>
              </w:rPr>
            </w:pPr>
            <w:hyperlink r:id="rId387">
              <w:r>
                <w:rPr>
                  <w:rFonts w:ascii="Calibri" w:cs="Calibri" w:eastAsia="Calibri" w:hAnsi="Calibri"/>
                  <w:sz w:val="18"/>
                  <w:szCs w:val="18"/>
                  <w:color w:val="0000FF"/>
                  <w:w w:val="99"/>
                </w:rPr>
                <w:t>VS Equity Holdings, LP, Crescent Mezzanine Partners VIIB, L.P., CM6B Vivid Equity, Inc.,</w:t>
              </w:r>
            </w:hyperlink>
          </w:p>
        </w:tc>
        <w:tc>
          <w:tcPr>
            <w:tcW w:w="20" w:type="dxa"/>
            <w:vAlign w:val="bottom"/>
            <w:tcBorders>
              <w:bottom w:val="single" w:sz="8" w:color="0000EE"/>
            </w:tcBorders>
          </w:tcPr>
          <w:p>
            <w:pPr>
              <w:spacing w:after="0"/>
              <w:rPr>
                <w:sz w:val="17"/>
                <w:szCs w:val="17"/>
                <w:color w:val="auto"/>
              </w:rPr>
            </w:pPr>
          </w:p>
        </w:tc>
        <w:tc>
          <w:tcPr>
            <w:tcW w:w="6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360" w:type="dxa"/>
            <w:vAlign w:val="bottom"/>
            <w:tcBorders>
              <w:bottom w:val="single" w:sz="8" w:color="0000FF"/>
            </w:tcBorders>
            <w:gridSpan w:val="24"/>
          </w:tcPr>
          <w:p>
            <w:pPr>
              <w:spacing w:after="0" w:line="196" w:lineRule="exact"/>
              <w:rPr>
                <w:rFonts w:ascii="Calibri" w:cs="Calibri" w:eastAsia="Calibri" w:hAnsi="Calibri"/>
                <w:sz w:val="18"/>
                <w:szCs w:val="18"/>
                <w:color w:val="0000FF"/>
                <w:w w:val="98"/>
              </w:rPr>
            </w:pPr>
            <w:hyperlink r:id="rId387">
              <w:r>
                <w:rPr>
                  <w:rFonts w:ascii="Calibri" w:cs="Calibri" w:eastAsia="Calibri" w:hAnsi="Calibri"/>
                  <w:sz w:val="18"/>
                  <w:szCs w:val="18"/>
                  <w:color w:val="0000FF"/>
                  <w:w w:val="98"/>
                </w:rPr>
                <w:t>CM6C Vivid Equity, Inc., CM7C VS Equity, LLC, CM7B VS Equity, LLC, Crescent Mezzanine</w:t>
              </w:r>
            </w:hyperlink>
          </w:p>
        </w:tc>
        <w:tc>
          <w:tcPr>
            <w:tcW w:w="4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320" w:type="dxa"/>
            <w:vAlign w:val="bottom"/>
            <w:tcBorders>
              <w:bottom w:val="single" w:sz="8" w:color="0000FF"/>
            </w:tcBorders>
            <w:gridSpan w:val="22"/>
          </w:tcPr>
          <w:p>
            <w:pPr>
              <w:spacing w:after="0" w:line="196" w:lineRule="exact"/>
              <w:rPr>
                <w:rFonts w:ascii="Calibri" w:cs="Calibri" w:eastAsia="Calibri" w:hAnsi="Calibri"/>
                <w:sz w:val="18"/>
                <w:szCs w:val="18"/>
                <w:color w:val="0000FF"/>
                <w:w w:val="98"/>
              </w:rPr>
            </w:pPr>
            <w:hyperlink r:id="rId387">
              <w:r>
                <w:rPr>
                  <w:rFonts w:ascii="Calibri" w:cs="Calibri" w:eastAsia="Calibri" w:hAnsi="Calibri"/>
                  <w:sz w:val="18"/>
                  <w:szCs w:val="18"/>
                  <w:color w:val="0000FF"/>
                  <w:w w:val="98"/>
                </w:rPr>
                <w:t>Partners VI, L.P., Crescent Mezzanine Partners VII, L.P., Crescent Mezzanine Partners VII</w:t>
              </w:r>
            </w:hyperlink>
          </w:p>
        </w:tc>
        <w:tc>
          <w:tcPr>
            <w:tcW w:w="20" w:type="dxa"/>
            <w:vAlign w:val="bottom"/>
            <w:tcBorders>
              <w:bottom w:val="single" w:sz="8" w:color="0000EE"/>
            </w:tcBorders>
          </w:tcPr>
          <w:p>
            <w:pPr>
              <w:spacing w:after="0"/>
              <w:rPr>
                <w:sz w:val="17"/>
                <w:szCs w:val="17"/>
                <w:color w:val="auto"/>
              </w:rPr>
            </w:pPr>
          </w:p>
        </w:tc>
        <w:tc>
          <w:tcPr>
            <w:tcW w:w="6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340" w:type="dxa"/>
            <w:vAlign w:val="bottom"/>
            <w:tcBorders>
              <w:bottom w:val="single" w:sz="8" w:color="0000FF"/>
            </w:tcBorders>
            <w:gridSpan w:val="23"/>
          </w:tcPr>
          <w:p>
            <w:pPr>
              <w:spacing w:after="0" w:line="196" w:lineRule="exact"/>
              <w:rPr>
                <w:rFonts w:ascii="Calibri" w:cs="Calibri" w:eastAsia="Calibri" w:hAnsi="Calibri"/>
                <w:sz w:val="18"/>
                <w:szCs w:val="18"/>
                <w:color w:val="0000FF"/>
              </w:rPr>
            </w:pPr>
            <w:hyperlink r:id="rId387">
              <w:r>
                <w:rPr>
                  <w:rFonts w:ascii="Calibri" w:cs="Calibri" w:eastAsia="Calibri" w:hAnsi="Calibri"/>
                  <w:sz w:val="18"/>
                  <w:szCs w:val="18"/>
                  <w:color w:val="0000FF"/>
                </w:rPr>
                <w:t>(LTL), L.P., CBDC Universal Equity, Inc., Crescent Capital Group, LP and Horizon</w:t>
              </w:r>
            </w:hyperlink>
          </w:p>
        </w:tc>
        <w:tc>
          <w:tcPr>
            <w:tcW w:w="6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400" w:type="dxa"/>
            <w:vAlign w:val="bottom"/>
            <w:gridSpan w:val="26"/>
          </w:tcPr>
          <w:p>
            <w:pPr>
              <w:spacing w:after="0" w:line="196" w:lineRule="exact"/>
              <w:rPr>
                <w:rFonts w:ascii="Calibri" w:cs="Calibri" w:eastAsia="Calibri" w:hAnsi="Calibri"/>
                <w:sz w:val="18"/>
                <w:szCs w:val="18"/>
                <w:color w:val="0000FF"/>
              </w:rPr>
            </w:pPr>
            <w:hyperlink r:id="rId387">
              <w:r>
                <w:rPr>
                  <w:rFonts w:ascii="Calibri" w:cs="Calibri" w:eastAsia="Calibri" w:hAnsi="Calibri"/>
                  <w:sz w:val="18"/>
                  <w:szCs w:val="18"/>
                  <w:color w:val="0000FF"/>
                </w:rPr>
                <w:t>Acquisiton Corporaton</w:t>
              </w:r>
            </w:hyperlink>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2.3</w:t>
            </w:r>
          </w:p>
        </w:tc>
        <w:tc>
          <w:tcPr>
            <w:tcW w:w="6340" w:type="dxa"/>
            <w:vAlign w:val="bottom"/>
            <w:tcBorders>
              <w:bottom w:val="single" w:sz="8" w:color="0000FF"/>
            </w:tcBorders>
            <w:gridSpan w:val="23"/>
          </w:tcPr>
          <w:p>
            <w:pPr>
              <w:spacing w:after="0"/>
              <w:rPr>
                <w:rFonts w:ascii="Calibri" w:cs="Calibri" w:eastAsia="Calibri" w:hAnsi="Calibri"/>
                <w:sz w:val="18"/>
                <w:szCs w:val="18"/>
                <w:color w:val="0000FF"/>
              </w:rPr>
            </w:pPr>
            <w:hyperlink r:id="rId388">
              <w:r>
                <w:rPr>
                  <w:rFonts w:ascii="Calibri" w:cs="Calibri" w:eastAsia="Calibri" w:hAnsi="Calibri"/>
                  <w:sz w:val="18"/>
                  <w:szCs w:val="18"/>
                  <w:color w:val="0000FF"/>
                </w:rPr>
                <w:t>Plan of Merger, dated October 18, 2021, among Horizon Acquisiton Corporaton,</w:t>
              </w:r>
            </w:hyperlink>
          </w:p>
        </w:tc>
        <w:tc>
          <w:tcPr>
            <w:tcW w:w="60" w:type="dxa"/>
            <w:vAlign w:val="bottom"/>
            <w:gridSpan w:val="3"/>
          </w:tcPr>
          <w:p>
            <w:pPr>
              <w:spacing w:after="0"/>
              <w:rPr>
                <w:sz w:val="21"/>
                <w:szCs w:val="21"/>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rPr>
              <w:t>10-Q</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2.3</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8"/>
              </w:rPr>
              <w:t>11/15/2021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400" w:type="dxa"/>
            <w:vAlign w:val="bottom"/>
            <w:gridSpan w:val="26"/>
          </w:tcPr>
          <w:p>
            <w:pPr>
              <w:spacing w:after="0" w:line="196" w:lineRule="exact"/>
              <w:rPr>
                <w:rFonts w:ascii="Calibri" w:cs="Calibri" w:eastAsia="Calibri" w:hAnsi="Calibri"/>
                <w:sz w:val="18"/>
                <w:szCs w:val="18"/>
                <w:color w:val="0000FF"/>
              </w:rPr>
            </w:pPr>
            <w:hyperlink r:id="rId388">
              <w:r>
                <w:rPr>
                  <w:rFonts w:ascii="Calibri" w:cs="Calibri" w:eastAsia="Calibri" w:hAnsi="Calibri"/>
                  <w:sz w:val="18"/>
                  <w:szCs w:val="18"/>
                  <w:color w:val="0000FF"/>
                </w:rPr>
                <w:t>Horizon Sponsor, LLC, Hoya Topco, LLC, Hoya Intermediate, LLC and Vivid Seats Inc.</w:t>
              </w:r>
            </w:hyperlink>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3.1</w:t>
            </w:r>
          </w:p>
        </w:tc>
        <w:tc>
          <w:tcPr>
            <w:tcW w:w="5860" w:type="dxa"/>
            <w:vAlign w:val="bottom"/>
            <w:tcBorders>
              <w:top w:val="single" w:sz="8" w:color="0000FF"/>
            </w:tcBorders>
            <w:gridSpan w:val="17"/>
          </w:tcPr>
          <w:p>
            <w:pPr>
              <w:spacing w:after="0"/>
              <w:rPr>
                <w:rFonts w:ascii="Calibri" w:cs="Calibri" w:eastAsia="Calibri" w:hAnsi="Calibri"/>
                <w:sz w:val="18"/>
                <w:szCs w:val="18"/>
                <w:color w:val="0000FF"/>
              </w:rPr>
            </w:pPr>
            <w:hyperlink r:id="rId389">
              <w:r>
                <w:rPr>
                  <w:rFonts w:ascii="Calibri" w:cs="Calibri" w:eastAsia="Calibri" w:hAnsi="Calibri"/>
                  <w:sz w:val="18"/>
                  <w:szCs w:val="18"/>
                  <w:color w:val="0000FF"/>
                </w:rPr>
                <w:t>Amended and Restated Certfcate of Incorporaton</w:t>
              </w:r>
            </w:hyperlink>
          </w:p>
        </w:tc>
        <w:tc>
          <w:tcPr>
            <w:tcW w:w="540" w:type="dxa"/>
            <w:vAlign w:val="bottom"/>
            <w:gridSpan w:val="9"/>
          </w:tcPr>
          <w:p>
            <w:pPr>
              <w:spacing w:after="0"/>
              <w:rPr>
                <w:sz w:val="21"/>
                <w:szCs w:val="21"/>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w w:val="99"/>
              </w:rPr>
              <w:t>8-K</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3.1</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8"/>
              </w:rPr>
              <w:t>10/22/2021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3.2</w:t>
            </w:r>
          </w:p>
        </w:tc>
        <w:tc>
          <w:tcPr>
            <w:tcW w:w="6400" w:type="dxa"/>
            <w:vAlign w:val="bottom"/>
            <w:gridSpan w:val="26"/>
          </w:tcPr>
          <w:p>
            <w:pPr>
              <w:spacing w:after="0"/>
              <w:rPr>
                <w:rFonts w:ascii="Calibri" w:cs="Calibri" w:eastAsia="Calibri" w:hAnsi="Calibri"/>
                <w:sz w:val="18"/>
                <w:szCs w:val="18"/>
                <w:color w:val="0000FF"/>
              </w:rPr>
            </w:pPr>
            <w:hyperlink r:id="rId390">
              <w:r>
                <w:rPr>
                  <w:rFonts w:ascii="Calibri" w:cs="Calibri" w:eastAsia="Calibri" w:hAnsi="Calibri"/>
                  <w:sz w:val="18"/>
                  <w:szCs w:val="18"/>
                  <w:color w:val="0000FF"/>
                </w:rPr>
                <w:t>First Amendment to Amended and Restated Bylaws</w:t>
              </w:r>
            </w:hyperlink>
          </w:p>
        </w:tc>
        <w:tc>
          <w:tcPr>
            <w:tcW w:w="620" w:type="dxa"/>
            <w:vAlign w:val="bottom"/>
          </w:tcPr>
          <w:p>
            <w:pPr>
              <w:jc w:val="center"/>
              <w:spacing w:after="0"/>
              <w:rPr>
                <w:sz w:val="20"/>
                <w:szCs w:val="20"/>
                <w:color w:val="auto"/>
              </w:rPr>
            </w:pPr>
            <w:r>
              <w:rPr>
                <w:rFonts w:ascii="Calibri" w:cs="Calibri" w:eastAsia="Calibri" w:hAnsi="Calibri"/>
                <w:sz w:val="18"/>
                <w:szCs w:val="18"/>
                <w:color w:val="auto"/>
              </w:rPr>
              <w:t>10-Q</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3.2</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7"/>
              </w:rPr>
              <w:t>5/10/2022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3.3</w:t>
            </w:r>
          </w:p>
        </w:tc>
        <w:tc>
          <w:tcPr>
            <w:tcW w:w="3640" w:type="dxa"/>
            <w:vAlign w:val="bottom"/>
            <w:tcBorders>
              <w:top w:val="single" w:sz="8" w:color="0000FF"/>
            </w:tcBorders>
            <w:gridSpan w:val="8"/>
          </w:tcPr>
          <w:p>
            <w:pPr>
              <w:spacing w:after="0"/>
              <w:rPr>
                <w:rFonts w:ascii="Calibri" w:cs="Calibri" w:eastAsia="Calibri" w:hAnsi="Calibri"/>
                <w:sz w:val="18"/>
                <w:szCs w:val="18"/>
                <w:color w:val="0000FF"/>
              </w:rPr>
            </w:pPr>
            <w:hyperlink r:id="rId391">
              <w:r>
                <w:rPr>
                  <w:rFonts w:ascii="Calibri" w:cs="Calibri" w:eastAsia="Calibri" w:hAnsi="Calibri"/>
                  <w:sz w:val="18"/>
                  <w:szCs w:val="18"/>
                  <w:color w:val="0000FF"/>
                </w:rPr>
                <w:t>Amended and Restated Bylaws</w:t>
              </w:r>
            </w:hyperlink>
          </w:p>
        </w:tc>
        <w:tc>
          <w:tcPr>
            <w:tcW w:w="2760" w:type="dxa"/>
            <w:vAlign w:val="bottom"/>
            <w:gridSpan w:val="18"/>
          </w:tcPr>
          <w:p>
            <w:pPr>
              <w:spacing w:after="0"/>
              <w:rPr>
                <w:sz w:val="21"/>
                <w:szCs w:val="21"/>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w w:val="99"/>
              </w:rPr>
              <w:t>8-K</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3.2</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8"/>
              </w:rPr>
              <w:t>10/22/2021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4.1</w:t>
            </w:r>
          </w:p>
        </w:tc>
        <w:tc>
          <w:tcPr>
            <w:tcW w:w="6340" w:type="dxa"/>
            <w:vAlign w:val="bottom"/>
            <w:tcBorders>
              <w:bottom w:val="single" w:sz="8" w:color="0000FF"/>
            </w:tcBorders>
            <w:gridSpan w:val="23"/>
          </w:tcPr>
          <w:p>
            <w:pPr>
              <w:spacing w:after="0"/>
              <w:rPr>
                <w:rFonts w:ascii="Calibri" w:cs="Calibri" w:eastAsia="Calibri" w:hAnsi="Calibri"/>
                <w:sz w:val="18"/>
                <w:szCs w:val="18"/>
                <w:color w:val="0000FF"/>
                <w:w w:val="98"/>
              </w:rPr>
            </w:pPr>
            <w:hyperlink r:id="rId392">
              <w:r>
                <w:rPr>
                  <w:rFonts w:ascii="Calibri" w:cs="Calibri" w:eastAsia="Calibri" w:hAnsi="Calibri"/>
                  <w:sz w:val="18"/>
                  <w:szCs w:val="18"/>
                  <w:color w:val="0000FF"/>
                  <w:w w:val="98"/>
                </w:rPr>
                <w:t>Amended and Restated Warrant Agreement, dated October 14, 2021, between Horizon</w:t>
              </w:r>
            </w:hyperlink>
          </w:p>
        </w:tc>
        <w:tc>
          <w:tcPr>
            <w:tcW w:w="60" w:type="dxa"/>
            <w:vAlign w:val="bottom"/>
            <w:gridSpan w:val="3"/>
          </w:tcPr>
          <w:p>
            <w:pPr>
              <w:spacing w:after="0"/>
              <w:rPr>
                <w:sz w:val="21"/>
                <w:szCs w:val="21"/>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w w:val="99"/>
              </w:rPr>
              <w:t>8-K</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3"/>
              </w:rPr>
              <w:t>10.7</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8"/>
              </w:rPr>
              <w:t>10/22/2021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5160" w:type="dxa"/>
            <w:vAlign w:val="bottom"/>
            <w:tcBorders>
              <w:bottom w:val="single" w:sz="8" w:color="0000FF"/>
            </w:tcBorders>
            <w:gridSpan w:val="16"/>
          </w:tcPr>
          <w:p>
            <w:pPr>
              <w:spacing w:after="0" w:line="196" w:lineRule="exact"/>
              <w:rPr>
                <w:rFonts w:ascii="Calibri" w:cs="Calibri" w:eastAsia="Calibri" w:hAnsi="Calibri"/>
                <w:sz w:val="18"/>
                <w:szCs w:val="18"/>
                <w:color w:val="0000FF"/>
                <w:w w:val="98"/>
              </w:rPr>
            </w:pPr>
            <w:hyperlink r:id="rId392">
              <w:r>
                <w:rPr>
                  <w:rFonts w:ascii="Calibri" w:cs="Calibri" w:eastAsia="Calibri" w:hAnsi="Calibri"/>
                  <w:sz w:val="18"/>
                  <w:szCs w:val="18"/>
                  <w:color w:val="0000FF"/>
                  <w:w w:val="98"/>
                </w:rPr>
                <w:t>Acquisiton Corporaton and Contnental Stock Transfer &amp; Trust Company</w:t>
              </w:r>
            </w:hyperlink>
          </w:p>
        </w:tc>
        <w:tc>
          <w:tcPr>
            <w:tcW w:w="1240" w:type="dxa"/>
            <w:vAlign w:val="bottom"/>
            <w:gridSpan w:val="10"/>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4.2</w:t>
            </w:r>
          </w:p>
        </w:tc>
        <w:tc>
          <w:tcPr>
            <w:tcW w:w="6400" w:type="dxa"/>
            <w:vAlign w:val="bottom"/>
            <w:gridSpan w:val="26"/>
          </w:tcPr>
          <w:p>
            <w:pPr>
              <w:spacing w:after="0"/>
              <w:rPr>
                <w:rFonts w:ascii="Calibri" w:cs="Calibri" w:eastAsia="Calibri" w:hAnsi="Calibri"/>
                <w:sz w:val="18"/>
                <w:szCs w:val="18"/>
                <w:color w:val="0000FF"/>
              </w:rPr>
            </w:pPr>
            <w:hyperlink r:id="rId393">
              <w:r>
                <w:rPr>
                  <w:rFonts w:ascii="Calibri" w:cs="Calibri" w:eastAsia="Calibri" w:hAnsi="Calibri"/>
                  <w:sz w:val="18"/>
                  <w:szCs w:val="18"/>
                  <w:color w:val="0000FF"/>
                </w:rPr>
                <w:t>Specimen Class A Common Stock Certfcate of Vivid Seats Inc.</w:t>
              </w:r>
            </w:hyperlink>
          </w:p>
        </w:tc>
        <w:tc>
          <w:tcPr>
            <w:tcW w:w="620" w:type="dxa"/>
            <w:vAlign w:val="bottom"/>
          </w:tcPr>
          <w:p>
            <w:pPr>
              <w:jc w:val="center"/>
              <w:spacing w:after="0"/>
              <w:rPr>
                <w:sz w:val="20"/>
                <w:szCs w:val="20"/>
                <w:color w:val="auto"/>
              </w:rPr>
            </w:pPr>
            <w:r>
              <w:rPr>
                <w:rFonts w:ascii="Calibri" w:cs="Calibri" w:eastAsia="Calibri" w:hAnsi="Calibri"/>
                <w:sz w:val="18"/>
                <w:szCs w:val="18"/>
                <w:color w:val="auto"/>
                <w:w w:val="96"/>
              </w:rPr>
              <w:t>10-K</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4.2</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7"/>
              </w:rPr>
              <w:t>3/15/2022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4.3</w:t>
            </w:r>
          </w:p>
        </w:tc>
        <w:tc>
          <w:tcPr>
            <w:tcW w:w="3380" w:type="dxa"/>
            <w:vAlign w:val="bottom"/>
            <w:tcBorders>
              <w:top w:val="single" w:sz="8" w:color="0000FF"/>
              <w:bottom w:val="single" w:sz="8" w:color="0000FF"/>
            </w:tcBorders>
            <w:gridSpan w:val="6"/>
          </w:tcPr>
          <w:p>
            <w:pPr>
              <w:spacing w:after="0"/>
              <w:rPr>
                <w:rFonts w:ascii="Calibri" w:cs="Calibri" w:eastAsia="Calibri" w:hAnsi="Calibri"/>
                <w:sz w:val="18"/>
                <w:szCs w:val="18"/>
                <w:color w:val="0000FF"/>
                <w:w w:val="98"/>
              </w:rPr>
            </w:pPr>
            <w:hyperlink r:id="rId394">
              <w:r>
                <w:rPr>
                  <w:rFonts w:ascii="Calibri" w:cs="Calibri" w:eastAsia="Calibri" w:hAnsi="Calibri"/>
                  <w:sz w:val="18"/>
                  <w:szCs w:val="18"/>
                  <w:color w:val="0000FF"/>
                  <w:w w:val="98"/>
                </w:rPr>
                <w:t>Specimen Warrant Certfcate of Vivid Seats Inc.</w:t>
              </w:r>
            </w:hyperlink>
          </w:p>
        </w:tc>
        <w:tc>
          <w:tcPr>
            <w:tcW w:w="20" w:type="dxa"/>
            <w:vAlign w:val="bottom"/>
            <w:tcBorders>
              <w:top w:val="single" w:sz="8" w:color="0000FF"/>
              <w:bottom w:val="single" w:sz="8" w:color="0000EE"/>
            </w:tcBorders>
          </w:tcPr>
          <w:p>
            <w:pPr>
              <w:spacing w:after="0"/>
              <w:rPr>
                <w:sz w:val="21"/>
                <w:szCs w:val="21"/>
                <w:color w:val="auto"/>
              </w:rPr>
            </w:pPr>
          </w:p>
        </w:tc>
        <w:tc>
          <w:tcPr>
            <w:tcW w:w="1000" w:type="dxa"/>
            <w:vAlign w:val="bottom"/>
            <w:tcBorders>
              <w:top w:val="single" w:sz="8" w:color="0000FF"/>
            </w:tcBorders>
            <w:gridSpan w:val="2"/>
          </w:tcPr>
          <w:p>
            <w:pPr>
              <w:spacing w:after="0"/>
              <w:rPr>
                <w:sz w:val="21"/>
                <w:szCs w:val="21"/>
                <w:color w:val="auto"/>
              </w:rPr>
            </w:pPr>
          </w:p>
        </w:tc>
        <w:tc>
          <w:tcPr>
            <w:tcW w:w="2000" w:type="dxa"/>
            <w:vAlign w:val="bottom"/>
            <w:gridSpan w:val="17"/>
          </w:tcPr>
          <w:p>
            <w:pPr>
              <w:spacing w:after="0"/>
              <w:rPr>
                <w:sz w:val="21"/>
                <w:szCs w:val="21"/>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w w:val="96"/>
              </w:rPr>
              <w:t>10-K</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4.3</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7"/>
              </w:rPr>
              <w:t>3/15/2022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10.1</w:t>
            </w:r>
          </w:p>
        </w:tc>
        <w:tc>
          <w:tcPr>
            <w:tcW w:w="6260" w:type="dxa"/>
            <w:vAlign w:val="bottom"/>
            <w:tcBorders>
              <w:bottom w:val="single" w:sz="8" w:color="0000FF"/>
            </w:tcBorders>
            <w:gridSpan w:val="19"/>
          </w:tcPr>
          <w:p>
            <w:pPr>
              <w:spacing w:after="0"/>
              <w:rPr>
                <w:rFonts w:ascii="Calibri" w:cs="Calibri" w:eastAsia="Calibri" w:hAnsi="Calibri"/>
                <w:sz w:val="18"/>
                <w:szCs w:val="18"/>
                <w:color w:val="0000FF"/>
              </w:rPr>
            </w:pPr>
            <w:hyperlink r:id="rId395">
              <w:r>
                <w:rPr>
                  <w:rFonts w:ascii="Calibri" w:cs="Calibri" w:eastAsia="Calibri" w:hAnsi="Calibri"/>
                  <w:sz w:val="18"/>
                  <w:szCs w:val="18"/>
                  <w:color w:val="0000FF"/>
                </w:rPr>
                <w:t>Amendment No. 5 to First Lien Credit Agreement, dated June 14, 2024, among Hoya</w:t>
              </w:r>
            </w:hyperlink>
          </w:p>
        </w:tc>
        <w:tc>
          <w:tcPr>
            <w:tcW w:w="60" w:type="dxa"/>
            <w:vAlign w:val="bottom"/>
            <w:tcBorders>
              <w:bottom w:val="single" w:sz="8" w:color="0000EE"/>
            </w:tcBorders>
            <w:gridSpan w:val="3"/>
          </w:tcPr>
          <w:p>
            <w:pPr>
              <w:spacing w:after="0"/>
              <w:rPr>
                <w:sz w:val="21"/>
                <w:szCs w:val="21"/>
                <w:color w:val="auto"/>
              </w:rPr>
            </w:pPr>
          </w:p>
        </w:tc>
        <w:tc>
          <w:tcPr>
            <w:tcW w:w="80" w:type="dxa"/>
            <w:vAlign w:val="bottom"/>
            <w:gridSpan w:val="4"/>
          </w:tcPr>
          <w:p>
            <w:pPr>
              <w:spacing w:after="0"/>
              <w:rPr>
                <w:sz w:val="21"/>
                <w:szCs w:val="21"/>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w w:val="99"/>
              </w:rPr>
              <w:t>8-K</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3"/>
              </w:rPr>
              <w:t>10.1</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7"/>
              </w:rPr>
              <w:t>6/20/2024</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300" w:type="dxa"/>
            <w:vAlign w:val="bottom"/>
            <w:tcBorders>
              <w:bottom w:val="single" w:sz="8" w:color="0000FF"/>
            </w:tcBorders>
            <w:gridSpan w:val="21"/>
          </w:tcPr>
          <w:p>
            <w:pPr>
              <w:spacing w:after="0" w:line="196" w:lineRule="exact"/>
              <w:rPr>
                <w:rFonts w:ascii="Calibri" w:cs="Calibri" w:eastAsia="Calibri" w:hAnsi="Calibri"/>
                <w:sz w:val="18"/>
                <w:szCs w:val="18"/>
                <w:color w:val="0000FF"/>
                <w:w w:val="98"/>
              </w:rPr>
            </w:pPr>
            <w:hyperlink r:id="rId395">
              <w:r>
                <w:rPr>
                  <w:rFonts w:ascii="Calibri" w:cs="Calibri" w:eastAsia="Calibri" w:hAnsi="Calibri"/>
                  <w:sz w:val="18"/>
                  <w:szCs w:val="18"/>
                  <w:color w:val="0000FF"/>
                  <w:w w:val="98"/>
                </w:rPr>
                <w:t>Midco, LLC, Hoya Intermediate, LLC, Barclays Bank PLC, and the lenders and loan partes</w:t>
              </w:r>
            </w:hyperlink>
          </w:p>
        </w:tc>
        <w:tc>
          <w:tcPr>
            <w:tcW w:w="10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400" w:type="dxa"/>
            <w:vAlign w:val="bottom"/>
            <w:gridSpan w:val="26"/>
          </w:tcPr>
          <w:p>
            <w:pPr>
              <w:spacing w:after="0" w:line="196" w:lineRule="exact"/>
              <w:rPr>
                <w:rFonts w:ascii="Calibri" w:cs="Calibri" w:eastAsia="Calibri" w:hAnsi="Calibri"/>
                <w:sz w:val="18"/>
                <w:szCs w:val="18"/>
                <w:color w:val="0000FF"/>
              </w:rPr>
            </w:pPr>
            <w:hyperlink r:id="rId395">
              <w:r>
                <w:rPr>
                  <w:rFonts w:ascii="Calibri" w:cs="Calibri" w:eastAsia="Calibri" w:hAnsi="Calibri"/>
                  <w:sz w:val="18"/>
                  <w:szCs w:val="18"/>
                  <w:color w:val="0000FF"/>
                </w:rPr>
                <w:t>thereto</w:t>
              </w:r>
            </w:hyperlink>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10.2</w:t>
            </w:r>
          </w:p>
        </w:tc>
        <w:tc>
          <w:tcPr>
            <w:tcW w:w="6240" w:type="dxa"/>
            <w:vAlign w:val="bottom"/>
            <w:tcBorders>
              <w:bottom w:val="single" w:sz="8" w:color="0000FF"/>
            </w:tcBorders>
            <w:gridSpan w:val="18"/>
          </w:tcPr>
          <w:p>
            <w:pPr>
              <w:spacing w:after="0"/>
              <w:rPr>
                <w:sz w:val="20"/>
                <w:szCs w:val="20"/>
                <w:color w:val="auto"/>
              </w:rPr>
            </w:pPr>
            <w:r>
              <w:rPr>
                <w:rFonts w:ascii="Calibri" w:cs="Calibri" w:eastAsia="Calibri" w:hAnsi="Calibri"/>
                <w:sz w:val="18"/>
                <w:szCs w:val="18"/>
                <w:color w:val="0000FF"/>
              </w:rPr>
              <w:t>Amendment to Employment Agreement, dated June 14, 2024, among Stanley Chia,</w:t>
            </w:r>
          </w:p>
        </w:tc>
        <w:tc>
          <w:tcPr>
            <w:tcW w:w="160" w:type="dxa"/>
            <w:vAlign w:val="bottom"/>
            <w:gridSpan w:val="8"/>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60" w:type="dxa"/>
            <w:vAlign w:val="bottom"/>
            <w:tcBorders>
              <w:bottom w:val="single" w:sz="8" w:color="0000FF"/>
            </w:tcBorders>
            <w:gridSpan w:val="4"/>
          </w:tcPr>
          <w:p>
            <w:pPr>
              <w:spacing w:after="0" w:line="196" w:lineRule="exact"/>
              <w:rPr>
                <w:sz w:val="20"/>
                <w:szCs w:val="20"/>
                <w:color w:val="auto"/>
              </w:rPr>
            </w:pPr>
            <w:r>
              <w:rPr>
                <w:rFonts w:ascii="Calibri" w:cs="Calibri" w:eastAsia="Calibri" w:hAnsi="Calibri"/>
                <w:sz w:val="18"/>
                <w:szCs w:val="18"/>
                <w:color w:val="0000FF"/>
                <w:w w:val="96"/>
              </w:rPr>
              <w:t>Vivid Seats Inc. and Vivid Seats LLC</w:t>
            </w:r>
          </w:p>
        </w:tc>
        <w:tc>
          <w:tcPr>
            <w:tcW w:w="20" w:type="dxa"/>
            <w:vAlign w:val="bottom"/>
            <w:tcBorders>
              <w:bottom w:val="single" w:sz="8" w:color="0000EE"/>
            </w:tcBorders>
          </w:tcPr>
          <w:p>
            <w:pPr>
              <w:spacing w:after="0"/>
              <w:rPr>
                <w:sz w:val="17"/>
                <w:szCs w:val="17"/>
                <w:color w:val="auto"/>
              </w:rPr>
            </w:pPr>
          </w:p>
        </w:tc>
        <w:tc>
          <w:tcPr>
            <w:tcW w:w="3920" w:type="dxa"/>
            <w:vAlign w:val="bottom"/>
            <w:gridSpan w:val="21"/>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10.3</w:t>
            </w:r>
          </w:p>
        </w:tc>
        <w:tc>
          <w:tcPr>
            <w:tcW w:w="6280" w:type="dxa"/>
            <w:vAlign w:val="bottom"/>
            <w:tcBorders>
              <w:bottom w:val="single" w:sz="8" w:color="0000FF"/>
            </w:tcBorders>
            <w:gridSpan w:val="20"/>
          </w:tcPr>
          <w:p>
            <w:pPr>
              <w:spacing w:after="0"/>
              <w:rPr>
                <w:sz w:val="20"/>
                <w:szCs w:val="20"/>
                <w:color w:val="auto"/>
              </w:rPr>
            </w:pPr>
            <w:r>
              <w:rPr>
                <w:rFonts w:ascii="Calibri" w:cs="Calibri" w:eastAsia="Calibri" w:hAnsi="Calibri"/>
                <w:sz w:val="18"/>
                <w:szCs w:val="18"/>
                <w:color w:val="0000FF"/>
              </w:rPr>
              <w:t>Amendment to Employment Agreement, dated June 14, 2024, among Lawrence Fey,</w:t>
            </w:r>
          </w:p>
        </w:tc>
        <w:tc>
          <w:tcPr>
            <w:tcW w:w="120" w:type="dxa"/>
            <w:vAlign w:val="bottom"/>
            <w:gridSpan w:val="6"/>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60" w:type="dxa"/>
            <w:vAlign w:val="bottom"/>
            <w:tcBorders>
              <w:bottom w:val="single" w:sz="8" w:color="0000FF"/>
            </w:tcBorders>
            <w:gridSpan w:val="4"/>
          </w:tcPr>
          <w:p>
            <w:pPr>
              <w:spacing w:after="0" w:line="196" w:lineRule="exact"/>
              <w:rPr>
                <w:sz w:val="20"/>
                <w:szCs w:val="20"/>
                <w:color w:val="auto"/>
              </w:rPr>
            </w:pPr>
            <w:r>
              <w:rPr>
                <w:rFonts w:ascii="Calibri" w:cs="Calibri" w:eastAsia="Calibri" w:hAnsi="Calibri"/>
                <w:sz w:val="18"/>
                <w:szCs w:val="18"/>
                <w:color w:val="0000FF"/>
                <w:w w:val="96"/>
              </w:rPr>
              <w:t>Vivid Seats Inc. and Vivid Seats LLC</w:t>
            </w:r>
          </w:p>
        </w:tc>
        <w:tc>
          <w:tcPr>
            <w:tcW w:w="20" w:type="dxa"/>
            <w:vAlign w:val="bottom"/>
            <w:tcBorders>
              <w:bottom w:val="single" w:sz="8" w:color="0000EE"/>
            </w:tcBorders>
          </w:tcPr>
          <w:p>
            <w:pPr>
              <w:spacing w:after="0"/>
              <w:rPr>
                <w:sz w:val="17"/>
                <w:szCs w:val="17"/>
                <w:color w:val="auto"/>
              </w:rPr>
            </w:pPr>
          </w:p>
        </w:tc>
        <w:tc>
          <w:tcPr>
            <w:tcW w:w="3920" w:type="dxa"/>
            <w:vAlign w:val="bottom"/>
            <w:gridSpan w:val="21"/>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10.4</w:t>
            </w:r>
          </w:p>
        </w:tc>
        <w:tc>
          <w:tcPr>
            <w:tcW w:w="4440" w:type="dxa"/>
            <w:vAlign w:val="bottom"/>
            <w:tcBorders>
              <w:bottom w:val="single" w:sz="8" w:color="0000FF"/>
            </w:tcBorders>
            <w:gridSpan w:val="10"/>
          </w:tcPr>
          <w:p>
            <w:pPr>
              <w:spacing w:after="0"/>
              <w:rPr>
                <w:sz w:val="20"/>
                <w:szCs w:val="20"/>
                <w:color w:val="auto"/>
              </w:rPr>
            </w:pPr>
            <w:r>
              <w:rPr>
                <w:rFonts w:ascii="Calibri" w:cs="Calibri" w:eastAsia="Calibri" w:hAnsi="Calibri"/>
                <w:sz w:val="18"/>
                <w:szCs w:val="18"/>
                <w:color w:val="0000FF"/>
                <w:w w:val="98"/>
              </w:rPr>
              <w:t>Form of Redempton, Repurchase and Cancellaton Agreement</w:t>
            </w:r>
          </w:p>
        </w:tc>
        <w:tc>
          <w:tcPr>
            <w:tcW w:w="20" w:type="dxa"/>
            <w:vAlign w:val="bottom"/>
            <w:tcBorders>
              <w:bottom w:val="single" w:sz="8" w:color="0000EE"/>
            </w:tcBorders>
          </w:tcPr>
          <w:p>
            <w:pPr>
              <w:spacing w:after="0"/>
              <w:rPr>
                <w:sz w:val="21"/>
                <w:szCs w:val="21"/>
                <w:color w:val="auto"/>
              </w:rPr>
            </w:pPr>
          </w:p>
        </w:tc>
        <w:tc>
          <w:tcPr>
            <w:tcW w:w="1940" w:type="dxa"/>
            <w:vAlign w:val="bottom"/>
            <w:gridSpan w:val="15"/>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31.1</w:t>
            </w:r>
          </w:p>
        </w:tc>
        <w:tc>
          <w:tcPr>
            <w:tcW w:w="4780" w:type="dxa"/>
            <w:vAlign w:val="bottom"/>
            <w:tcBorders>
              <w:bottom w:val="single" w:sz="8" w:color="0000FF"/>
            </w:tcBorders>
            <w:gridSpan w:val="15"/>
          </w:tcPr>
          <w:p>
            <w:pPr>
              <w:spacing w:after="0"/>
              <w:rPr>
                <w:sz w:val="20"/>
                <w:szCs w:val="20"/>
                <w:color w:val="auto"/>
              </w:rPr>
            </w:pPr>
            <w:r>
              <w:rPr>
                <w:rFonts w:ascii="Calibri" w:cs="Calibri" w:eastAsia="Calibri" w:hAnsi="Calibri"/>
                <w:sz w:val="18"/>
                <w:szCs w:val="18"/>
                <w:color w:val="0000FF"/>
              </w:rPr>
              <w:t>Rule 13a-14(a)/15d-14(a) Certfcaton of Principal Executve Ofcer</w:t>
            </w:r>
          </w:p>
        </w:tc>
        <w:tc>
          <w:tcPr>
            <w:tcW w:w="1620" w:type="dxa"/>
            <w:vAlign w:val="bottom"/>
            <w:gridSpan w:val="11"/>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31.2</w:t>
            </w:r>
          </w:p>
        </w:tc>
        <w:tc>
          <w:tcPr>
            <w:tcW w:w="4740" w:type="dxa"/>
            <w:vAlign w:val="bottom"/>
            <w:tcBorders>
              <w:bottom w:val="single" w:sz="8" w:color="0000FF"/>
            </w:tcBorders>
            <w:gridSpan w:val="14"/>
          </w:tcPr>
          <w:p>
            <w:pPr>
              <w:spacing w:after="0"/>
              <w:rPr>
                <w:sz w:val="20"/>
                <w:szCs w:val="20"/>
                <w:color w:val="auto"/>
              </w:rPr>
            </w:pPr>
            <w:r>
              <w:rPr>
                <w:rFonts w:ascii="Calibri" w:cs="Calibri" w:eastAsia="Calibri" w:hAnsi="Calibri"/>
                <w:sz w:val="18"/>
                <w:szCs w:val="18"/>
                <w:color w:val="0000FF"/>
              </w:rPr>
              <w:t>Rule 13a-14(a)/15d-14(a) Certfcaton of Principal Financial Ofcer</w:t>
            </w:r>
          </w:p>
        </w:tc>
        <w:tc>
          <w:tcPr>
            <w:tcW w:w="1660" w:type="dxa"/>
            <w:vAlign w:val="bottom"/>
            <w:gridSpan w:val="12"/>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32.1</w:t>
            </w:r>
          </w:p>
        </w:tc>
        <w:tc>
          <w:tcPr>
            <w:tcW w:w="6400" w:type="dxa"/>
            <w:vAlign w:val="bottom"/>
            <w:gridSpan w:val="26"/>
          </w:tcPr>
          <w:p>
            <w:pPr>
              <w:spacing w:after="0"/>
              <w:rPr>
                <w:sz w:val="20"/>
                <w:szCs w:val="20"/>
                <w:color w:val="auto"/>
              </w:rPr>
            </w:pPr>
            <w:r>
              <w:rPr>
                <w:rFonts w:ascii="Calibri" w:cs="Calibri" w:eastAsia="Calibri" w:hAnsi="Calibri"/>
                <w:sz w:val="18"/>
                <w:szCs w:val="18"/>
                <w:color w:val="0000FF"/>
              </w:rPr>
              <w:t>18 U.S.C. Secton 1350 Certfcaton of Principal Executve Ofcer</w:t>
            </w: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32.2</w:t>
            </w:r>
          </w:p>
        </w:tc>
        <w:tc>
          <w:tcPr>
            <w:tcW w:w="4560" w:type="dxa"/>
            <w:vAlign w:val="bottom"/>
            <w:tcBorders>
              <w:top w:val="single" w:sz="8" w:color="0000FF"/>
            </w:tcBorders>
            <w:gridSpan w:val="13"/>
          </w:tcPr>
          <w:p>
            <w:pPr>
              <w:spacing w:after="0"/>
              <w:rPr>
                <w:sz w:val="20"/>
                <w:szCs w:val="20"/>
                <w:color w:val="auto"/>
              </w:rPr>
            </w:pPr>
            <w:r>
              <w:rPr>
                <w:rFonts w:ascii="Calibri" w:cs="Calibri" w:eastAsia="Calibri" w:hAnsi="Calibri"/>
                <w:sz w:val="18"/>
                <w:szCs w:val="18"/>
                <w:color w:val="0000FF"/>
              </w:rPr>
              <w:t>18 U.S.C. Secton 1350 Certfcaton of Principal Financial Ofcer</w:t>
            </w:r>
          </w:p>
        </w:tc>
        <w:tc>
          <w:tcPr>
            <w:tcW w:w="1840" w:type="dxa"/>
            <w:vAlign w:val="bottom"/>
            <w:gridSpan w:val="13"/>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540" w:type="dxa"/>
            <w:vAlign w:val="bottom"/>
            <w:tcBorders>
              <w:right w:val="single" w:sz="8" w:color="0000EE"/>
            </w:tcBorders>
            <w:gridSpan w:val="12"/>
            <w:shd w:val="clear" w:color="auto" w:fill="0000FF"/>
          </w:tcPr>
          <w:p>
            <w:pPr>
              <w:spacing w:after="0" w:line="20" w:lineRule="exact"/>
              <w:rPr>
                <w:sz w:val="1"/>
                <w:szCs w:val="1"/>
                <w:color w:val="auto"/>
              </w:rPr>
            </w:pPr>
          </w:p>
        </w:tc>
        <w:tc>
          <w:tcPr>
            <w:tcW w:w="1860" w:type="dxa"/>
            <w:vAlign w:val="bottom"/>
            <w:gridSpan w:val="1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040" w:type="dxa"/>
            <w:vAlign w:val="bottom"/>
          </w:tcPr>
          <w:p>
            <w:pPr>
              <w:ind w:left="20"/>
              <w:spacing w:after="0"/>
              <w:rPr>
                <w:sz w:val="20"/>
                <w:szCs w:val="20"/>
                <w:color w:val="auto"/>
              </w:rPr>
            </w:pPr>
            <w:r>
              <w:rPr>
                <w:rFonts w:ascii="Calibri" w:cs="Calibri" w:eastAsia="Calibri" w:hAnsi="Calibri"/>
                <w:sz w:val="18"/>
                <w:szCs w:val="18"/>
                <w:color w:val="auto"/>
              </w:rPr>
              <w:t>101.INS</w:t>
            </w:r>
          </w:p>
        </w:tc>
        <w:tc>
          <w:tcPr>
            <w:tcW w:w="6400" w:type="dxa"/>
            <w:vAlign w:val="bottom"/>
            <w:gridSpan w:val="26"/>
          </w:tcPr>
          <w:p>
            <w:pPr>
              <w:spacing w:after="0"/>
              <w:rPr>
                <w:sz w:val="20"/>
                <w:szCs w:val="20"/>
                <w:color w:val="auto"/>
              </w:rPr>
            </w:pPr>
            <w:r>
              <w:rPr>
                <w:rFonts w:ascii="Calibri" w:cs="Calibri" w:eastAsia="Calibri" w:hAnsi="Calibri"/>
                <w:sz w:val="18"/>
                <w:szCs w:val="18"/>
                <w:color w:val="auto"/>
              </w:rPr>
              <w:t>Inline XBRL Instance Document – the instance document does not appear in the</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400" w:type="dxa"/>
            <w:vAlign w:val="bottom"/>
            <w:gridSpan w:val="26"/>
          </w:tcPr>
          <w:p>
            <w:pPr>
              <w:spacing w:after="0" w:line="216" w:lineRule="exact"/>
              <w:rPr>
                <w:sz w:val="20"/>
                <w:szCs w:val="20"/>
                <w:color w:val="auto"/>
              </w:rPr>
            </w:pPr>
            <w:r>
              <w:rPr>
                <w:rFonts w:ascii="Calibri" w:cs="Calibri" w:eastAsia="Calibri" w:hAnsi="Calibri"/>
                <w:sz w:val="18"/>
                <w:szCs w:val="18"/>
                <w:color w:val="auto"/>
              </w:rPr>
              <w:t>Interactve Data File because XBRL tags are embedded within the Inline XBRL document</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40" w:type="dxa"/>
            <w:vAlign w:val="bottom"/>
          </w:tcPr>
          <w:p>
            <w:pPr>
              <w:ind w:left="20"/>
              <w:spacing w:after="0"/>
              <w:rPr>
                <w:sz w:val="20"/>
                <w:szCs w:val="20"/>
                <w:color w:val="auto"/>
              </w:rPr>
            </w:pPr>
            <w:r>
              <w:rPr>
                <w:rFonts w:ascii="Calibri" w:cs="Calibri" w:eastAsia="Calibri" w:hAnsi="Calibri"/>
                <w:sz w:val="18"/>
                <w:szCs w:val="18"/>
                <w:color w:val="auto"/>
              </w:rPr>
              <w:t>101.SCH</w:t>
            </w:r>
          </w:p>
        </w:tc>
        <w:tc>
          <w:tcPr>
            <w:tcW w:w="6400" w:type="dxa"/>
            <w:vAlign w:val="bottom"/>
            <w:gridSpan w:val="26"/>
          </w:tcPr>
          <w:p>
            <w:pPr>
              <w:spacing w:after="0"/>
              <w:rPr>
                <w:sz w:val="20"/>
                <w:szCs w:val="20"/>
                <w:color w:val="auto"/>
              </w:rPr>
            </w:pPr>
            <w:r>
              <w:rPr>
                <w:rFonts w:ascii="Calibri" w:cs="Calibri" w:eastAsia="Calibri" w:hAnsi="Calibri"/>
                <w:sz w:val="18"/>
                <w:szCs w:val="18"/>
                <w:color w:val="auto"/>
              </w:rPr>
              <w:t>Inline XBRL Taxonomy Extension Schema Document</w:t>
            </w: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70"/>
        </w:trPr>
        <w:tc>
          <w:tcPr>
            <w:tcW w:w="1040" w:type="dxa"/>
            <w:vAlign w:val="bottom"/>
          </w:tcPr>
          <w:p>
            <w:pPr>
              <w:ind w:left="20"/>
              <w:spacing w:after="0"/>
              <w:rPr>
                <w:sz w:val="20"/>
                <w:szCs w:val="20"/>
                <w:color w:val="auto"/>
              </w:rPr>
            </w:pPr>
            <w:r>
              <w:rPr>
                <w:rFonts w:ascii="Calibri" w:cs="Calibri" w:eastAsia="Calibri" w:hAnsi="Calibri"/>
                <w:sz w:val="18"/>
                <w:szCs w:val="18"/>
                <w:color w:val="auto"/>
              </w:rPr>
              <w:t>101.CAL</w:t>
            </w:r>
          </w:p>
        </w:tc>
        <w:tc>
          <w:tcPr>
            <w:tcW w:w="6400" w:type="dxa"/>
            <w:vAlign w:val="bottom"/>
            <w:gridSpan w:val="26"/>
          </w:tcPr>
          <w:p>
            <w:pPr>
              <w:spacing w:after="0"/>
              <w:rPr>
                <w:sz w:val="20"/>
                <w:szCs w:val="20"/>
                <w:color w:val="auto"/>
              </w:rPr>
            </w:pPr>
            <w:r>
              <w:rPr>
                <w:rFonts w:ascii="Calibri" w:cs="Calibri" w:eastAsia="Calibri" w:hAnsi="Calibri"/>
                <w:sz w:val="18"/>
                <w:szCs w:val="18"/>
                <w:color w:val="auto"/>
              </w:rPr>
              <w:t>Inline XBRL Taxonomy Extension Calculaton Linkbase Document</w:t>
            </w: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662"/>
        </w:trPr>
        <w:tc>
          <w:tcPr>
            <w:tcW w:w="1040" w:type="dxa"/>
            <w:vAlign w:val="bottom"/>
          </w:tcPr>
          <w:p>
            <w:pPr>
              <w:spacing w:after="0"/>
              <w:rPr>
                <w:sz w:val="24"/>
                <w:szCs w:val="24"/>
                <w:color w:val="auto"/>
              </w:rPr>
            </w:pPr>
          </w:p>
        </w:tc>
        <w:tc>
          <w:tcPr>
            <w:tcW w:w="4740" w:type="dxa"/>
            <w:vAlign w:val="bottom"/>
            <w:gridSpan w:val="14"/>
          </w:tcPr>
          <w:p>
            <w:pPr>
              <w:ind w:left="4500"/>
              <w:spacing w:after="0"/>
              <w:rPr>
                <w:sz w:val="20"/>
                <w:szCs w:val="20"/>
                <w:color w:val="auto"/>
              </w:rPr>
            </w:pPr>
            <w:r>
              <w:rPr>
                <w:rFonts w:ascii="Calibri" w:cs="Calibri" w:eastAsia="Calibri" w:hAnsi="Calibri"/>
                <w:sz w:val="18"/>
                <w:szCs w:val="18"/>
                <w:color w:val="auto"/>
              </w:rPr>
              <w:t>41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 w:name="page44"/>
    <w:bookmarkEnd w:id="43"/>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800" w:type="dxa"/>
            <w:vAlign w:val="bottom"/>
          </w:tcPr>
          <w:p>
            <w:pPr>
              <w:spacing w:after="0"/>
              <w:rPr>
                <w:sz w:val="20"/>
                <w:szCs w:val="20"/>
                <w:color w:val="auto"/>
              </w:rPr>
            </w:pPr>
            <w:r>
              <w:rPr>
                <w:rFonts w:ascii="Calibri" w:cs="Calibri" w:eastAsia="Calibri" w:hAnsi="Calibri"/>
                <w:sz w:val="18"/>
                <w:szCs w:val="18"/>
                <w:color w:val="auto"/>
              </w:rPr>
              <w:t>101.DEF</w:t>
            </w:r>
          </w:p>
        </w:tc>
        <w:tc>
          <w:tcPr>
            <w:tcW w:w="7780" w:type="dxa"/>
            <w:vAlign w:val="bottom"/>
          </w:tcPr>
          <w:p>
            <w:pPr>
              <w:ind w:left="220"/>
              <w:spacing w:after="0"/>
              <w:rPr>
                <w:sz w:val="20"/>
                <w:szCs w:val="20"/>
                <w:color w:val="auto"/>
              </w:rPr>
            </w:pPr>
            <w:r>
              <w:rPr>
                <w:rFonts w:ascii="Calibri" w:cs="Calibri" w:eastAsia="Calibri" w:hAnsi="Calibri"/>
                <w:sz w:val="18"/>
                <w:szCs w:val="18"/>
                <w:color w:val="auto"/>
              </w:rPr>
              <w:t>Inline XBRL Taxonomy Extension Defniton Linkbase Document</w:t>
            </w:r>
          </w:p>
        </w:tc>
        <w:tc>
          <w:tcPr>
            <w:tcW w:w="212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70"/>
        </w:trPr>
        <w:tc>
          <w:tcPr>
            <w:tcW w:w="800" w:type="dxa"/>
            <w:vAlign w:val="bottom"/>
          </w:tcPr>
          <w:p>
            <w:pPr>
              <w:spacing w:after="0"/>
              <w:rPr>
                <w:sz w:val="20"/>
                <w:szCs w:val="20"/>
                <w:color w:val="auto"/>
              </w:rPr>
            </w:pPr>
            <w:r>
              <w:rPr>
                <w:rFonts w:ascii="Calibri" w:cs="Calibri" w:eastAsia="Calibri" w:hAnsi="Calibri"/>
                <w:sz w:val="18"/>
                <w:szCs w:val="18"/>
                <w:color w:val="auto"/>
              </w:rPr>
              <w:t>101.LAB</w:t>
            </w:r>
          </w:p>
        </w:tc>
        <w:tc>
          <w:tcPr>
            <w:tcW w:w="7780" w:type="dxa"/>
            <w:vAlign w:val="bottom"/>
          </w:tcPr>
          <w:p>
            <w:pPr>
              <w:ind w:left="220"/>
              <w:spacing w:after="0"/>
              <w:rPr>
                <w:sz w:val="20"/>
                <w:szCs w:val="20"/>
                <w:color w:val="auto"/>
              </w:rPr>
            </w:pPr>
            <w:r>
              <w:rPr>
                <w:rFonts w:ascii="Calibri" w:cs="Calibri" w:eastAsia="Calibri" w:hAnsi="Calibri"/>
                <w:sz w:val="18"/>
                <w:szCs w:val="18"/>
                <w:color w:val="auto"/>
              </w:rPr>
              <w:t>Inline XBRL Taxonomy Extension Label Linkbase Document</w:t>
            </w:r>
          </w:p>
        </w:tc>
        <w:tc>
          <w:tcPr>
            <w:tcW w:w="212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70"/>
        </w:trPr>
        <w:tc>
          <w:tcPr>
            <w:tcW w:w="800" w:type="dxa"/>
            <w:vAlign w:val="bottom"/>
          </w:tcPr>
          <w:p>
            <w:pPr>
              <w:spacing w:after="0"/>
              <w:rPr>
                <w:sz w:val="20"/>
                <w:szCs w:val="20"/>
                <w:color w:val="auto"/>
              </w:rPr>
            </w:pPr>
            <w:r>
              <w:rPr>
                <w:rFonts w:ascii="Calibri" w:cs="Calibri" w:eastAsia="Calibri" w:hAnsi="Calibri"/>
                <w:sz w:val="18"/>
                <w:szCs w:val="18"/>
                <w:color w:val="auto"/>
              </w:rPr>
              <w:t>101.PRE</w:t>
            </w:r>
          </w:p>
        </w:tc>
        <w:tc>
          <w:tcPr>
            <w:tcW w:w="7780" w:type="dxa"/>
            <w:vAlign w:val="bottom"/>
          </w:tcPr>
          <w:p>
            <w:pPr>
              <w:ind w:left="220"/>
              <w:spacing w:after="0"/>
              <w:rPr>
                <w:sz w:val="20"/>
                <w:szCs w:val="20"/>
                <w:color w:val="auto"/>
              </w:rPr>
            </w:pPr>
            <w:r>
              <w:rPr>
                <w:rFonts w:ascii="Calibri" w:cs="Calibri" w:eastAsia="Calibri" w:hAnsi="Calibri"/>
                <w:sz w:val="18"/>
                <w:szCs w:val="18"/>
                <w:color w:val="auto"/>
              </w:rPr>
              <w:t>Inline XBRL Taxonomy Extension Presentaton Linkbase Document</w:t>
            </w:r>
          </w:p>
        </w:tc>
        <w:tc>
          <w:tcPr>
            <w:tcW w:w="212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70"/>
        </w:trPr>
        <w:tc>
          <w:tcPr>
            <w:tcW w:w="800" w:type="dxa"/>
            <w:vAlign w:val="bottom"/>
          </w:tcPr>
          <w:p>
            <w:pPr>
              <w:spacing w:after="0"/>
              <w:rPr>
                <w:sz w:val="20"/>
                <w:szCs w:val="20"/>
                <w:color w:val="auto"/>
              </w:rPr>
            </w:pPr>
            <w:r>
              <w:rPr>
                <w:rFonts w:ascii="Calibri" w:cs="Calibri" w:eastAsia="Calibri" w:hAnsi="Calibri"/>
                <w:sz w:val="18"/>
                <w:szCs w:val="18"/>
                <w:color w:val="auto"/>
              </w:rPr>
              <w:t>104</w:t>
            </w:r>
          </w:p>
        </w:tc>
        <w:tc>
          <w:tcPr>
            <w:tcW w:w="7780" w:type="dxa"/>
            <w:vAlign w:val="bottom"/>
          </w:tcPr>
          <w:p>
            <w:pPr>
              <w:ind w:left="220"/>
              <w:spacing w:after="0"/>
              <w:rPr>
                <w:sz w:val="20"/>
                <w:szCs w:val="20"/>
                <w:color w:val="auto"/>
              </w:rPr>
            </w:pPr>
            <w:r>
              <w:rPr>
                <w:rFonts w:ascii="Calibri" w:cs="Calibri" w:eastAsia="Calibri" w:hAnsi="Calibri"/>
                <w:sz w:val="18"/>
                <w:szCs w:val="18"/>
                <w:color w:val="auto"/>
              </w:rPr>
              <w:t>Cover Page Interactve Data File (embedded within the Inline XBRL Document)</w:t>
            </w:r>
          </w:p>
        </w:tc>
        <w:tc>
          <w:tcPr>
            <w:tcW w:w="2120" w:type="dxa"/>
            <w:vAlign w:val="bottom"/>
          </w:tcPr>
          <w:p>
            <w:pPr>
              <w:jc w:val="right"/>
              <w:spacing w:after="0"/>
              <w:rPr>
                <w:sz w:val="20"/>
                <w:szCs w:val="20"/>
                <w:color w:val="auto"/>
              </w:rPr>
            </w:pPr>
            <w:r>
              <w:rPr>
                <w:rFonts w:ascii="Calibri" w:cs="Calibri" w:eastAsia="Calibri" w:hAnsi="Calibri"/>
                <w:sz w:val="18"/>
                <w:szCs w:val="18"/>
                <w:color w:val="auto"/>
              </w:rPr>
              <w:t>*</w:t>
            </w:r>
          </w:p>
        </w:tc>
      </w:tr>
    </w:tbl>
    <w:p>
      <w:pPr>
        <w:spacing w:after="0" w:line="118" w:lineRule="exact"/>
        <w:rPr>
          <w:sz w:val="20"/>
          <w:szCs w:val="20"/>
          <w:color w:val="auto"/>
        </w:rPr>
      </w:pPr>
    </w:p>
    <w:p>
      <w:pPr>
        <w:ind w:left="320" w:hanging="312"/>
        <w:spacing w:after="0"/>
        <w:tabs>
          <w:tab w:leader="none" w:pos="32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Filed herewith.</w:t>
      </w:r>
    </w:p>
    <w:p>
      <w:pPr>
        <w:spacing w:after="0"/>
        <w:tabs>
          <w:tab w:leader="none" w:pos="300" w:val="left"/>
        </w:tabs>
        <w:rPr>
          <w:sz w:val="20"/>
          <w:szCs w:val="20"/>
          <w:color w:val="auto"/>
        </w:rPr>
      </w:pP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Furnished herewith.</w:t>
      </w:r>
    </w:p>
    <w:p>
      <w:pPr>
        <w:ind w:left="320" w:hanging="312"/>
        <w:spacing w:after="0" w:line="236" w:lineRule="auto"/>
        <w:tabs>
          <w:tab w:leader="none" w:pos="32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Indicates management contract or compensatory plan.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documents fled as exhibits to this Report are not intended to provide factual informaton other than with respect to the terms of the documents themselves, and should not be relied on for that purpose. In partcular, any representatons and warrantes contained in any such document were made solely within the context of such document and do not apply in any other context or at any tme other than the date on which they were made.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jc w:val="center"/>
        <w:spacing w:after="0"/>
        <w:rPr>
          <w:sz w:val="20"/>
          <w:szCs w:val="20"/>
          <w:color w:val="auto"/>
        </w:rPr>
      </w:pPr>
      <w:r>
        <w:rPr>
          <w:rFonts w:ascii="Calibri" w:cs="Calibri" w:eastAsia="Calibri" w:hAnsi="Calibri"/>
          <w:sz w:val="18"/>
          <w:szCs w:val="18"/>
          <w:b w:val="1"/>
          <w:bCs w:val="1"/>
          <w:color w:val="auto"/>
        </w:rPr>
        <w:t>Signatures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105" w:lineRule="exact"/>
        <w:rPr>
          <w:sz w:val="20"/>
          <w:szCs w:val="20"/>
          <w:color w:val="auto"/>
        </w:rPr>
      </w:pPr>
    </w:p>
    <w:p>
      <w:pPr>
        <w:ind w:left="5680"/>
        <w:spacing w:after="0"/>
        <w:rPr>
          <w:sz w:val="20"/>
          <w:szCs w:val="20"/>
          <w:color w:val="auto"/>
        </w:rPr>
      </w:pPr>
      <w:r>
        <w:rPr>
          <w:rFonts w:ascii="Calibri" w:cs="Calibri" w:eastAsia="Calibri" w:hAnsi="Calibri"/>
          <w:sz w:val="18"/>
          <w:szCs w:val="18"/>
          <w:color w:val="auto"/>
        </w:rPr>
        <w:t>Vivid Seats Inc.</w:t>
      </w:r>
    </w:p>
    <w:p>
      <w:pPr>
        <w:spacing w:after="0" w:line="239" w:lineRule="exact"/>
        <w:rPr>
          <w:sz w:val="20"/>
          <w:szCs w:val="20"/>
          <w:color w:val="auto"/>
        </w:rPr>
      </w:pPr>
    </w:p>
    <w:p>
      <w:pPr>
        <w:ind w:left="5680"/>
        <w:spacing w:after="0"/>
        <w:tabs>
          <w:tab w:leader="none" w:pos="6100" w:val="left"/>
        </w:tabs>
        <w:rPr>
          <w:sz w:val="20"/>
          <w:szCs w:val="20"/>
          <w:color w:val="auto"/>
        </w:rPr>
      </w:pPr>
      <w:r>
        <w:rPr>
          <w:rFonts w:ascii="Calibri" w:cs="Calibri" w:eastAsia="Calibri" w:hAnsi="Calibri"/>
          <w:sz w:val="18"/>
          <w:szCs w:val="18"/>
          <w:color w:val="auto"/>
        </w:rPr>
        <w:t>By:</w:t>
        <w:tab/>
        <w:t>/s/ Stanley Chia</w:t>
      </w:r>
    </w:p>
    <w:p>
      <w:pPr>
        <w:spacing w:after="0" w:line="23" w:lineRule="exact"/>
        <w:rPr>
          <w:sz w:val="20"/>
          <w:szCs w:val="20"/>
          <w:color w:val="auto"/>
        </w:rPr>
      </w:pPr>
    </w:p>
    <w:p>
      <w:pPr>
        <w:ind w:left="6120"/>
        <w:spacing w:after="0"/>
        <w:rPr>
          <w:sz w:val="20"/>
          <w:szCs w:val="20"/>
          <w:color w:val="auto"/>
        </w:rPr>
      </w:pPr>
      <w:r>
        <w:rPr>
          <w:rFonts w:ascii="Calibri" w:cs="Calibri" w:eastAsia="Calibri" w:hAnsi="Calibri"/>
          <w:sz w:val="18"/>
          <w:szCs w:val="18"/>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-130175</wp:posOffset>
            </wp:positionV>
            <wp:extent cx="325755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9">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ind w:left="6120"/>
        <w:spacing w:after="0"/>
        <w:rPr>
          <w:sz w:val="20"/>
          <w:szCs w:val="20"/>
          <w:color w:val="auto"/>
        </w:rPr>
      </w:pPr>
      <w:r>
        <w:rPr>
          <w:rFonts w:ascii="Calibri" w:cs="Calibri" w:eastAsia="Calibri" w:hAnsi="Calibri"/>
          <w:sz w:val="18"/>
          <w:szCs w:val="18"/>
          <w:color w:val="auto"/>
        </w:rPr>
        <w:t>Chief Executve Ofcer</w:t>
      </w:r>
    </w:p>
    <w:p>
      <w:pPr>
        <w:spacing w:after="0" w:line="10" w:lineRule="exact"/>
        <w:rPr>
          <w:sz w:val="20"/>
          <w:szCs w:val="20"/>
          <w:color w:val="auto"/>
        </w:rPr>
      </w:pPr>
    </w:p>
    <w:p>
      <w:pPr>
        <w:ind w:left="6120"/>
        <w:spacing w:after="0"/>
        <w:rPr>
          <w:sz w:val="20"/>
          <w:szCs w:val="20"/>
          <w:color w:val="auto"/>
        </w:rPr>
      </w:pPr>
      <w:r>
        <w:rPr>
          <w:rFonts w:ascii="Calibri" w:cs="Calibri" w:eastAsia="Calibri" w:hAnsi="Calibri"/>
          <w:sz w:val="18"/>
          <w:szCs w:val="18"/>
          <w:color w:val="auto"/>
        </w:rPr>
        <w:t>August 6, 2024</w:t>
      </w:r>
    </w:p>
    <w:p>
      <w:pPr>
        <w:spacing w:after="0" w:line="239" w:lineRule="exact"/>
        <w:rPr>
          <w:sz w:val="20"/>
          <w:szCs w:val="20"/>
          <w:color w:val="auto"/>
        </w:rPr>
      </w:pPr>
    </w:p>
    <w:p>
      <w:pPr>
        <w:ind w:left="5680"/>
        <w:spacing w:after="0"/>
        <w:tabs>
          <w:tab w:leader="none" w:pos="6100" w:val="left"/>
        </w:tabs>
        <w:rPr>
          <w:sz w:val="20"/>
          <w:szCs w:val="20"/>
          <w:color w:val="auto"/>
        </w:rPr>
      </w:pPr>
      <w:r>
        <w:rPr>
          <w:rFonts w:ascii="Calibri" w:cs="Calibri" w:eastAsia="Calibri" w:hAnsi="Calibri"/>
          <w:sz w:val="18"/>
          <w:szCs w:val="18"/>
          <w:color w:val="auto"/>
        </w:rPr>
        <w:t>By:</w:t>
        <w:tab/>
        <w:t>/s/ Lawrence Fey</w:t>
      </w:r>
    </w:p>
    <w:p>
      <w:pPr>
        <w:spacing w:after="0" w:line="23" w:lineRule="exact"/>
        <w:rPr>
          <w:sz w:val="20"/>
          <w:szCs w:val="20"/>
          <w:color w:val="auto"/>
        </w:rPr>
      </w:pPr>
    </w:p>
    <w:p>
      <w:pPr>
        <w:ind w:left="6120"/>
        <w:spacing w:after="0"/>
        <w:rPr>
          <w:sz w:val="20"/>
          <w:szCs w:val="20"/>
          <w:color w:val="auto"/>
        </w:rPr>
      </w:pPr>
      <w:r>
        <w:rPr>
          <w:rFonts w:ascii="Calibri" w:cs="Calibri" w:eastAsia="Calibri" w:hAnsi="Calibri"/>
          <w:sz w:val="18"/>
          <w:szCs w:val="18"/>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-130175</wp:posOffset>
            </wp:positionV>
            <wp:extent cx="325755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ind w:left="6120"/>
        <w:spacing w:after="0"/>
        <w:rPr>
          <w:sz w:val="20"/>
          <w:szCs w:val="20"/>
          <w:color w:val="auto"/>
        </w:rPr>
      </w:pPr>
      <w:r>
        <w:rPr>
          <w:rFonts w:ascii="Calibri" w:cs="Calibri" w:eastAsia="Calibri" w:hAnsi="Calibri"/>
          <w:sz w:val="18"/>
          <w:szCs w:val="18"/>
          <w:color w:val="auto"/>
        </w:rPr>
        <w:t>Chief Financial Ofcer</w:t>
      </w:r>
    </w:p>
    <w:p>
      <w:pPr>
        <w:spacing w:after="0" w:line="10" w:lineRule="exact"/>
        <w:rPr>
          <w:sz w:val="20"/>
          <w:szCs w:val="20"/>
          <w:color w:val="auto"/>
        </w:rPr>
      </w:pPr>
    </w:p>
    <w:p>
      <w:pPr>
        <w:ind w:left="6120"/>
        <w:spacing w:after="0"/>
        <w:rPr>
          <w:sz w:val="20"/>
          <w:szCs w:val="20"/>
          <w:color w:val="auto"/>
        </w:rPr>
      </w:pPr>
      <w:r>
        <w:rPr>
          <w:rFonts w:ascii="Calibri" w:cs="Calibri" w:eastAsia="Calibri" w:hAnsi="Calibri"/>
          <w:sz w:val="18"/>
          <w:szCs w:val="18"/>
          <w:color w:val="auto"/>
        </w:rPr>
        <w:t>August 6, 2024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 w:name="page46"/>
    <w:bookmarkEnd w:id="45"/>
    <w:p>
      <w:pPr>
        <w:jc w:val="right"/>
        <w:spacing w:after="0"/>
        <w:rPr>
          <w:sz w:val="20"/>
          <w:szCs w:val="20"/>
          <w:color w:val="auto"/>
        </w:rPr>
      </w:pPr>
      <w:r>
        <w:rPr>
          <w:rFonts w:ascii="Calibri" w:cs="Calibri" w:eastAsia="Calibri" w:hAnsi="Calibri"/>
          <w:sz w:val="18"/>
          <w:szCs w:val="18"/>
          <w:b w:val="1"/>
          <w:bCs w:val="1"/>
          <w:color w:val="auto"/>
        </w:rPr>
        <w:t>Exhibit 10.2</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AMENDMENT TO</w:t>
      </w:r>
    </w:p>
    <w:p>
      <w:pPr>
        <w:jc w:val="center"/>
        <w:spacing w:after="0" w:line="235" w:lineRule="auto"/>
        <w:rPr>
          <w:sz w:val="20"/>
          <w:szCs w:val="20"/>
          <w:color w:val="auto"/>
        </w:rPr>
      </w:pPr>
      <w:r>
        <w:rPr>
          <w:rFonts w:ascii="Calibri" w:cs="Calibri" w:eastAsia="Calibri" w:hAnsi="Calibri"/>
          <w:sz w:val="18"/>
          <w:szCs w:val="18"/>
          <w:b w:val="1"/>
          <w:bCs w:val="1"/>
          <w:color w:val="auto"/>
        </w:rPr>
        <w:t>EMPLOYMENT AGREEMENT</w:t>
      </w:r>
    </w:p>
    <w:p>
      <w:pPr>
        <w:spacing w:after="0" w:line="11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This Amendment to Employment Agreement (this “</w:t>
      </w:r>
      <w:r>
        <w:rPr>
          <w:rFonts w:ascii="Calibri" w:cs="Calibri" w:eastAsia="Calibri" w:hAnsi="Calibri"/>
          <w:sz w:val="18"/>
          <w:szCs w:val="18"/>
          <w:b w:val="1"/>
          <w:bCs w:val="1"/>
          <w:i w:val="1"/>
          <w:iCs w:val="1"/>
          <w:color w:val="auto"/>
        </w:rPr>
        <w:t>Amendm. ent</w:t>
      </w:r>
      <w:r>
        <w:rPr>
          <w:rFonts w:ascii="Calibri" w:cs="Calibri" w:eastAsia="Calibri" w:hAnsi="Calibri"/>
          <w:sz w:val="18"/>
          <w:szCs w:val="18"/>
          <w:color w:val="auto"/>
        </w:rPr>
        <w:t>”) is entered into by and among Vivid Seats Inc. and Vivid Seats LLC (together, the “</w:t>
      </w:r>
      <w:r>
        <w:rPr>
          <w:rFonts w:ascii="Calibri" w:cs="Calibri" w:eastAsia="Calibri" w:hAnsi="Calibri"/>
          <w:sz w:val="18"/>
          <w:szCs w:val="18"/>
          <w:b w:val="1"/>
          <w:bCs w:val="1"/>
          <w:i w:val="1"/>
          <w:iCs w:val="1"/>
          <w:color w:val="auto"/>
        </w:rPr>
        <w:t>Company</w:t>
      </w:r>
      <w:r>
        <w:rPr>
          <w:rFonts w:ascii="Calibri" w:cs="Calibri" w:eastAsia="Calibri" w:hAnsi="Calibri"/>
          <w:sz w:val="18"/>
          <w:szCs w:val="18"/>
          <w:color w:val="auto"/>
        </w:rPr>
        <w:t>”) and Stanley Chia (“</w:t>
      </w:r>
      <w:r>
        <w:rPr>
          <w:rFonts w:ascii="Calibri" w:cs="Calibri" w:eastAsia="Calibri" w:hAnsi="Calibri"/>
          <w:sz w:val="18"/>
          <w:szCs w:val="18"/>
          <w:b w:val="1"/>
          <w:bCs w:val="1"/>
          <w:i w:val="1"/>
          <w:iCs w:val="1"/>
          <w:color w:val="auto"/>
        </w:rPr>
        <w:t>Executve</w:t>
      </w:r>
      <w:r>
        <w:rPr>
          <w:rFonts w:ascii="Calibri" w:cs="Calibri" w:eastAsia="Calibri" w:hAnsi="Calibri"/>
          <w:sz w:val="18"/>
          <w:szCs w:val="18"/>
          <w:color w:val="auto"/>
        </w:rPr>
        <w:t>”) (each, a “</w:t>
      </w:r>
      <w:r>
        <w:rPr>
          <w:rFonts w:ascii="Calibri" w:cs="Calibri" w:eastAsia="Calibri" w:hAnsi="Calibri"/>
          <w:sz w:val="18"/>
          <w:szCs w:val="18"/>
          <w:b w:val="1"/>
          <w:bCs w:val="1"/>
          <w:i w:val="1"/>
          <w:iCs w:val="1"/>
          <w:color w:val="auto"/>
        </w:rPr>
        <w:t>Party</w:t>
      </w:r>
      <w:r>
        <w:rPr>
          <w:rFonts w:ascii="Calibri" w:cs="Calibri" w:eastAsia="Calibri" w:hAnsi="Calibri"/>
          <w:sz w:val="18"/>
          <w:szCs w:val="18"/>
          <w:color w:val="auto"/>
        </w:rPr>
        <w:t>,” and collectvely, the “</w:t>
      </w:r>
      <w:r>
        <w:rPr>
          <w:rFonts w:ascii="Calibri" w:cs="Calibri" w:eastAsia="Calibri" w:hAnsi="Calibri"/>
          <w:sz w:val="18"/>
          <w:szCs w:val="18"/>
          <w:b w:val="1"/>
          <w:bCs w:val="1"/>
          <w:i w:val="1"/>
          <w:iCs w:val="1"/>
          <w:color w:val="auto"/>
        </w:rPr>
        <w:t>Partes</w:t>
      </w:r>
      <w:r>
        <w:rPr>
          <w:rFonts w:ascii="Calibri" w:cs="Calibri" w:eastAsia="Calibri" w:hAnsi="Calibri"/>
          <w:sz w:val="18"/>
          <w:szCs w:val="18"/>
          <w:color w:val="auto"/>
        </w:rPr>
        <w:t>”) as of June 26, 2024 (the “</w:t>
      </w:r>
      <w:r>
        <w:rPr>
          <w:rFonts w:ascii="Calibri" w:cs="Calibri" w:eastAsia="Calibri" w:hAnsi="Calibri"/>
          <w:sz w:val="18"/>
          <w:szCs w:val="18"/>
          <w:b w:val="1"/>
          <w:bCs w:val="1"/>
          <w:i w:val="1"/>
          <w:iCs w:val="1"/>
          <w:color w:val="auto"/>
        </w:rPr>
        <w:t>Efectve Date</w:t>
      </w:r>
      <w:r>
        <w:rPr>
          <w:rFonts w:ascii="Calibri" w:cs="Calibri" w:eastAsia="Calibri" w:hAnsi="Calibri"/>
          <w:sz w:val="18"/>
          <w:szCs w:val="18"/>
          <w:color w:val="auto"/>
        </w:rPr>
        <w: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and Executve previously entered into an Employment Agreement, dated August 9, 2021 (the “</w:t>
      </w:r>
      <w:r>
        <w:rPr>
          <w:rFonts w:ascii="Calibri" w:cs="Calibri" w:eastAsia="Calibri" w:hAnsi="Calibri"/>
          <w:sz w:val="18"/>
          <w:szCs w:val="18"/>
          <w:b w:val="1"/>
          <w:bCs w:val="1"/>
          <w:i w:val="1"/>
          <w:iCs w:val="1"/>
          <w:color w:val="auto"/>
        </w:rPr>
        <w:t>Employment Agreement</w:t>
      </w:r>
      <w:r>
        <w:rPr>
          <w:rFonts w:ascii="Calibri" w:cs="Calibri" w:eastAsia="Calibri" w:hAnsi="Calibri"/>
          <w:sz w:val="18"/>
          <w:szCs w:val="18"/>
          <w:color w:val="auto"/>
        </w:rPr>
        <w:t>”), and the Company and Executve now desire to amend the Employment Agreement pursuant to the terms hereof. In consideraton of Executve’s contnued engagement with the Company and other good and valuable consideraton, the receipt and sufciency of which is hereby acknowledged, and intending to be legally bound, the Partes agree as follows:</w:t>
      </w:r>
    </w:p>
    <w:p>
      <w:pPr>
        <w:spacing w:after="0" w:line="107" w:lineRule="exact"/>
        <w:rPr>
          <w:sz w:val="20"/>
          <w:szCs w:val="20"/>
          <w:color w:val="auto"/>
        </w:rPr>
      </w:pPr>
    </w:p>
    <w:p>
      <w:pPr>
        <w:ind w:left="380" w:hanging="372"/>
        <w:spacing w:after="0"/>
        <w:tabs>
          <w:tab w:leader="none" w:pos="380" w:val="left"/>
        </w:tabs>
        <w:numPr>
          <w:ilvl w:val="0"/>
          <w:numId w:val="10"/>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Defnitons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Capitalized terms used herein and not otherwise defned shall have the same meaning as set forth in the Employment Agreement.</w:t>
      </w:r>
    </w:p>
    <w:p>
      <w:pPr>
        <w:spacing w:after="0" w:line="104" w:lineRule="exact"/>
        <w:rPr>
          <w:sz w:val="20"/>
          <w:szCs w:val="20"/>
          <w:color w:val="auto"/>
        </w:rPr>
      </w:pPr>
    </w:p>
    <w:p>
      <w:pPr>
        <w:ind w:left="380" w:hanging="372"/>
        <w:spacing w:after="0"/>
        <w:tabs>
          <w:tab w:leader="none" w:pos="380" w:val="left"/>
        </w:tabs>
        <w:numPr>
          <w:ilvl w:val="0"/>
          <w:numId w:val="11"/>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Amendments</w:t>
      </w:r>
      <w:r>
        <w:rPr>
          <w:rFonts w:ascii="Calibri" w:cs="Calibri" w:eastAsia="Calibri" w:hAnsi="Calibri"/>
          <w:sz w:val="18"/>
          <w:szCs w:val="18"/>
          <w:color w:val="auto"/>
        </w:rPr>
        <w:t>.</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Partes hereby agree that the Employment Agreement shall be amended as follows:</w:t>
      </w:r>
    </w:p>
    <w:p>
      <w:pPr>
        <w:spacing w:after="0" w:line="109" w:lineRule="exact"/>
        <w:rPr>
          <w:sz w:val="20"/>
          <w:szCs w:val="20"/>
          <w:color w:val="auto"/>
        </w:rPr>
      </w:pPr>
    </w:p>
    <w:p>
      <w:pPr>
        <w:ind w:left="760" w:hanging="378"/>
        <w:spacing w:after="0" w:line="235" w:lineRule="auto"/>
        <w:tabs>
          <w:tab w:leader="none" w:pos="760" w:val="left"/>
        </w:tabs>
        <w:numPr>
          <w:ilvl w:val="0"/>
          <w:numId w:val="12"/>
        </w:numPr>
        <w:rPr>
          <w:rFonts w:ascii="Calibri" w:cs="Calibri" w:eastAsia="Calibri" w:hAnsi="Calibri"/>
          <w:sz w:val="18"/>
          <w:szCs w:val="18"/>
          <w:color w:val="auto"/>
        </w:rPr>
      </w:pPr>
      <w:r>
        <w:rPr>
          <w:rFonts w:ascii="Calibri" w:cs="Calibri" w:eastAsia="Calibri" w:hAnsi="Calibri"/>
          <w:sz w:val="18"/>
          <w:szCs w:val="18"/>
          <w:b w:val="1"/>
          <w:bCs w:val="1"/>
          <w:color w:val="auto"/>
        </w:rPr>
        <w:t>Secton 9(e)</w:t>
      </w:r>
      <w:r>
        <w:rPr>
          <w:rFonts w:ascii="Calibri" w:cs="Calibri" w:eastAsia="Calibri" w:hAnsi="Calibri"/>
          <w:sz w:val="18"/>
          <w:szCs w:val="18"/>
          <w:color w:val="auto"/>
        </w:rPr>
        <w:t>. Secton 9(e) of the Employment Agreement shall be stricken in its entrety. All other provisions in Secton 9 of the Employment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Agreement shall remain the same.</w:t>
      </w:r>
    </w:p>
    <w:p>
      <w:pPr>
        <w:spacing w:after="0" w:line="109" w:lineRule="exact"/>
        <w:rPr>
          <w:rFonts w:ascii="Calibri" w:cs="Calibri" w:eastAsia="Calibri" w:hAnsi="Calibri"/>
          <w:sz w:val="18"/>
          <w:szCs w:val="18"/>
          <w:color w:val="auto"/>
        </w:rPr>
      </w:pPr>
    </w:p>
    <w:p>
      <w:pPr>
        <w:ind w:left="760" w:hanging="378"/>
        <w:spacing w:after="0" w:line="235" w:lineRule="auto"/>
        <w:tabs>
          <w:tab w:leader="none" w:pos="760" w:val="left"/>
        </w:tabs>
        <w:numPr>
          <w:ilvl w:val="0"/>
          <w:numId w:val="12"/>
        </w:numPr>
        <w:rPr>
          <w:rFonts w:ascii="Calibri" w:cs="Calibri" w:eastAsia="Calibri" w:hAnsi="Calibri"/>
          <w:sz w:val="18"/>
          <w:szCs w:val="18"/>
          <w:color w:val="auto"/>
        </w:rPr>
      </w:pPr>
      <w:r>
        <w:rPr>
          <w:rFonts w:ascii="Calibri" w:cs="Calibri" w:eastAsia="Calibri" w:hAnsi="Calibri"/>
          <w:sz w:val="18"/>
          <w:szCs w:val="18"/>
          <w:b w:val="1"/>
          <w:bCs w:val="1"/>
          <w:color w:val="auto"/>
        </w:rPr>
        <w:t>Secton 10</w:t>
      </w:r>
      <w:r>
        <w:rPr>
          <w:rFonts w:ascii="Calibri" w:cs="Calibri" w:eastAsia="Calibri" w:hAnsi="Calibri"/>
          <w:sz w:val="18"/>
          <w:szCs w:val="18"/>
          <w:color w:val="auto"/>
        </w:rPr>
        <w:t>. The Employment Agreement shall be amended to include a new Secton 10. All subsequent Secton numbers and references to such</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Sectons shall be adjusted accordingly. The new Secton 10 shall comprise the following provisions:</w:t>
      </w:r>
    </w:p>
    <w:p>
      <w:pPr>
        <w:spacing w:after="0" w:line="109" w:lineRule="exact"/>
        <w:rPr>
          <w:rFonts w:ascii="Calibri" w:cs="Calibri" w:eastAsia="Calibri" w:hAnsi="Calibri"/>
          <w:sz w:val="18"/>
          <w:szCs w:val="18"/>
          <w:color w:val="auto"/>
        </w:rPr>
      </w:pPr>
    </w:p>
    <w:p>
      <w:pPr>
        <w:jc w:val="both"/>
        <w:ind w:left="1140" w:hanging="383"/>
        <w:spacing w:after="0" w:line="235" w:lineRule="auto"/>
        <w:tabs>
          <w:tab w:leader="none" w:pos="1083" w:val="left"/>
        </w:tabs>
        <w:numPr>
          <w:ilvl w:val="1"/>
          <w:numId w:val="12"/>
        </w:numPr>
        <w:rPr>
          <w:rFonts w:ascii="Calibri" w:cs="Calibri" w:eastAsia="Calibri" w:hAnsi="Calibri"/>
          <w:sz w:val="18"/>
          <w:szCs w:val="18"/>
          <w:color w:val="auto"/>
        </w:rPr>
      </w:pPr>
      <w:r>
        <w:rPr>
          <w:rFonts w:ascii="Calibri" w:cs="Calibri" w:eastAsia="Calibri" w:hAnsi="Calibri"/>
          <w:sz w:val="18"/>
          <w:szCs w:val="18"/>
          <w:color w:val="auto"/>
        </w:rPr>
        <w:t>If, at any tme during the period beginning 12 months prior to a Change in Control (as defned in the Company’s 2021 Incentve Award Plan, as amended) and ending 12 months following a Change in Control, the Company terminates your employment and such terminaton consttutes a Qualifying Terminaton, you will be enttled to receive the following payments and benefts:</w:t>
      </w:r>
    </w:p>
    <w:p>
      <w:pPr>
        <w:spacing w:after="0" w:line="105" w:lineRule="exact"/>
        <w:rPr>
          <w:rFonts w:ascii="Calibri" w:cs="Calibri" w:eastAsia="Calibri" w:hAnsi="Calibri"/>
          <w:sz w:val="18"/>
          <w:szCs w:val="18"/>
          <w:color w:val="auto"/>
        </w:rPr>
      </w:pPr>
    </w:p>
    <w:p>
      <w:pPr>
        <w:ind w:left="1440" w:hanging="309"/>
        <w:spacing w:after="0"/>
        <w:tabs>
          <w:tab w:leader="none" w:pos="1440" w:val="left"/>
        </w:tabs>
        <w:numPr>
          <w:ilvl w:val="2"/>
          <w:numId w:val="12"/>
        </w:numPr>
        <w:rPr>
          <w:rFonts w:ascii="Calibri" w:cs="Calibri" w:eastAsia="Calibri" w:hAnsi="Calibri"/>
          <w:sz w:val="18"/>
          <w:szCs w:val="18"/>
          <w:color w:val="auto"/>
        </w:rPr>
      </w:pPr>
      <w:r>
        <w:rPr>
          <w:rFonts w:ascii="Calibri" w:cs="Calibri" w:eastAsia="Calibri" w:hAnsi="Calibri"/>
          <w:sz w:val="18"/>
          <w:szCs w:val="18"/>
          <w:color w:val="auto"/>
        </w:rPr>
        <w:t>a severance payment equal to 18 months of your then applicable Base Salary (the “</w:t>
      </w:r>
      <w:r>
        <w:rPr>
          <w:rFonts w:ascii="Calibri" w:cs="Calibri" w:eastAsia="Calibri" w:hAnsi="Calibri"/>
          <w:sz w:val="18"/>
          <w:szCs w:val="18"/>
          <w:b w:val="1"/>
          <w:bCs w:val="1"/>
          <w:color w:val="auto"/>
        </w:rPr>
        <w:t>CIC Base Salary Severance</w:t>
      </w:r>
      <w:r>
        <w:rPr>
          <w:rFonts w:ascii="Calibri" w:cs="Calibri" w:eastAsia="Calibri" w:hAnsi="Calibri"/>
          <w:sz w:val="18"/>
          <w:szCs w:val="18"/>
          <w:color w:val="auto"/>
        </w:rPr>
        <w:t>”);</w:t>
      </w:r>
    </w:p>
    <w:p>
      <w:pPr>
        <w:spacing w:after="0" w:line="104" w:lineRule="exact"/>
        <w:rPr>
          <w:rFonts w:ascii="Calibri" w:cs="Calibri" w:eastAsia="Calibri" w:hAnsi="Calibri"/>
          <w:sz w:val="18"/>
          <w:szCs w:val="18"/>
          <w:color w:val="auto"/>
        </w:rPr>
      </w:pPr>
    </w:p>
    <w:p>
      <w:pPr>
        <w:ind w:left="1440" w:hanging="309"/>
        <w:spacing w:after="0"/>
        <w:tabs>
          <w:tab w:leader="none" w:pos="1440" w:val="left"/>
        </w:tabs>
        <w:numPr>
          <w:ilvl w:val="2"/>
          <w:numId w:val="12"/>
        </w:numPr>
        <w:rPr>
          <w:rFonts w:ascii="Calibri" w:cs="Calibri" w:eastAsia="Calibri" w:hAnsi="Calibri"/>
          <w:sz w:val="18"/>
          <w:szCs w:val="18"/>
          <w:color w:val="auto"/>
        </w:rPr>
      </w:pPr>
      <w:r>
        <w:rPr>
          <w:rFonts w:ascii="Calibri" w:cs="Calibri" w:eastAsia="Calibri" w:hAnsi="Calibri"/>
          <w:sz w:val="18"/>
          <w:szCs w:val="18"/>
          <w:color w:val="auto"/>
        </w:rPr>
        <w:t>1.5 tmes your Annual Bonus for the fscal year in which such terminaton of employment occurs;</w:t>
      </w:r>
    </w:p>
    <w:p>
      <w:pPr>
        <w:spacing w:after="0" w:line="104" w:lineRule="exact"/>
        <w:rPr>
          <w:rFonts w:ascii="Calibri" w:cs="Calibri" w:eastAsia="Calibri" w:hAnsi="Calibri"/>
          <w:sz w:val="18"/>
          <w:szCs w:val="18"/>
          <w:color w:val="auto"/>
        </w:rPr>
      </w:pPr>
    </w:p>
    <w:p>
      <w:pPr>
        <w:ind w:left="1440" w:hanging="309"/>
        <w:spacing w:after="0"/>
        <w:tabs>
          <w:tab w:leader="none" w:pos="1440" w:val="left"/>
        </w:tabs>
        <w:numPr>
          <w:ilvl w:val="2"/>
          <w:numId w:val="12"/>
        </w:numPr>
        <w:rPr>
          <w:rFonts w:ascii="Calibri" w:cs="Calibri" w:eastAsia="Calibri" w:hAnsi="Calibri"/>
          <w:sz w:val="18"/>
          <w:szCs w:val="18"/>
          <w:color w:val="auto"/>
        </w:rPr>
      </w:pPr>
      <w:r>
        <w:rPr>
          <w:rFonts w:ascii="Calibri" w:cs="Calibri" w:eastAsia="Calibri" w:hAnsi="Calibri"/>
          <w:sz w:val="18"/>
          <w:szCs w:val="18"/>
          <w:color w:val="auto"/>
        </w:rPr>
        <w:t>any unpaid bonus for a prior fscal year;</w:t>
      </w:r>
    </w:p>
    <w:p>
      <w:pPr>
        <w:spacing w:after="0" w:line="104" w:lineRule="exact"/>
        <w:rPr>
          <w:rFonts w:ascii="Calibri" w:cs="Calibri" w:eastAsia="Calibri" w:hAnsi="Calibri"/>
          <w:sz w:val="18"/>
          <w:szCs w:val="18"/>
          <w:color w:val="auto"/>
        </w:rPr>
      </w:pPr>
    </w:p>
    <w:p>
      <w:pPr>
        <w:ind w:left="1440" w:hanging="309"/>
        <w:spacing w:after="0"/>
        <w:tabs>
          <w:tab w:leader="none" w:pos="1440" w:val="left"/>
        </w:tabs>
        <w:numPr>
          <w:ilvl w:val="2"/>
          <w:numId w:val="12"/>
        </w:numPr>
        <w:rPr>
          <w:rFonts w:ascii="Calibri" w:cs="Calibri" w:eastAsia="Calibri" w:hAnsi="Calibri"/>
          <w:sz w:val="18"/>
          <w:szCs w:val="18"/>
          <w:color w:val="auto"/>
        </w:rPr>
      </w:pPr>
      <w:r>
        <w:rPr>
          <w:rFonts w:ascii="Calibri" w:cs="Calibri" w:eastAsia="Calibri" w:hAnsi="Calibri"/>
          <w:sz w:val="18"/>
          <w:szCs w:val="18"/>
          <w:color w:val="auto"/>
        </w:rPr>
        <w:t>the COBRA benefts identfed in Secton 9(d);</w:t>
      </w:r>
    </w:p>
    <w:p>
      <w:pPr>
        <w:spacing w:after="0" w:line="109" w:lineRule="exact"/>
        <w:rPr>
          <w:rFonts w:ascii="Calibri" w:cs="Calibri" w:eastAsia="Calibri" w:hAnsi="Calibri"/>
          <w:sz w:val="18"/>
          <w:szCs w:val="18"/>
          <w:color w:val="auto"/>
        </w:rPr>
      </w:pPr>
    </w:p>
    <w:p>
      <w:pPr>
        <w:ind w:left="1500" w:right="40" w:hanging="369"/>
        <w:spacing w:after="0" w:line="235" w:lineRule="auto"/>
        <w:tabs>
          <w:tab w:leader="none" w:pos="1443" w:val="left"/>
        </w:tabs>
        <w:numPr>
          <w:ilvl w:val="2"/>
          <w:numId w:val="12"/>
        </w:numPr>
        <w:rPr>
          <w:rFonts w:ascii="Calibri" w:cs="Calibri" w:eastAsia="Calibri" w:hAnsi="Calibri"/>
          <w:sz w:val="18"/>
          <w:szCs w:val="18"/>
          <w:color w:val="auto"/>
        </w:rPr>
      </w:pPr>
      <w:r>
        <w:rPr>
          <w:rFonts w:ascii="Calibri" w:cs="Calibri" w:eastAsia="Calibri" w:hAnsi="Calibri"/>
          <w:sz w:val="18"/>
          <w:szCs w:val="18"/>
          <w:color w:val="auto"/>
        </w:rPr>
        <w:t>notwithstanding the terms of the equity awards, the vestng of your then outstanding unvested equity awards, including the Equity Awards, shall be accelerated as to 100% of the unvested shares subject thereto; and</w:t>
      </w:r>
    </w:p>
    <w:p>
      <w:pPr>
        <w:spacing w:after="0" w:line="109" w:lineRule="exact"/>
        <w:rPr>
          <w:rFonts w:ascii="Calibri" w:cs="Calibri" w:eastAsia="Calibri" w:hAnsi="Calibri"/>
          <w:sz w:val="18"/>
          <w:szCs w:val="18"/>
          <w:color w:val="auto"/>
        </w:rPr>
      </w:pPr>
    </w:p>
    <w:p>
      <w:pPr>
        <w:jc w:val="both"/>
        <w:ind w:left="1500" w:hanging="369"/>
        <w:spacing w:after="0" w:line="235" w:lineRule="auto"/>
        <w:tabs>
          <w:tab w:leader="none" w:pos="1443" w:val="left"/>
        </w:tabs>
        <w:numPr>
          <w:ilvl w:val="2"/>
          <w:numId w:val="12"/>
        </w:numPr>
        <w:rPr>
          <w:rFonts w:ascii="Calibri" w:cs="Calibri" w:eastAsia="Calibri" w:hAnsi="Calibri"/>
          <w:sz w:val="18"/>
          <w:szCs w:val="18"/>
          <w:color w:val="auto"/>
        </w:rPr>
      </w:pPr>
      <w:r>
        <w:rPr>
          <w:rFonts w:ascii="Calibri" w:cs="Calibri" w:eastAsia="Calibri" w:hAnsi="Calibri"/>
          <w:sz w:val="18"/>
          <w:szCs w:val="18"/>
          <w:color w:val="auto"/>
        </w:rPr>
        <w:t>the benefts set forth in Sectons 9 and 10 are collectvely, less deductons and withholdings required by law or authorized by you, termed the “</w:t>
      </w:r>
      <w:r>
        <w:rPr>
          <w:rFonts w:ascii="Calibri" w:cs="Calibri" w:eastAsia="Calibri" w:hAnsi="Calibri"/>
          <w:sz w:val="18"/>
          <w:szCs w:val="18"/>
          <w:b w:val="1"/>
          <w:bCs w:val="1"/>
          <w:color w:val="auto"/>
        </w:rPr>
        <w:t>Severance Pay</w:t>
      </w:r>
      <w:r>
        <w:rPr>
          <w:rFonts w:ascii="Calibri" w:cs="Calibri" w:eastAsia="Calibri" w:hAnsi="Calibri"/>
          <w:sz w:val="18"/>
          <w:szCs w:val="18"/>
          <w:color w:val="auto"/>
        </w:rPr>
        <w:t>.” Subject to the provisions in Sectons 9 and 10, payments of any Base Salary Severance or CIC Base Salary Severance shall be made in substantally equal monthly installments in accordance with the Company’s general payroll practces in efect at the tme of your terminaton of employment, and payment of any prorated or unpaid bonus shall be made when such bonus payments would otherwise have been paid. For purposes of Sectons 9 and 10, “</w:t>
      </w:r>
      <w:r>
        <w:rPr>
          <w:rFonts w:ascii="Calibri" w:cs="Calibri" w:eastAsia="Calibri" w:hAnsi="Calibri"/>
          <w:sz w:val="18"/>
          <w:szCs w:val="18"/>
          <w:b w:val="1"/>
          <w:bCs w:val="1"/>
          <w:color w:val="auto"/>
        </w:rPr>
        <w:t>Cause</w:t>
      </w:r>
      <w:r>
        <w:rPr>
          <w:rFonts w:ascii="Calibri" w:cs="Calibri" w:eastAsia="Calibri" w:hAnsi="Calibri"/>
          <w:sz w:val="18"/>
          <w:szCs w:val="18"/>
          <w:color w:val="auto"/>
        </w:rPr>
        <w:t>” and “</w:t>
      </w:r>
      <w:r>
        <w:rPr>
          <w:rFonts w:ascii="Calibri" w:cs="Calibri" w:eastAsia="Calibri" w:hAnsi="Calibri"/>
          <w:sz w:val="18"/>
          <w:szCs w:val="18"/>
          <w:b w:val="1"/>
          <w:bCs w:val="1"/>
          <w:color w:val="auto"/>
        </w:rPr>
        <w:t>Good Reason</w:t>
      </w:r>
      <w:r>
        <w:rPr>
          <w:rFonts w:ascii="Calibri" w:cs="Calibri" w:eastAsia="Calibri" w:hAnsi="Calibri"/>
          <w:sz w:val="18"/>
          <w:szCs w:val="18"/>
          <w:color w:val="auto"/>
        </w:rPr>
        <w:t xml:space="preserve">” have the meanings set forth in </w:t>
      </w:r>
      <w:r>
        <w:rPr>
          <w:rFonts w:ascii="Calibri" w:cs="Calibri" w:eastAsia="Calibri" w:hAnsi="Calibri"/>
          <w:sz w:val="18"/>
          <w:szCs w:val="18"/>
          <w:b w:val="1"/>
          <w:bCs w:val="1"/>
          <w:u w:val="single" w:color="auto"/>
          <w:color w:val="auto"/>
        </w:rPr>
        <w:t>Exhibit</w:t>
      </w:r>
      <w:r>
        <w:rPr>
          <w:rFonts w:ascii="Calibri" w:cs="Calibri" w:eastAsia="Calibri" w:hAnsi="Calibri"/>
          <w:sz w:val="18"/>
          <w:szCs w:val="18"/>
          <w:color w:val="auto"/>
        </w:rPr>
        <w:t xml:space="preserve"> </w:t>
      </w:r>
      <w:r>
        <w:rPr>
          <w:rFonts w:ascii="Calibri" w:cs="Calibri" w:eastAsia="Calibri" w:hAnsi="Calibri"/>
          <w:sz w:val="18"/>
          <w:szCs w:val="18"/>
          <w:b w:val="1"/>
          <w:bCs w:val="1"/>
          <w:u w:val="single" w:color="auto"/>
          <w:color w:val="auto"/>
        </w:rPr>
        <w:t>B</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hereto. The Company will not be required to pay any Severance Pay unless (i) you execute and deliver to the Company an agreement in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the form atached as </w:t>
      </w:r>
      <w:r>
        <w:rPr>
          <w:rFonts w:ascii="Calibri" w:cs="Calibri" w:eastAsia="Calibri" w:hAnsi="Calibri"/>
          <w:sz w:val="18"/>
          <w:szCs w:val="18"/>
          <w:b w:val="1"/>
          <w:bCs w:val="1"/>
          <w:u w:val="single" w:color="auto"/>
          <w:color w:val="auto"/>
        </w:rPr>
        <w:t>Exhibit C</w:t>
      </w:r>
      <w:r>
        <w:rPr>
          <w:rFonts w:ascii="Calibri" w:cs="Calibri" w:eastAsia="Calibri" w:hAnsi="Calibri"/>
          <w:sz w:val="18"/>
          <w:szCs w:val="18"/>
          <w:color w:val="auto"/>
        </w:rPr>
        <w:t xml:space="preserve"> hereto (the “</w:t>
      </w:r>
      <w:r>
        <w:rPr>
          <w:rFonts w:ascii="Calibri" w:cs="Calibri" w:eastAsia="Calibri" w:hAnsi="Calibri"/>
          <w:sz w:val="18"/>
          <w:szCs w:val="18"/>
          <w:b w:val="1"/>
          <w:bCs w:val="1"/>
          <w:color w:val="auto"/>
        </w:rPr>
        <w:t>Release Agreement</w:t>
      </w:r>
      <w:r>
        <w:rPr>
          <w:rFonts w:ascii="Calibri" w:cs="Calibri" w:eastAsia="Calibri" w:hAnsi="Calibri"/>
          <w:sz w:val="18"/>
          <w:szCs w:val="18"/>
          <w:color w:val="auto"/>
        </w:rPr>
        <w:t xml:space="preserve">”) within 60 days following the date of your terminaton of employment and (ii) you have not materially breached the provisions of (A) this leter, (B) Sectons 2 through 8 of </w:t>
      </w:r>
      <w:r>
        <w:rPr>
          <w:rFonts w:ascii="Calibri" w:cs="Calibri" w:eastAsia="Calibri" w:hAnsi="Calibri"/>
          <w:sz w:val="18"/>
          <w:szCs w:val="18"/>
          <w:b w:val="1"/>
          <w:bCs w:val="1"/>
          <w:u w:val="single" w:color="auto"/>
          <w:color w:val="auto"/>
        </w:rPr>
        <w:t>Exhibit A</w:t>
      </w:r>
      <w:r>
        <w:rPr>
          <w:rFonts w:ascii="Calibri" w:cs="Calibri" w:eastAsia="Calibri" w:hAnsi="Calibri"/>
          <w:sz w:val="18"/>
          <w:szCs w:val="18"/>
          <w:color w:val="auto"/>
        </w:rPr>
        <w:t xml:space="preserve"> hereto, (C) the Release Agreement or (D) any other agreement between you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jc w:val="both"/>
        <w:ind w:left="1500"/>
        <w:spacing w:after="0" w:line="229" w:lineRule="auto"/>
        <w:rPr>
          <w:sz w:val="20"/>
          <w:szCs w:val="20"/>
          <w:color w:val="auto"/>
        </w:rPr>
      </w:pPr>
      <w:r>
        <w:rPr>
          <w:rFonts w:ascii="Calibri" w:cs="Calibri" w:eastAsia="Calibri" w:hAnsi="Calibri"/>
          <w:sz w:val="18"/>
          <w:szCs w:val="18"/>
          <w:color w:val="auto"/>
        </w:rPr>
        <w:t>Company. If the Release Agreement has been executed and delivered and is no longer subject to revocaton as provided in the preceding sentence, then the applicable Severance Pay shall be paid in accordance with the Company’s general payroll practces in efect at the tme of your terminaton of employment and commencing on the 60</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xml:space="preserve"> day following your terminaton of employment. The frst payment of any Base Salary Severance or CIC Base Salary Severance, as applicable, shall include payment of all amounts that otherwise would have been due prior thereto under the terms of this leter had such payments commenced immediately upon your terminaton of employment, and any payments made thereafer shall contnue as provided herein. </w:t>
      </w:r>
      <w:r>
        <w:rPr>
          <w:rFonts w:ascii="Calibri" w:cs="Calibri" w:eastAsia="Calibri" w:hAnsi="Calibri"/>
          <w:sz w:val="18"/>
          <w:szCs w:val="18"/>
          <w:b w:val="1"/>
          <w:bCs w:val="1"/>
          <w:color w:val="auto"/>
        </w:rPr>
        <w:t>For the avoidance of doubt, under no</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circumstances shall you be enttled to receive Severance Pay under both Sectons 9 and 10</w:t>
      </w:r>
      <w:r>
        <w:rPr>
          <w:rFonts w:ascii="Calibri" w:cs="Calibri" w:eastAsia="Calibri" w:hAnsi="Calibri"/>
          <w:sz w:val="18"/>
          <w:szCs w:val="18"/>
          <w:color w:val="auto"/>
        </w:rPr>
        <w:t>.</w:t>
      </w:r>
    </w:p>
    <w:p>
      <w:pPr>
        <w:spacing w:after="0" w:line="105" w:lineRule="exact"/>
        <w:rPr>
          <w:sz w:val="20"/>
          <w:szCs w:val="20"/>
          <w:color w:val="auto"/>
        </w:rPr>
      </w:pPr>
    </w:p>
    <w:p>
      <w:pPr>
        <w:ind w:left="380" w:hanging="372"/>
        <w:spacing w:after="0"/>
        <w:tabs>
          <w:tab w:leader="none" w:pos="380" w:val="left"/>
        </w:tabs>
        <w:numPr>
          <w:ilvl w:val="0"/>
          <w:numId w:val="1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Contnuaton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Except as set forth herein, all of the terms and conditons set forth in the Employment Agreement, including its exhibits and schedules, are unchanged, shall remain in full force and efect and are hereby ratfed and confrmed by the Partes. If any provision hereof is inconsistent with the Employment Agreement, the Partes intend that the terms hereof shall control solely to the extent required to make the Employment Agreement consistent herewith. Nothing herein shall change the at-will nature of Executve’s employment. Executve agrees and confrms that nothing herein triggers the Good Reason provision contained in the Employment Agreement.</w:t>
      </w:r>
    </w:p>
    <w:p>
      <w:pPr>
        <w:spacing w:after="0" w:line="107" w:lineRule="exact"/>
        <w:rPr>
          <w:sz w:val="20"/>
          <w:szCs w:val="20"/>
          <w:color w:val="auto"/>
        </w:rPr>
      </w:pPr>
    </w:p>
    <w:p>
      <w:pPr>
        <w:ind w:left="380" w:hanging="372"/>
        <w:spacing w:after="0"/>
        <w:tabs>
          <w:tab w:leader="none" w:pos="380" w:val="left"/>
        </w:tabs>
        <w:numPr>
          <w:ilvl w:val="0"/>
          <w:numId w:val="1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Constructon of Terms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Amendment consttutes the entre understanding between the Partes with respect to the subject mater hereof and supersedes any other agreements or promises made to Executve by anyone with respect to this subject mater, whether oral or writen. No modifcaton hereto shall be valid unless in writng and signed by the Partes.</w:t>
      </w:r>
    </w:p>
    <w:p>
      <w:pPr>
        <w:spacing w:after="0" w:line="106" w:lineRule="exact"/>
        <w:rPr>
          <w:sz w:val="20"/>
          <w:szCs w:val="20"/>
          <w:color w:val="auto"/>
        </w:rPr>
      </w:pPr>
    </w:p>
    <w:p>
      <w:pPr>
        <w:ind w:left="380" w:hanging="372"/>
        <w:spacing w:after="0"/>
        <w:tabs>
          <w:tab w:leader="none" w:pos="380" w:val="left"/>
        </w:tabs>
        <w:numPr>
          <w:ilvl w:val="0"/>
          <w:numId w:val="15"/>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Governing Law</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This Amendment shall be governed by the laws of the State of Delaware, without regard to the conficts of law provisions of any jurisdicton.</w:t>
      </w:r>
    </w:p>
    <w:p>
      <w:pPr>
        <w:spacing w:after="0" w:line="104" w:lineRule="exact"/>
        <w:rPr>
          <w:sz w:val="20"/>
          <w:szCs w:val="20"/>
          <w:color w:val="auto"/>
        </w:rPr>
      </w:pPr>
    </w:p>
    <w:p>
      <w:pPr>
        <w:ind w:left="380" w:hanging="372"/>
        <w:spacing w:after="0"/>
        <w:tabs>
          <w:tab w:leader="none" w:pos="380" w:val="left"/>
        </w:tabs>
        <w:numPr>
          <w:ilvl w:val="0"/>
          <w:numId w:val="1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Counterparts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This Amendment may be executed in one or more counterparts, each of which shall be deemed to be an original, with the same force and efectveness as though executed in a single document.</w:t>
      </w:r>
    </w:p>
    <w:p>
      <w:pPr>
        <w:spacing w:after="0" w:line="105" w:lineRule="exact"/>
        <w:rPr>
          <w:sz w:val="20"/>
          <w:szCs w:val="20"/>
          <w:color w:val="auto"/>
        </w:rPr>
      </w:pPr>
    </w:p>
    <w:p>
      <w:pPr>
        <w:ind w:left="380" w:hanging="372"/>
        <w:spacing w:after="0"/>
        <w:tabs>
          <w:tab w:leader="none" w:pos="380" w:val="left"/>
        </w:tabs>
        <w:numPr>
          <w:ilvl w:val="0"/>
          <w:numId w:val="17"/>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Efectve Date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terms and conditons set forth herein shall be efectve as of the Efectve Date.</w:t>
      </w:r>
    </w:p>
    <w:p>
      <w:pPr>
        <w:spacing w:after="0" w:line="104" w:lineRule="exact"/>
        <w:rPr>
          <w:sz w:val="20"/>
          <w:szCs w:val="20"/>
          <w:color w:val="auto"/>
        </w:rPr>
      </w:pPr>
    </w:p>
    <w:p>
      <w:pPr>
        <w:ind w:left="4760"/>
        <w:spacing w:after="0"/>
        <w:rPr>
          <w:sz w:val="20"/>
          <w:szCs w:val="20"/>
          <w:color w:val="auto"/>
        </w:rPr>
      </w:pPr>
      <w:r>
        <w:rPr>
          <w:rFonts w:ascii="Calibri" w:cs="Calibri" w:eastAsia="Calibri" w:hAnsi="Calibri"/>
          <w:sz w:val="18"/>
          <w:szCs w:val="18"/>
          <w:i w:val="1"/>
          <w:iCs w:val="1"/>
          <w:color w:val="auto"/>
        </w:rPr>
        <w:t>[Signature page follows]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spacing w:after="0"/>
        <w:rPr>
          <w:sz w:val="20"/>
          <w:szCs w:val="20"/>
          <w:color w:val="auto"/>
        </w:rPr>
      </w:pPr>
      <w:r>
        <w:rPr>
          <w:rFonts w:ascii="Calibri" w:cs="Calibri" w:eastAsia="Calibri" w:hAnsi="Calibri"/>
          <w:sz w:val="18"/>
          <w:szCs w:val="18"/>
          <w:color w:val="auto"/>
        </w:rPr>
        <w:t>IN WITNESS WHEREOF, the Partes hereto have executed this Amendment as of the Efectve Date.</w:t>
      </w:r>
    </w:p>
    <w:p>
      <w:pPr>
        <w:spacing w:after="0" w:line="374" w:lineRule="exact"/>
        <w:rPr>
          <w:sz w:val="20"/>
          <w:szCs w:val="20"/>
          <w:color w:val="auto"/>
        </w:rPr>
      </w:pPr>
    </w:p>
    <w:tbl>
      <w:tblPr>
        <w:tblLayout w:type="fixed"/>
        <w:tblInd w:w="100" w:type="dxa"/>
        <w:tblCellMar>
          <w:top w:w="0" w:type="dxa"/>
          <w:left w:w="0" w:type="dxa"/>
          <w:bottom w:w="0" w:type="dxa"/>
          <w:right w:w="0" w:type="dxa"/>
        </w:tblCellMar>
      </w:tblPr>
      <w:tr>
        <w:trPr>
          <w:trHeight w:val="220"/>
        </w:trPr>
        <w:tc>
          <w:tcPr>
            <w:tcW w:w="3900" w:type="dxa"/>
            <w:vAlign w:val="bottom"/>
            <w:gridSpan w:val="4"/>
          </w:tcPr>
          <w:p>
            <w:pPr>
              <w:spacing w:after="0"/>
              <w:rPr>
                <w:sz w:val="20"/>
                <w:szCs w:val="20"/>
                <w:color w:val="auto"/>
              </w:rPr>
            </w:pPr>
            <w:r>
              <w:rPr>
                <w:rFonts w:ascii="Calibri" w:cs="Calibri" w:eastAsia="Calibri" w:hAnsi="Calibri"/>
                <w:sz w:val="18"/>
                <w:szCs w:val="18"/>
                <w:b w:val="1"/>
                <w:bCs w:val="1"/>
                <w:color w:val="auto"/>
              </w:rPr>
              <w:t>VIVID SEATS INC.</w:t>
            </w:r>
          </w:p>
        </w:tc>
        <w:tc>
          <w:tcPr>
            <w:tcW w:w="3220" w:type="dxa"/>
            <w:vAlign w:val="bottom"/>
            <w:gridSpan w:val="3"/>
          </w:tcPr>
          <w:p>
            <w:pPr>
              <w:ind w:left="1720"/>
              <w:spacing w:after="0"/>
              <w:rPr>
                <w:sz w:val="20"/>
                <w:szCs w:val="20"/>
                <w:color w:val="auto"/>
              </w:rPr>
            </w:pPr>
            <w:r>
              <w:rPr>
                <w:rFonts w:ascii="Calibri" w:cs="Calibri" w:eastAsia="Calibri" w:hAnsi="Calibri"/>
                <w:sz w:val="18"/>
                <w:szCs w:val="18"/>
                <w:b w:val="1"/>
                <w:bCs w:val="1"/>
                <w:color w:val="auto"/>
              </w:rPr>
              <w:t>EXECUTIVE</w:t>
            </w:r>
          </w:p>
        </w:tc>
      </w:tr>
      <w:tr>
        <w:trPr>
          <w:trHeight w:val="388"/>
        </w:trPr>
        <w:tc>
          <w:tcPr>
            <w:tcW w:w="3900" w:type="dxa"/>
            <w:vAlign w:val="bottom"/>
            <w:gridSpan w:val="4"/>
          </w:tcPr>
          <w:p>
            <w:pPr>
              <w:spacing w:after="0"/>
              <w:rPr>
                <w:sz w:val="20"/>
                <w:szCs w:val="20"/>
                <w:color w:val="auto"/>
              </w:rPr>
            </w:pPr>
            <w:r>
              <w:rPr>
                <w:rFonts w:ascii="Calibri" w:cs="Calibri" w:eastAsia="Calibri" w:hAnsi="Calibri"/>
                <w:sz w:val="18"/>
                <w:szCs w:val="18"/>
                <w:color w:val="auto"/>
              </w:rPr>
              <w:t>By: /s/ Lawrence Fey</w:t>
            </w:r>
          </w:p>
        </w:tc>
        <w:tc>
          <w:tcPr>
            <w:tcW w:w="3220" w:type="dxa"/>
            <w:vAlign w:val="bottom"/>
            <w:gridSpan w:val="3"/>
          </w:tcPr>
          <w:p>
            <w:pPr>
              <w:ind w:left="1720"/>
              <w:spacing w:after="0"/>
              <w:rPr>
                <w:sz w:val="20"/>
                <w:szCs w:val="20"/>
                <w:color w:val="auto"/>
              </w:rPr>
            </w:pPr>
            <w:r>
              <w:rPr>
                <w:rFonts w:ascii="Calibri" w:cs="Calibri" w:eastAsia="Calibri" w:hAnsi="Calibri"/>
                <w:sz w:val="18"/>
                <w:szCs w:val="18"/>
                <w:color w:val="auto"/>
              </w:rPr>
              <w:t>By: /s/ Stanley Chia</w:t>
            </w:r>
          </w:p>
        </w:tc>
      </w:tr>
      <w:tr>
        <w:trPr>
          <w:trHeight w:val="20"/>
        </w:trPr>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3"/>
        </w:trPr>
        <w:tc>
          <w:tcPr>
            <w:tcW w:w="560" w:type="dxa"/>
            <w:vAlign w:val="bottom"/>
            <w:gridSpan w:val="2"/>
          </w:tcPr>
          <w:p>
            <w:pPr>
              <w:spacing w:after="0"/>
              <w:rPr>
                <w:sz w:val="20"/>
                <w:szCs w:val="20"/>
                <w:color w:val="auto"/>
              </w:rPr>
            </w:pPr>
            <w:r>
              <w:rPr>
                <w:rFonts w:ascii="Calibri" w:cs="Calibri" w:eastAsia="Calibri" w:hAnsi="Calibri"/>
                <w:sz w:val="18"/>
                <w:szCs w:val="18"/>
                <w:color w:val="auto"/>
              </w:rPr>
              <w:t>Name:</w:t>
            </w:r>
          </w:p>
        </w:tc>
        <w:tc>
          <w:tcPr>
            <w:tcW w:w="3340" w:type="dxa"/>
            <w:vAlign w:val="bottom"/>
            <w:gridSpan w:val="2"/>
          </w:tcPr>
          <w:p>
            <w:pPr>
              <w:ind w:left="80"/>
              <w:spacing w:after="0"/>
              <w:rPr>
                <w:sz w:val="20"/>
                <w:szCs w:val="20"/>
                <w:color w:val="auto"/>
              </w:rPr>
            </w:pPr>
            <w:r>
              <w:rPr>
                <w:rFonts w:ascii="Calibri" w:cs="Calibri" w:eastAsia="Calibri" w:hAnsi="Calibri"/>
                <w:sz w:val="18"/>
                <w:szCs w:val="18"/>
                <w:color w:val="auto"/>
              </w:rPr>
              <w:t>Lawrence Fey</w:t>
            </w:r>
          </w:p>
        </w:tc>
        <w:tc>
          <w:tcPr>
            <w:tcW w:w="3220" w:type="dxa"/>
            <w:vAlign w:val="bottom"/>
            <w:gridSpan w:val="3"/>
          </w:tcPr>
          <w:p>
            <w:pPr>
              <w:ind w:left="1720"/>
              <w:spacing w:after="0"/>
              <w:rPr>
                <w:sz w:val="20"/>
                <w:szCs w:val="20"/>
                <w:color w:val="auto"/>
              </w:rPr>
            </w:pPr>
            <w:r>
              <w:rPr>
                <w:rFonts w:ascii="Calibri" w:cs="Calibri" w:eastAsia="Calibri" w:hAnsi="Calibri"/>
                <w:sz w:val="18"/>
                <w:szCs w:val="18"/>
                <w:color w:val="auto"/>
              </w:rPr>
              <w:t>Name:  Stanley Chia</w:t>
            </w:r>
          </w:p>
        </w:tc>
      </w:tr>
      <w:tr>
        <w:trPr>
          <w:trHeight w:val="243"/>
        </w:trPr>
        <w:tc>
          <w:tcPr>
            <w:tcW w:w="560" w:type="dxa"/>
            <w:vAlign w:val="bottom"/>
            <w:gridSpan w:val="2"/>
          </w:tcPr>
          <w:p>
            <w:pPr>
              <w:spacing w:after="0"/>
              <w:rPr>
                <w:sz w:val="20"/>
                <w:szCs w:val="20"/>
                <w:color w:val="auto"/>
              </w:rPr>
            </w:pPr>
            <w:r>
              <w:rPr>
                <w:rFonts w:ascii="Calibri" w:cs="Calibri" w:eastAsia="Calibri" w:hAnsi="Calibri"/>
                <w:sz w:val="18"/>
                <w:szCs w:val="18"/>
                <w:color w:val="auto"/>
              </w:rPr>
              <w:t>Title:</w:t>
            </w:r>
          </w:p>
        </w:tc>
        <w:tc>
          <w:tcPr>
            <w:tcW w:w="3340" w:type="dxa"/>
            <w:vAlign w:val="bottom"/>
            <w:gridSpan w:val="2"/>
          </w:tcPr>
          <w:p>
            <w:pPr>
              <w:ind w:left="80"/>
              <w:spacing w:after="0"/>
              <w:rPr>
                <w:sz w:val="20"/>
                <w:szCs w:val="20"/>
                <w:color w:val="auto"/>
              </w:rPr>
            </w:pPr>
            <w:r>
              <w:rPr>
                <w:rFonts w:ascii="Calibri" w:cs="Calibri" w:eastAsia="Calibri" w:hAnsi="Calibri"/>
                <w:sz w:val="18"/>
                <w:szCs w:val="18"/>
                <w:color w:val="auto"/>
              </w:rPr>
              <w:t>Chief Financial Ofcer</w:t>
            </w:r>
          </w:p>
        </w:tc>
        <w:tc>
          <w:tcPr>
            <w:tcW w:w="1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18"/>
        </w:trPr>
        <w:tc>
          <w:tcPr>
            <w:tcW w:w="3900" w:type="dxa"/>
            <w:vAlign w:val="bottom"/>
            <w:gridSpan w:val="4"/>
          </w:tcPr>
          <w:p>
            <w:pPr>
              <w:spacing w:after="0"/>
              <w:rPr>
                <w:sz w:val="20"/>
                <w:szCs w:val="20"/>
                <w:color w:val="auto"/>
              </w:rPr>
            </w:pPr>
            <w:r>
              <w:rPr>
                <w:rFonts w:ascii="Calibri" w:cs="Calibri" w:eastAsia="Calibri" w:hAnsi="Calibri"/>
                <w:sz w:val="18"/>
                <w:szCs w:val="18"/>
                <w:b w:val="1"/>
                <w:bCs w:val="1"/>
                <w:color w:val="auto"/>
              </w:rPr>
              <w:t>VIVID SEATS LLC</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8"/>
        </w:trPr>
        <w:tc>
          <w:tcPr>
            <w:tcW w:w="3900" w:type="dxa"/>
            <w:vAlign w:val="bottom"/>
            <w:gridSpan w:val="4"/>
          </w:tcPr>
          <w:p>
            <w:pPr>
              <w:spacing w:after="0"/>
              <w:rPr>
                <w:sz w:val="20"/>
                <w:szCs w:val="20"/>
                <w:color w:val="auto"/>
              </w:rPr>
            </w:pPr>
            <w:r>
              <w:rPr>
                <w:rFonts w:ascii="Calibri" w:cs="Calibri" w:eastAsia="Calibri" w:hAnsi="Calibri"/>
                <w:sz w:val="18"/>
                <w:szCs w:val="18"/>
                <w:color w:val="auto"/>
              </w:rPr>
              <w:t>By: /s/ Lawrence Fey</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4"/>
        </w:trPr>
        <w:tc>
          <w:tcPr>
            <w:tcW w:w="560" w:type="dxa"/>
            <w:vAlign w:val="bottom"/>
            <w:gridSpan w:val="2"/>
          </w:tcPr>
          <w:p>
            <w:pPr>
              <w:spacing w:after="0"/>
              <w:rPr>
                <w:sz w:val="20"/>
                <w:szCs w:val="20"/>
                <w:color w:val="auto"/>
              </w:rPr>
            </w:pPr>
            <w:r>
              <w:rPr>
                <w:rFonts w:ascii="Calibri" w:cs="Calibri" w:eastAsia="Calibri" w:hAnsi="Calibri"/>
                <w:sz w:val="18"/>
                <w:szCs w:val="18"/>
                <w:color w:val="auto"/>
              </w:rPr>
              <w:t>Name:</w:t>
            </w:r>
          </w:p>
        </w:tc>
        <w:tc>
          <w:tcPr>
            <w:tcW w:w="3340" w:type="dxa"/>
            <w:vAlign w:val="bottom"/>
            <w:gridSpan w:val="2"/>
          </w:tcPr>
          <w:p>
            <w:pPr>
              <w:ind w:left="80"/>
              <w:spacing w:after="0"/>
              <w:rPr>
                <w:sz w:val="20"/>
                <w:szCs w:val="20"/>
                <w:color w:val="auto"/>
              </w:rPr>
            </w:pPr>
            <w:r>
              <w:rPr>
                <w:rFonts w:ascii="Calibri" w:cs="Calibri" w:eastAsia="Calibri" w:hAnsi="Calibri"/>
                <w:sz w:val="18"/>
                <w:szCs w:val="18"/>
                <w:color w:val="auto"/>
              </w:rPr>
              <w:t>Lawrence Fey</w:t>
            </w:r>
          </w:p>
        </w:tc>
        <w:tc>
          <w:tcPr>
            <w:tcW w:w="1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43"/>
        </w:trPr>
        <w:tc>
          <w:tcPr>
            <w:tcW w:w="560" w:type="dxa"/>
            <w:vAlign w:val="bottom"/>
            <w:gridSpan w:val="2"/>
          </w:tcPr>
          <w:p>
            <w:pPr>
              <w:spacing w:after="0"/>
              <w:rPr>
                <w:sz w:val="20"/>
                <w:szCs w:val="20"/>
                <w:color w:val="auto"/>
              </w:rPr>
            </w:pPr>
            <w:r>
              <w:rPr>
                <w:rFonts w:ascii="Calibri" w:cs="Calibri" w:eastAsia="Calibri" w:hAnsi="Calibri"/>
                <w:sz w:val="18"/>
                <w:szCs w:val="18"/>
                <w:color w:val="auto"/>
              </w:rPr>
              <w:t>Title:</w:t>
            </w:r>
          </w:p>
        </w:tc>
        <w:tc>
          <w:tcPr>
            <w:tcW w:w="3340" w:type="dxa"/>
            <w:vAlign w:val="bottom"/>
            <w:gridSpan w:val="2"/>
          </w:tcPr>
          <w:p>
            <w:pPr>
              <w:ind w:left="80"/>
              <w:spacing w:after="0"/>
              <w:rPr>
                <w:sz w:val="20"/>
                <w:szCs w:val="20"/>
                <w:color w:val="auto"/>
              </w:rPr>
            </w:pPr>
            <w:r>
              <w:rPr>
                <w:rFonts w:ascii="Calibri" w:cs="Calibri" w:eastAsia="Calibri" w:hAnsi="Calibri"/>
                <w:sz w:val="18"/>
                <w:szCs w:val="18"/>
                <w:color w:val="auto"/>
              </w:rPr>
              <w:t>Chief Financial Ofcer</w:t>
            </w:r>
          </w:p>
        </w:tc>
        <w:tc>
          <w:tcPr>
            <w:tcW w:w="1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2379"/>
        <w:spacing w:after="0"/>
        <w:rPr>
          <w:sz w:val="20"/>
          <w:szCs w:val="20"/>
          <w:color w:val="auto"/>
        </w:rPr>
      </w:pPr>
      <w:r>
        <w:rPr>
          <w:rFonts w:ascii="Calibri" w:cs="Calibri" w:eastAsia="Calibri" w:hAnsi="Calibri"/>
          <w:sz w:val="18"/>
          <w:szCs w:val="18"/>
          <w:color w:val="auto"/>
        </w:rPr>
        <w:t>[Signature Page to Amendment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48" w:name="page49"/>
    <w:bookmarkEnd w:id="48"/>
    <w:p>
      <w:pPr>
        <w:ind w:left="10380"/>
        <w:spacing w:after="0"/>
        <w:rPr>
          <w:sz w:val="20"/>
          <w:szCs w:val="20"/>
          <w:color w:val="auto"/>
        </w:rPr>
      </w:pPr>
      <w:r>
        <w:rPr>
          <w:rFonts w:ascii="Calibri" w:cs="Calibri" w:eastAsia="Calibri" w:hAnsi="Calibri"/>
          <w:sz w:val="17"/>
          <w:szCs w:val="17"/>
          <w:b w:val="1"/>
          <w:bCs w:val="1"/>
          <w:color w:val="auto"/>
        </w:rPr>
        <w:t>Exhibit 10.3</w:t>
      </w:r>
    </w:p>
    <w:p>
      <w:pPr>
        <w:spacing w:after="0" w:line="1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AMENDMENT TO</w:t>
      </w:r>
    </w:p>
    <w:p>
      <w:pPr>
        <w:jc w:val="center"/>
        <w:spacing w:after="0" w:line="235" w:lineRule="auto"/>
        <w:rPr>
          <w:sz w:val="20"/>
          <w:szCs w:val="20"/>
          <w:color w:val="auto"/>
        </w:rPr>
      </w:pPr>
      <w:r>
        <w:rPr>
          <w:rFonts w:ascii="Calibri" w:cs="Calibri" w:eastAsia="Calibri" w:hAnsi="Calibri"/>
          <w:sz w:val="18"/>
          <w:szCs w:val="18"/>
          <w:b w:val="1"/>
          <w:bCs w:val="1"/>
          <w:color w:val="auto"/>
        </w:rPr>
        <w:t>EMPLOYMENT AGREEMENT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Amendment to Employment Agreement (this “</w:t>
      </w:r>
      <w:r>
        <w:rPr>
          <w:rFonts w:ascii="Calibri" w:cs="Calibri" w:eastAsia="Calibri" w:hAnsi="Calibri"/>
          <w:sz w:val="18"/>
          <w:szCs w:val="18"/>
          <w:b w:val="1"/>
          <w:bCs w:val="1"/>
          <w:i w:val="1"/>
          <w:iCs w:val="1"/>
          <w:color w:val="auto"/>
        </w:rPr>
        <w:t>Amendment</w:t>
      </w:r>
      <w:r>
        <w:rPr>
          <w:rFonts w:ascii="Calibri" w:cs="Calibri" w:eastAsia="Calibri" w:hAnsi="Calibri"/>
          <w:sz w:val="18"/>
          <w:szCs w:val="18"/>
          <w:color w:val="auto"/>
        </w:rPr>
        <w:t>”) is entered into by and among Vivid Seats Inc. and Vivid Seats LLC (together, the “</w:t>
      </w:r>
      <w:r>
        <w:rPr>
          <w:rFonts w:ascii="Calibri" w:cs="Calibri" w:eastAsia="Calibri" w:hAnsi="Calibri"/>
          <w:sz w:val="18"/>
          <w:szCs w:val="18"/>
          <w:b w:val="1"/>
          <w:bCs w:val="1"/>
          <w:i w:val="1"/>
          <w:iCs w:val="1"/>
          <w:color w:val="auto"/>
        </w:rPr>
        <w:t>Company</w:t>
      </w:r>
      <w:r>
        <w:rPr>
          <w:rFonts w:ascii="Calibri" w:cs="Calibri" w:eastAsia="Calibri" w:hAnsi="Calibri"/>
          <w:sz w:val="18"/>
          <w:szCs w:val="18"/>
          <w:color w:val="auto"/>
        </w:rPr>
        <w:t>”) and Lawrence Fey (“</w:t>
      </w:r>
      <w:r>
        <w:rPr>
          <w:rFonts w:ascii="Calibri" w:cs="Calibri" w:eastAsia="Calibri" w:hAnsi="Calibri"/>
          <w:sz w:val="18"/>
          <w:szCs w:val="18"/>
          <w:b w:val="1"/>
          <w:bCs w:val="1"/>
          <w:i w:val="1"/>
          <w:iCs w:val="1"/>
          <w:color w:val="auto"/>
        </w:rPr>
        <w:t>Executve</w:t>
      </w:r>
      <w:r>
        <w:rPr>
          <w:rFonts w:ascii="Calibri" w:cs="Calibri" w:eastAsia="Calibri" w:hAnsi="Calibri"/>
          <w:sz w:val="18"/>
          <w:szCs w:val="18"/>
          <w:color w:val="auto"/>
        </w:rPr>
        <w:t>”) (each, a “</w:t>
      </w:r>
      <w:r>
        <w:rPr>
          <w:rFonts w:ascii="Calibri" w:cs="Calibri" w:eastAsia="Calibri" w:hAnsi="Calibri"/>
          <w:sz w:val="18"/>
          <w:szCs w:val="18"/>
          <w:b w:val="1"/>
          <w:bCs w:val="1"/>
          <w:i w:val="1"/>
          <w:iCs w:val="1"/>
          <w:color w:val="auto"/>
        </w:rPr>
        <w:t>Party</w:t>
      </w:r>
      <w:r>
        <w:rPr>
          <w:rFonts w:ascii="Calibri" w:cs="Calibri" w:eastAsia="Calibri" w:hAnsi="Calibri"/>
          <w:sz w:val="18"/>
          <w:szCs w:val="18"/>
          <w:color w:val="auto"/>
        </w:rPr>
        <w:t>,” and collectvely, the “</w:t>
      </w:r>
      <w:r>
        <w:rPr>
          <w:rFonts w:ascii="Calibri" w:cs="Calibri" w:eastAsia="Calibri" w:hAnsi="Calibri"/>
          <w:sz w:val="18"/>
          <w:szCs w:val="18"/>
          <w:b w:val="1"/>
          <w:bCs w:val="1"/>
          <w:i w:val="1"/>
          <w:iCs w:val="1"/>
          <w:color w:val="auto"/>
        </w:rPr>
        <w:t>Partes</w:t>
      </w:r>
      <w:r>
        <w:rPr>
          <w:rFonts w:ascii="Calibri" w:cs="Calibri" w:eastAsia="Calibri" w:hAnsi="Calibri"/>
          <w:sz w:val="18"/>
          <w:szCs w:val="18"/>
          <w:color w:val="auto"/>
        </w:rPr>
        <w:t>”) as of June 26, 2024 (the “</w:t>
      </w:r>
      <w:r>
        <w:rPr>
          <w:rFonts w:ascii="Calibri" w:cs="Calibri" w:eastAsia="Calibri" w:hAnsi="Calibri"/>
          <w:sz w:val="18"/>
          <w:szCs w:val="18"/>
          <w:b w:val="1"/>
          <w:bCs w:val="1"/>
          <w:i w:val="1"/>
          <w:iCs w:val="1"/>
          <w:color w:val="auto"/>
        </w:rPr>
        <w:t>Efectve Date</w:t>
      </w:r>
      <w:r>
        <w:rPr>
          <w:rFonts w:ascii="Calibri" w:cs="Calibri" w:eastAsia="Calibri" w:hAnsi="Calibri"/>
          <w:sz w:val="18"/>
          <w:szCs w:val="18"/>
          <w:color w:val="auto"/>
        </w:rPr>
        <w: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and Executve previously entered into an Employment Agreement, dated August 9, 2021 (the “</w:t>
      </w:r>
      <w:r>
        <w:rPr>
          <w:rFonts w:ascii="Calibri" w:cs="Calibri" w:eastAsia="Calibri" w:hAnsi="Calibri"/>
          <w:sz w:val="18"/>
          <w:szCs w:val="18"/>
          <w:b w:val="1"/>
          <w:bCs w:val="1"/>
          <w:i w:val="1"/>
          <w:iCs w:val="1"/>
          <w:color w:val="auto"/>
        </w:rPr>
        <w:t>Employment Agreement</w:t>
      </w:r>
      <w:r>
        <w:rPr>
          <w:rFonts w:ascii="Calibri" w:cs="Calibri" w:eastAsia="Calibri" w:hAnsi="Calibri"/>
          <w:sz w:val="18"/>
          <w:szCs w:val="18"/>
          <w:color w:val="auto"/>
        </w:rPr>
        <w:t>”), and the Company and Executve now desire to amend the Employment Agreement pursuant to the terms hereof. In consideraton of Executve’s contnued engagement with the Company and other good and valuable consideraton, the receipt and sufciency of which is hereby acknowledged, and intending to be legally bound, the Partes agree as follows:</w:t>
      </w:r>
    </w:p>
    <w:p>
      <w:pPr>
        <w:spacing w:after="0" w:line="107" w:lineRule="exact"/>
        <w:rPr>
          <w:sz w:val="20"/>
          <w:szCs w:val="20"/>
          <w:color w:val="auto"/>
        </w:rPr>
      </w:pPr>
    </w:p>
    <w:p>
      <w:pPr>
        <w:ind w:left="380" w:hanging="372"/>
        <w:spacing w:after="0"/>
        <w:tabs>
          <w:tab w:leader="none" w:pos="380" w:val="left"/>
        </w:tabs>
        <w:numPr>
          <w:ilvl w:val="0"/>
          <w:numId w:val="18"/>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Defnitons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Capitalized terms used herein and not otherwise defned shall have the same meaning as set forth in the Employment Agreement.</w:t>
      </w:r>
    </w:p>
    <w:p>
      <w:pPr>
        <w:spacing w:after="0" w:line="104" w:lineRule="exact"/>
        <w:rPr>
          <w:sz w:val="20"/>
          <w:szCs w:val="20"/>
          <w:color w:val="auto"/>
        </w:rPr>
      </w:pPr>
    </w:p>
    <w:p>
      <w:pPr>
        <w:ind w:left="380" w:hanging="372"/>
        <w:spacing w:after="0"/>
        <w:tabs>
          <w:tab w:leader="none" w:pos="380" w:val="left"/>
        </w:tabs>
        <w:numPr>
          <w:ilvl w:val="0"/>
          <w:numId w:val="19"/>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Amendments</w:t>
      </w:r>
      <w:r>
        <w:rPr>
          <w:rFonts w:ascii="Calibri" w:cs="Calibri" w:eastAsia="Calibri" w:hAnsi="Calibri"/>
          <w:sz w:val="18"/>
          <w:szCs w:val="18"/>
          <w:color w:val="auto"/>
        </w:rPr>
        <w:t>.</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Partes hereby agree that the Employment Agreement shall be amended as follows:</w:t>
      </w:r>
    </w:p>
    <w:p>
      <w:pPr>
        <w:spacing w:after="0" w:line="109" w:lineRule="exact"/>
        <w:rPr>
          <w:sz w:val="20"/>
          <w:szCs w:val="20"/>
          <w:color w:val="auto"/>
        </w:rPr>
      </w:pPr>
    </w:p>
    <w:p>
      <w:pPr>
        <w:ind w:left="760" w:hanging="378"/>
        <w:spacing w:after="0" w:line="235" w:lineRule="auto"/>
        <w:tabs>
          <w:tab w:leader="none" w:pos="760" w:val="left"/>
        </w:tabs>
        <w:numPr>
          <w:ilvl w:val="0"/>
          <w:numId w:val="20"/>
        </w:numPr>
        <w:rPr>
          <w:rFonts w:ascii="Calibri" w:cs="Calibri" w:eastAsia="Calibri" w:hAnsi="Calibri"/>
          <w:sz w:val="18"/>
          <w:szCs w:val="18"/>
          <w:color w:val="auto"/>
        </w:rPr>
      </w:pPr>
      <w:r>
        <w:rPr>
          <w:rFonts w:ascii="Calibri" w:cs="Calibri" w:eastAsia="Calibri" w:hAnsi="Calibri"/>
          <w:sz w:val="18"/>
          <w:szCs w:val="18"/>
          <w:b w:val="1"/>
          <w:bCs w:val="1"/>
          <w:color w:val="auto"/>
        </w:rPr>
        <w:t>Secton 9(e)</w:t>
      </w:r>
      <w:r>
        <w:rPr>
          <w:rFonts w:ascii="Calibri" w:cs="Calibri" w:eastAsia="Calibri" w:hAnsi="Calibri"/>
          <w:sz w:val="18"/>
          <w:szCs w:val="18"/>
          <w:color w:val="auto"/>
        </w:rPr>
        <w:t>. Secton 9(e) of the Employment Agreement shall be stricken in its entrety. All other provisions in Secton 9 of the Employment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Agreement shall remain the same.</w:t>
      </w:r>
    </w:p>
    <w:p>
      <w:pPr>
        <w:spacing w:after="0" w:line="109" w:lineRule="exact"/>
        <w:rPr>
          <w:rFonts w:ascii="Calibri" w:cs="Calibri" w:eastAsia="Calibri" w:hAnsi="Calibri"/>
          <w:sz w:val="18"/>
          <w:szCs w:val="18"/>
          <w:color w:val="auto"/>
        </w:rPr>
      </w:pPr>
    </w:p>
    <w:p>
      <w:pPr>
        <w:ind w:left="760" w:hanging="378"/>
        <w:spacing w:after="0" w:line="235" w:lineRule="auto"/>
        <w:tabs>
          <w:tab w:leader="none" w:pos="760" w:val="left"/>
        </w:tabs>
        <w:numPr>
          <w:ilvl w:val="0"/>
          <w:numId w:val="20"/>
        </w:numPr>
        <w:rPr>
          <w:rFonts w:ascii="Calibri" w:cs="Calibri" w:eastAsia="Calibri" w:hAnsi="Calibri"/>
          <w:sz w:val="18"/>
          <w:szCs w:val="18"/>
          <w:color w:val="auto"/>
        </w:rPr>
      </w:pPr>
      <w:r>
        <w:rPr>
          <w:rFonts w:ascii="Calibri" w:cs="Calibri" w:eastAsia="Calibri" w:hAnsi="Calibri"/>
          <w:sz w:val="18"/>
          <w:szCs w:val="18"/>
          <w:b w:val="1"/>
          <w:bCs w:val="1"/>
          <w:color w:val="auto"/>
        </w:rPr>
        <w:t>Secton 10</w:t>
      </w:r>
      <w:r>
        <w:rPr>
          <w:rFonts w:ascii="Calibri" w:cs="Calibri" w:eastAsia="Calibri" w:hAnsi="Calibri"/>
          <w:sz w:val="18"/>
          <w:szCs w:val="18"/>
          <w:color w:val="auto"/>
        </w:rPr>
        <w:t>. The Employment Agreement shall be amended to include a new Secton 10. All subsequent Secton numbers and references to such</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Sectons shall be adjusted accordingly. The new Secton 10 shall comprise the following provisions:</w:t>
      </w:r>
    </w:p>
    <w:p>
      <w:pPr>
        <w:spacing w:after="0" w:line="109" w:lineRule="exact"/>
        <w:rPr>
          <w:rFonts w:ascii="Calibri" w:cs="Calibri" w:eastAsia="Calibri" w:hAnsi="Calibri"/>
          <w:sz w:val="18"/>
          <w:szCs w:val="18"/>
          <w:color w:val="auto"/>
        </w:rPr>
      </w:pPr>
    </w:p>
    <w:p>
      <w:pPr>
        <w:jc w:val="both"/>
        <w:ind w:left="1140" w:hanging="383"/>
        <w:spacing w:after="0" w:line="235" w:lineRule="auto"/>
        <w:tabs>
          <w:tab w:leader="none" w:pos="1083" w:val="left"/>
        </w:tabs>
        <w:numPr>
          <w:ilvl w:val="1"/>
          <w:numId w:val="20"/>
        </w:numPr>
        <w:rPr>
          <w:rFonts w:ascii="Calibri" w:cs="Calibri" w:eastAsia="Calibri" w:hAnsi="Calibri"/>
          <w:sz w:val="18"/>
          <w:szCs w:val="18"/>
          <w:color w:val="auto"/>
        </w:rPr>
      </w:pPr>
      <w:r>
        <w:rPr>
          <w:rFonts w:ascii="Calibri" w:cs="Calibri" w:eastAsia="Calibri" w:hAnsi="Calibri"/>
          <w:sz w:val="18"/>
          <w:szCs w:val="18"/>
          <w:color w:val="auto"/>
        </w:rPr>
        <w:t>If, at any tme during the period beginning 12 months prior to a Change in Control (as defned in the Company’s 2021 Incentve Award Plan, as amended) and ending 12 months following a Change in Control, the Company terminates your employment and such terminaton consttutes a Qualifying Terminaton, you will be enttled to receive the following payments and benefts:</w:t>
      </w:r>
    </w:p>
    <w:p>
      <w:pPr>
        <w:spacing w:after="0" w:line="105" w:lineRule="exact"/>
        <w:rPr>
          <w:rFonts w:ascii="Calibri" w:cs="Calibri" w:eastAsia="Calibri" w:hAnsi="Calibri"/>
          <w:sz w:val="18"/>
          <w:szCs w:val="18"/>
          <w:color w:val="auto"/>
        </w:rPr>
      </w:pPr>
    </w:p>
    <w:p>
      <w:pPr>
        <w:ind w:left="1440" w:hanging="309"/>
        <w:spacing w:after="0"/>
        <w:tabs>
          <w:tab w:leader="none" w:pos="1440" w:val="left"/>
        </w:tabs>
        <w:numPr>
          <w:ilvl w:val="2"/>
          <w:numId w:val="20"/>
        </w:numPr>
        <w:rPr>
          <w:rFonts w:ascii="Calibri" w:cs="Calibri" w:eastAsia="Calibri" w:hAnsi="Calibri"/>
          <w:sz w:val="18"/>
          <w:szCs w:val="18"/>
          <w:color w:val="auto"/>
        </w:rPr>
      </w:pPr>
      <w:r>
        <w:rPr>
          <w:rFonts w:ascii="Calibri" w:cs="Calibri" w:eastAsia="Calibri" w:hAnsi="Calibri"/>
          <w:sz w:val="18"/>
          <w:szCs w:val="18"/>
          <w:color w:val="auto"/>
        </w:rPr>
        <w:t>the Base Salary Severance;</w:t>
      </w:r>
    </w:p>
    <w:p>
      <w:pPr>
        <w:spacing w:after="0" w:line="104" w:lineRule="exact"/>
        <w:rPr>
          <w:rFonts w:ascii="Calibri" w:cs="Calibri" w:eastAsia="Calibri" w:hAnsi="Calibri"/>
          <w:sz w:val="18"/>
          <w:szCs w:val="18"/>
          <w:color w:val="auto"/>
        </w:rPr>
      </w:pPr>
    </w:p>
    <w:p>
      <w:pPr>
        <w:ind w:left="1440" w:hanging="309"/>
        <w:spacing w:after="0"/>
        <w:tabs>
          <w:tab w:leader="none" w:pos="1440" w:val="left"/>
        </w:tabs>
        <w:numPr>
          <w:ilvl w:val="2"/>
          <w:numId w:val="20"/>
        </w:numPr>
        <w:rPr>
          <w:rFonts w:ascii="Calibri" w:cs="Calibri" w:eastAsia="Calibri" w:hAnsi="Calibri"/>
          <w:sz w:val="18"/>
          <w:szCs w:val="18"/>
          <w:color w:val="auto"/>
        </w:rPr>
      </w:pPr>
      <w:r>
        <w:rPr>
          <w:rFonts w:ascii="Calibri" w:cs="Calibri" w:eastAsia="Calibri" w:hAnsi="Calibri"/>
          <w:sz w:val="18"/>
          <w:szCs w:val="18"/>
          <w:color w:val="auto"/>
        </w:rPr>
        <w:t>1.0 tmes your Annual Bonus for the fscal year in which such terminaton of employment occurs;</w:t>
      </w:r>
    </w:p>
    <w:p>
      <w:pPr>
        <w:spacing w:after="0" w:line="104" w:lineRule="exact"/>
        <w:rPr>
          <w:rFonts w:ascii="Calibri" w:cs="Calibri" w:eastAsia="Calibri" w:hAnsi="Calibri"/>
          <w:sz w:val="18"/>
          <w:szCs w:val="18"/>
          <w:color w:val="auto"/>
        </w:rPr>
      </w:pPr>
    </w:p>
    <w:p>
      <w:pPr>
        <w:ind w:left="1440" w:hanging="309"/>
        <w:spacing w:after="0"/>
        <w:tabs>
          <w:tab w:leader="none" w:pos="1440" w:val="left"/>
        </w:tabs>
        <w:numPr>
          <w:ilvl w:val="2"/>
          <w:numId w:val="20"/>
        </w:numPr>
        <w:rPr>
          <w:rFonts w:ascii="Calibri" w:cs="Calibri" w:eastAsia="Calibri" w:hAnsi="Calibri"/>
          <w:sz w:val="18"/>
          <w:szCs w:val="18"/>
          <w:color w:val="auto"/>
        </w:rPr>
      </w:pPr>
      <w:r>
        <w:rPr>
          <w:rFonts w:ascii="Calibri" w:cs="Calibri" w:eastAsia="Calibri" w:hAnsi="Calibri"/>
          <w:sz w:val="18"/>
          <w:szCs w:val="18"/>
          <w:color w:val="auto"/>
        </w:rPr>
        <w:t>any unpaid bonus for a prior fscal year;</w:t>
      </w:r>
    </w:p>
    <w:p>
      <w:pPr>
        <w:spacing w:after="0" w:line="104" w:lineRule="exact"/>
        <w:rPr>
          <w:rFonts w:ascii="Calibri" w:cs="Calibri" w:eastAsia="Calibri" w:hAnsi="Calibri"/>
          <w:sz w:val="18"/>
          <w:szCs w:val="18"/>
          <w:color w:val="auto"/>
        </w:rPr>
      </w:pPr>
    </w:p>
    <w:p>
      <w:pPr>
        <w:ind w:left="1440" w:hanging="309"/>
        <w:spacing w:after="0"/>
        <w:tabs>
          <w:tab w:leader="none" w:pos="1440" w:val="left"/>
        </w:tabs>
        <w:numPr>
          <w:ilvl w:val="2"/>
          <w:numId w:val="20"/>
        </w:numPr>
        <w:rPr>
          <w:rFonts w:ascii="Calibri" w:cs="Calibri" w:eastAsia="Calibri" w:hAnsi="Calibri"/>
          <w:sz w:val="18"/>
          <w:szCs w:val="18"/>
          <w:color w:val="auto"/>
        </w:rPr>
      </w:pPr>
      <w:r>
        <w:rPr>
          <w:rFonts w:ascii="Calibri" w:cs="Calibri" w:eastAsia="Calibri" w:hAnsi="Calibri"/>
          <w:sz w:val="18"/>
          <w:szCs w:val="18"/>
          <w:color w:val="auto"/>
        </w:rPr>
        <w:t>the COBRA benefts identfed in Secton 9(d);</w:t>
      </w:r>
    </w:p>
    <w:p>
      <w:pPr>
        <w:spacing w:after="0" w:line="109" w:lineRule="exact"/>
        <w:rPr>
          <w:rFonts w:ascii="Calibri" w:cs="Calibri" w:eastAsia="Calibri" w:hAnsi="Calibri"/>
          <w:sz w:val="18"/>
          <w:szCs w:val="18"/>
          <w:color w:val="auto"/>
        </w:rPr>
      </w:pPr>
    </w:p>
    <w:p>
      <w:pPr>
        <w:ind w:left="1500" w:right="40" w:hanging="369"/>
        <w:spacing w:after="0" w:line="235" w:lineRule="auto"/>
        <w:tabs>
          <w:tab w:leader="none" w:pos="1443" w:val="left"/>
        </w:tabs>
        <w:numPr>
          <w:ilvl w:val="2"/>
          <w:numId w:val="20"/>
        </w:numPr>
        <w:rPr>
          <w:rFonts w:ascii="Calibri" w:cs="Calibri" w:eastAsia="Calibri" w:hAnsi="Calibri"/>
          <w:sz w:val="18"/>
          <w:szCs w:val="18"/>
          <w:color w:val="auto"/>
        </w:rPr>
      </w:pPr>
      <w:r>
        <w:rPr>
          <w:rFonts w:ascii="Calibri" w:cs="Calibri" w:eastAsia="Calibri" w:hAnsi="Calibri"/>
          <w:sz w:val="18"/>
          <w:szCs w:val="18"/>
          <w:color w:val="auto"/>
        </w:rPr>
        <w:t>notwithstanding the terms of the equity awards, the vestng of your then outstanding unvested equity awards, including the Equity Awards, shall be accelerated as to 100% of the unvested shares subject thereto; and</w:t>
      </w:r>
    </w:p>
    <w:p>
      <w:pPr>
        <w:spacing w:after="0" w:line="109" w:lineRule="exact"/>
        <w:rPr>
          <w:rFonts w:ascii="Calibri" w:cs="Calibri" w:eastAsia="Calibri" w:hAnsi="Calibri"/>
          <w:sz w:val="18"/>
          <w:szCs w:val="18"/>
          <w:color w:val="auto"/>
        </w:rPr>
      </w:pPr>
    </w:p>
    <w:p>
      <w:pPr>
        <w:jc w:val="both"/>
        <w:ind w:left="1500" w:hanging="369"/>
        <w:spacing w:after="0" w:line="235" w:lineRule="auto"/>
        <w:tabs>
          <w:tab w:leader="none" w:pos="1443" w:val="left"/>
        </w:tabs>
        <w:numPr>
          <w:ilvl w:val="2"/>
          <w:numId w:val="20"/>
        </w:numPr>
        <w:rPr>
          <w:rFonts w:ascii="Calibri" w:cs="Calibri" w:eastAsia="Calibri" w:hAnsi="Calibri"/>
          <w:sz w:val="18"/>
          <w:szCs w:val="18"/>
          <w:color w:val="auto"/>
        </w:rPr>
      </w:pPr>
      <w:r>
        <w:rPr>
          <w:rFonts w:ascii="Calibri" w:cs="Calibri" w:eastAsia="Calibri" w:hAnsi="Calibri"/>
          <w:sz w:val="18"/>
          <w:szCs w:val="18"/>
          <w:color w:val="auto"/>
        </w:rPr>
        <w:t>the benefts set forth in Sectons 9 and 10 are collectvely, less deductons and withholdings required by law or authorized by you, termed the “</w:t>
      </w:r>
      <w:r>
        <w:rPr>
          <w:rFonts w:ascii="Calibri" w:cs="Calibri" w:eastAsia="Calibri" w:hAnsi="Calibri"/>
          <w:sz w:val="18"/>
          <w:szCs w:val="18"/>
          <w:b w:val="1"/>
          <w:bCs w:val="1"/>
          <w:color w:val="auto"/>
        </w:rPr>
        <w:t>Severance Pay</w:t>
      </w:r>
      <w:r>
        <w:rPr>
          <w:rFonts w:ascii="Calibri" w:cs="Calibri" w:eastAsia="Calibri" w:hAnsi="Calibri"/>
          <w:sz w:val="18"/>
          <w:szCs w:val="18"/>
          <w:color w:val="auto"/>
        </w:rPr>
        <w:t>.” Subject to the provisions in Sectons 9 and 10, payments of any Base Salary Severance shall be made in substantally equal monthly installments in accordance with the Company’s general payroll practces in efect at the tme of your terminaton of employment, and payment of any prorated or unpaid bonus shall be made when such bonus payments would otherwise have been paid. For purposes of Sectons 9 and 10, “</w:t>
      </w:r>
      <w:r>
        <w:rPr>
          <w:rFonts w:ascii="Calibri" w:cs="Calibri" w:eastAsia="Calibri" w:hAnsi="Calibri"/>
          <w:sz w:val="18"/>
          <w:szCs w:val="18"/>
          <w:b w:val="1"/>
          <w:bCs w:val="1"/>
          <w:color w:val="auto"/>
        </w:rPr>
        <w:t>Cause</w:t>
      </w:r>
      <w:r>
        <w:rPr>
          <w:rFonts w:ascii="Calibri" w:cs="Calibri" w:eastAsia="Calibri" w:hAnsi="Calibri"/>
          <w:sz w:val="18"/>
          <w:szCs w:val="18"/>
          <w:color w:val="auto"/>
        </w:rPr>
        <w:t>” and “</w:t>
      </w:r>
      <w:r>
        <w:rPr>
          <w:rFonts w:ascii="Calibri" w:cs="Calibri" w:eastAsia="Calibri" w:hAnsi="Calibri"/>
          <w:sz w:val="18"/>
          <w:szCs w:val="18"/>
          <w:b w:val="1"/>
          <w:bCs w:val="1"/>
          <w:color w:val="auto"/>
        </w:rPr>
        <w:t>Good Reason</w:t>
      </w:r>
      <w:r>
        <w:rPr>
          <w:rFonts w:ascii="Calibri" w:cs="Calibri" w:eastAsia="Calibri" w:hAnsi="Calibri"/>
          <w:sz w:val="18"/>
          <w:szCs w:val="18"/>
          <w:color w:val="auto"/>
        </w:rPr>
        <w:t xml:space="preserve">” have the meanings set forth in </w:t>
      </w:r>
      <w:r>
        <w:rPr>
          <w:rFonts w:ascii="Calibri" w:cs="Calibri" w:eastAsia="Calibri" w:hAnsi="Calibri"/>
          <w:sz w:val="18"/>
          <w:szCs w:val="18"/>
          <w:b w:val="1"/>
          <w:bCs w:val="1"/>
          <w:u w:val="single" w:color="auto"/>
          <w:color w:val="auto"/>
        </w:rPr>
        <w:t>Exhibit B</w:t>
      </w:r>
      <w:r>
        <w:rPr>
          <w:rFonts w:ascii="Calibri" w:cs="Calibri" w:eastAsia="Calibri" w:hAnsi="Calibri"/>
          <w:sz w:val="18"/>
          <w:szCs w:val="18"/>
          <w:color w:val="auto"/>
        </w:rPr>
        <w:t xml:space="preserve"> hereto. The Company will not be required to pay any Severance Pay unless (i) you execute and deliver to the Company an agreement in the form atached as </w:t>
      </w:r>
      <w:r>
        <w:rPr>
          <w:rFonts w:ascii="Calibri" w:cs="Calibri" w:eastAsia="Calibri" w:hAnsi="Calibri"/>
          <w:sz w:val="18"/>
          <w:szCs w:val="18"/>
          <w:b w:val="1"/>
          <w:bCs w:val="1"/>
          <w:u w:val="single" w:color="auto"/>
          <w:color w:val="auto"/>
        </w:rPr>
        <w:t>Exhibit C</w:t>
      </w:r>
      <w:r>
        <w:rPr>
          <w:rFonts w:ascii="Calibri" w:cs="Calibri" w:eastAsia="Calibri" w:hAnsi="Calibri"/>
          <w:sz w:val="18"/>
          <w:szCs w:val="18"/>
          <w:color w:val="auto"/>
        </w:rPr>
        <w:t xml:space="preserve"> hereto (the “</w:t>
      </w:r>
      <w:r>
        <w:rPr>
          <w:rFonts w:ascii="Calibri" w:cs="Calibri" w:eastAsia="Calibri" w:hAnsi="Calibri"/>
          <w:sz w:val="18"/>
          <w:szCs w:val="18"/>
          <w:b w:val="1"/>
          <w:bCs w:val="1"/>
          <w:color w:val="auto"/>
        </w:rPr>
        <w:t>Release Agreement</w:t>
      </w:r>
      <w:r>
        <w:rPr>
          <w:rFonts w:ascii="Calibri" w:cs="Calibri" w:eastAsia="Calibri" w:hAnsi="Calibri"/>
          <w:sz w:val="18"/>
          <w:szCs w:val="18"/>
          <w:color w:val="auto"/>
        </w:rPr>
        <w:t xml:space="preserve">”) within 60 days following the date of your terminaton of employment and (ii) you have not materially breached the provisions of (A) this leter, (B) Sectons 2 through 8 of </w:t>
      </w:r>
      <w:r>
        <w:rPr>
          <w:rFonts w:ascii="Calibri" w:cs="Calibri" w:eastAsia="Calibri" w:hAnsi="Calibri"/>
          <w:sz w:val="18"/>
          <w:szCs w:val="18"/>
          <w:b w:val="1"/>
          <w:bCs w:val="1"/>
          <w:u w:val="single" w:color="auto"/>
          <w:color w:val="auto"/>
        </w:rPr>
        <w:t>Exhibit A</w:t>
      </w:r>
      <w:r>
        <w:rPr>
          <w:rFonts w:ascii="Calibri" w:cs="Calibri" w:eastAsia="Calibri" w:hAnsi="Calibri"/>
          <w:sz w:val="18"/>
          <w:szCs w:val="18"/>
          <w:color w:val="auto"/>
        </w:rPr>
        <w:t xml:space="preserve"> hereto, (C) the Release Agreement or (D) any other agreement between you and the Company. If the Release Agreement has been executed and delivered and is no longer subject to revocaton as provided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jc w:val="both"/>
        <w:ind w:left="1500"/>
        <w:spacing w:after="0" w:line="227" w:lineRule="auto"/>
        <w:rPr>
          <w:sz w:val="20"/>
          <w:szCs w:val="20"/>
          <w:color w:val="auto"/>
        </w:rPr>
      </w:pPr>
      <w:r>
        <w:rPr>
          <w:rFonts w:ascii="Calibri" w:cs="Calibri" w:eastAsia="Calibri" w:hAnsi="Calibri"/>
          <w:sz w:val="18"/>
          <w:szCs w:val="18"/>
          <w:color w:val="auto"/>
        </w:rPr>
        <w:t>preceding sentence, then the applicable Severance Pay shall be paid in accordance with the Company’s general payroll practces in efect at the tme of your terminaton of employment and commencing on the 60</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xml:space="preserve"> day following your terminaton of employment. The frst payment of any Base Salary Severance shall include payment of all amounts that otherwise would have been due prior thereto under the terms of this leter had such payments commenced immediately upon your terminaton of employment, and any payments made thereafer shall contnue as provided herein. </w:t>
      </w:r>
      <w:r>
        <w:rPr>
          <w:rFonts w:ascii="Calibri" w:cs="Calibri" w:eastAsia="Calibri" w:hAnsi="Calibri"/>
          <w:sz w:val="18"/>
          <w:szCs w:val="18"/>
          <w:b w:val="1"/>
          <w:bCs w:val="1"/>
          <w:color w:val="auto"/>
        </w:rPr>
        <w:t>For the avoidance of doubt, under no circumstances shall you be enttled to receive</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Severance Pay under both Sectons 9 and 10</w:t>
      </w:r>
      <w:r>
        <w:rPr>
          <w:rFonts w:ascii="Calibri" w:cs="Calibri" w:eastAsia="Calibri" w:hAnsi="Calibri"/>
          <w:sz w:val="18"/>
          <w:szCs w:val="18"/>
          <w:color w:val="auto"/>
        </w:rPr>
        <w:t>.</w:t>
      </w:r>
    </w:p>
    <w:p>
      <w:pPr>
        <w:spacing w:after="0" w:line="110" w:lineRule="exact"/>
        <w:rPr>
          <w:sz w:val="20"/>
          <w:szCs w:val="20"/>
          <w:color w:val="auto"/>
        </w:rPr>
      </w:pPr>
    </w:p>
    <w:p>
      <w:pPr>
        <w:ind w:left="380" w:hanging="372"/>
        <w:spacing w:after="0"/>
        <w:tabs>
          <w:tab w:leader="none" w:pos="380" w:val="left"/>
        </w:tabs>
        <w:numPr>
          <w:ilvl w:val="0"/>
          <w:numId w:val="21"/>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Contnuaton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Except as set forth herein, all of the terms and conditons set forth in the Employment Agreement, including its exhibits and schedules, are unchanged, shall remain in full force and efect and are hereby ratfed and confrmed by the Partes. If any provision hereof is inconsistent with the Employment Agreement, the Partes intend that the terms hereof shall control solely to the extent required to make the Employment Agreement consistent herewith. Nothing herein shall change the at-will nature of Executve’s employment. Executve agrees and confrms that nothing herein triggers the Good Reason provision contained in the Employment Agreement.</w:t>
      </w:r>
    </w:p>
    <w:p>
      <w:pPr>
        <w:spacing w:after="0" w:line="107" w:lineRule="exact"/>
        <w:rPr>
          <w:sz w:val="20"/>
          <w:szCs w:val="20"/>
          <w:color w:val="auto"/>
        </w:rPr>
      </w:pPr>
    </w:p>
    <w:p>
      <w:pPr>
        <w:ind w:left="380" w:hanging="372"/>
        <w:spacing w:after="0"/>
        <w:tabs>
          <w:tab w:leader="none" w:pos="380" w:val="left"/>
        </w:tabs>
        <w:numPr>
          <w:ilvl w:val="0"/>
          <w:numId w:val="22"/>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Constructon of Terms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Amendment consttutes the entre understanding between the Partes with respect to the subject mater hereof and supersedes any other agreements or promises made to Executve by anyone with respect to this subject mater, whether oral or writen. No modifcaton hereto shall be valid unless in writng and signed by the Partes.</w:t>
      </w:r>
    </w:p>
    <w:p>
      <w:pPr>
        <w:spacing w:after="0" w:line="106" w:lineRule="exact"/>
        <w:rPr>
          <w:sz w:val="20"/>
          <w:szCs w:val="20"/>
          <w:color w:val="auto"/>
        </w:rPr>
      </w:pPr>
    </w:p>
    <w:p>
      <w:pPr>
        <w:ind w:left="380" w:hanging="372"/>
        <w:spacing w:after="0"/>
        <w:tabs>
          <w:tab w:leader="none" w:pos="380" w:val="left"/>
        </w:tabs>
        <w:numPr>
          <w:ilvl w:val="0"/>
          <w:numId w:val="2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Governing Law</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This Amendment shall be governed by the laws of the State of Delaware, without regard to the conficts of law provisions of any jurisdicton.</w:t>
      </w:r>
    </w:p>
    <w:p>
      <w:pPr>
        <w:spacing w:after="0" w:line="104" w:lineRule="exact"/>
        <w:rPr>
          <w:sz w:val="20"/>
          <w:szCs w:val="20"/>
          <w:color w:val="auto"/>
        </w:rPr>
      </w:pPr>
    </w:p>
    <w:p>
      <w:pPr>
        <w:ind w:left="380" w:hanging="372"/>
        <w:spacing w:after="0"/>
        <w:tabs>
          <w:tab w:leader="none" w:pos="380" w:val="left"/>
        </w:tabs>
        <w:numPr>
          <w:ilvl w:val="0"/>
          <w:numId w:val="2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Counterparts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This Amendment may be executed in one or more counterparts, each of which shall be deemed to be an original, with the same force and efectveness as though executed in a single document.</w:t>
      </w:r>
    </w:p>
    <w:p>
      <w:pPr>
        <w:spacing w:after="0" w:line="105" w:lineRule="exact"/>
        <w:rPr>
          <w:sz w:val="20"/>
          <w:szCs w:val="20"/>
          <w:color w:val="auto"/>
        </w:rPr>
      </w:pPr>
    </w:p>
    <w:p>
      <w:pPr>
        <w:ind w:left="380" w:hanging="372"/>
        <w:spacing w:after="0"/>
        <w:tabs>
          <w:tab w:leader="none" w:pos="380" w:val="left"/>
        </w:tabs>
        <w:numPr>
          <w:ilvl w:val="0"/>
          <w:numId w:val="25"/>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Efectve Date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terms and conditons set forth herein shall be efectve as of the Efectve Date.</w:t>
      </w:r>
    </w:p>
    <w:p>
      <w:pPr>
        <w:spacing w:after="0" w:line="104" w:lineRule="exact"/>
        <w:rPr>
          <w:sz w:val="20"/>
          <w:szCs w:val="20"/>
          <w:color w:val="auto"/>
        </w:rPr>
      </w:pPr>
    </w:p>
    <w:p>
      <w:pPr>
        <w:ind w:left="4760"/>
        <w:spacing w:after="0"/>
        <w:rPr>
          <w:sz w:val="20"/>
          <w:szCs w:val="20"/>
          <w:color w:val="auto"/>
        </w:rPr>
      </w:pPr>
      <w:r>
        <w:rPr>
          <w:rFonts w:ascii="Calibri" w:cs="Calibri" w:eastAsia="Calibri" w:hAnsi="Calibri"/>
          <w:sz w:val="18"/>
          <w:szCs w:val="18"/>
          <w:i w:val="1"/>
          <w:iCs w:val="1"/>
          <w:color w:val="auto"/>
        </w:rPr>
        <w:t>[Signature page follows]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spacing w:after="0"/>
        <w:rPr>
          <w:sz w:val="20"/>
          <w:szCs w:val="20"/>
          <w:color w:val="auto"/>
        </w:rPr>
      </w:pPr>
      <w:r>
        <w:rPr>
          <w:rFonts w:ascii="Calibri" w:cs="Calibri" w:eastAsia="Calibri" w:hAnsi="Calibri"/>
          <w:sz w:val="18"/>
          <w:szCs w:val="18"/>
          <w:color w:val="auto"/>
        </w:rPr>
        <w:t>IN WITNESS WHEREOF, the Partes hereto have executed this Amendment as of the Efectve Date.</w:t>
      </w:r>
    </w:p>
    <w:p>
      <w:pPr>
        <w:spacing w:after="0" w:line="374" w:lineRule="exact"/>
        <w:rPr>
          <w:sz w:val="20"/>
          <w:szCs w:val="20"/>
          <w:color w:val="auto"/>
        </w:rPr>
      </w:pPr>
    </w:p>
    <w:tbl>
      <w:tblPr>
        <w:tblLayout w:type="fixed"/>
        <w:tblInd w:w="100" w:type="dxa"/>
        <w:tblCellMar>
          <w:top w:w="0" w:type="dxa"/>
          <w:left w:w="0" w:type="dxa"/>
          <w:bottom w:w="0" w:type="dxa"/>
          <w:right w:w="0" w:type="dxa"/>
        </w:tblCellMar>
      </w:tblPr>
      <w:tr>
        <w:trPr>
          <w:trHeight w:val="220"/>
        </w:trPr>
        <w:tc>
          <w:tcPr>
            <w:tcW w:w="3940" w:type="dxa"/>
            <w:vAlign w:val="bottom"/>
            <w:gridSpan w:val="4"/>
          </w:tcPr>
          <w:p>
            <w:pPr>
              <w:spacing w:after="0"/>
              <w:rPr>
                <w:sz w:val="20"/>
                <w:szCs w:val="20"/>
                <w:color w:val="auto"/>
              </w:rPr>
            </w:pPr>
            <w:r>
              <w:rPr>
                <w:rFonts w:ascii="Calibri" w:cs="Calibri" w:eastAsia="Calibri" w:hAnsi="Calibri"/>
                <w:sz w:val="18"/>
                <w:szCs w:val="18"/>
                <w:b w:val="1"/>
                <w:bCs w:val="1"/>
                <w:color w:val="auto"/>
              </w:rPr>
              <w:t>VIVID SEATS INC.</w:t>
            </w:r>
          </w:p>
        </w:tc>
        <w:tc>
          <w:tcPr>
            <w:tcW w:w="3160" w:type="dxa"/>
            <w:vAlign w:val="bottom"/>
            <w:gridSpan w:val="3"/>
          </w:tcPr>
          <w:p>
            <w:pPr>
              <w:ind w:left="1680"/>
              <w:spacing w:after="0"/>
              <w:rPr>
                <w:sz w:val="20"/>
                <w:szCs w:val="20"/>
                <w:color w:val="auto"/>
              </w:rPr>
            </w:pPr>
            <w:r>
              <w:rPr>
                <w:rFonts w:ascii="Calibri" w:cs="Calibri" w:eastAsia="Calibri" w:hAnsi="Calibri"/>
                <w:sz w:val="18"/>
                <w:szCs w:val="18"/>
                <w:b w:val="1"/>
                <w:bCs w:val="1"/>
                <w:color w:val="auto"/>
              </w:rPr>
              <w:t>EXECUTIVE</w:t>
            </w:r>
          </w:p>
        </w:tc>
      </w:tr>
      <w:tr>
        <w:trPr>
          <w:trHeight w:val="388"/>
        </w:trPr>
        <w:tc>
          <w:tcPr>
            <w:tcW w:w="3940" w:type="dxa"/>
            <w:vAlign w:val="bottom"/>
            <w:gridSpan w:val="4"/>
          </w:tcPr>
          <w:p>
            <w:pPr>
              <w:spacing w:after="0"/>
              <w:rPr>
                <w:sz w:val="20"/>
                <w:szCs w:val="20"/>
                <w:color w:val="auto"/>
              </w:rPr>
            </w:pPr>
            <w:r>
              <w:rPr>
                <w:rFonts w:ascii="Calibri" w:cs="Calibri" w:eastAsia="Calibri" w:hAnsi="Calibri"/>
                <w:sz w:val="18"/>
                <w:szCs w:val="18"/>
                <w:color w:val="auto"/>
              </w:rPr>
              <w:t>By: /s/ Stanley Chia</w:t>
            </w:r>
          </w:p>
        </w:tc>
        <w:tc>
          <w:tcPr>
            <w:tcW w:w="3160" w:type="dxa"/>
            <w:vAlign w:val="bottom"/>
            <w:gridSpan w:val="3"/>
          </w:tcPr>
          <w:p>
            <w:pPr>
              <w:ind w:left="1680"/>
              <w:spacing w:after="0"/>
              <w:rPr>
                <w:sz w:val="20"/>
                <w:szCs w:val="20"/>
                <w:color w:val="auto"/>
              </w:rPr>
            </w:pPr>
            <w:r>
              <w:rPr>
                <w:rFonts w:ascii="Calibri" w:cs="Calibri" w:eastAsia="Calibri" w:hAnsi="Calibri"/>
                <w:sz w:val="18"/>
                <w:szCs w:val="18"/>
                <w:color w:val="auto"/>
                <w:w w:val="96"/>
              </w:rPr>
              <w:t>By: /s/ Lawrence Fey</w:t>
            </w:r>
          </w:p>
        </w:tc>
      </w:tr>
      <w:tr>
        <w:trPr>
          <w:trHeight w:val="20"/>
        </w:trPr>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3"/>
        </w:trPr>
        <w:tc>
          <w:tcPr>
            <w:tcW w:w="560" w:type="dxa"/>
            <w:vAlign w:val="bottom"/>
            <w:gridSpan w:val="2"/>
          </w:tcPr>
          <w:p>
            <w:pPr>
              <w:spacing w:after="0"/>
              <w:rPr>
                <w:sz w:val="20"/>
                <w:szCs w:val="20"/>
                <w:color w:val="auto"/>
              </w:rPr>
            </w:pPr>
            <w:r>
              <w:rPr>
                <w:rFonts w:ascii="Calibri" w:cs="Calibri" w:eastAsia="Calibri" w:hAnsi="Calibri"/>
                <w:sz w:val="18"/>
                <w:szCs w:val="18"/>
                <w:color w:val="auto"/>
              </w:rPr>
              <w:t>Name:</w:t>
            </w:r>
          </w:p>
        </w:tc>
        <w:tc>
          <w:tcPr>
            <w:tcW w:w="3380" w:type="dxa"/>
            <w:vAlign w:val="bottom"/>
            <w:gridSpan w:val="2"/>
          </w:tcPr>
          <w:p>
            <w:pPr>
              <w:ind w:left="80"/>
              <w:spacing w:after="0"/>
              <w:rPr>
                <w:sz w:val="20"/>
                <w:szCs w:val="20"/>
                <w:color w:val="auto"/>
              </w:rPr>
            </w:pPr>
            <w:r>
              <w:rPr>
                <w:rFonts w:ascii="Calibri" w:cs="Calibri" w:eastAsia="Calibri" w:hAnsi="Calibri"/>
                <w:sz w:val="18"/>
                <w:szCs w:val="18"/>
                <w:color w:val="auto"/>
              </w:rPr>
              <w:t>Stanley Chia</w:t>
            </w:r>
          </w:p>
        </w:tc>
        <w:tc>
          <w:tcPr>
            <w:tcW w:w="3160" w:type="dxa"/>
            <w:vAlign w:val="bottom"/>
            <w:gridSpan w:val="3"/>
          </w:tcPr>
          <w:p>
            <w:pPr>
              <w:ind w:left="1680"/>
              <w:spacing w:after="0"/>
              <w:rPr>
                <w:sz w:val="20"/>
                <w:szCs w:val="20"/>
                <w:color w:val="auto"/>
              </w:rPr>
            </w:pPr>
            <w:r>
              <w:rPr>
                <w:rFonts w:ascii="Calibri" w:cs="Calibri" w:eastAsia="Calibri" w:hAnsi="Calibri"/>
                <w:sz w:val="18"/>
                <w:szCs w:val="18"/>
                <w:color w:val="auto"/>
                <w:w w:val="95"/>
              </w:rPr>
              <w:t>Name: Lawrence Fey</w:t>
            </w:r>
          </w:p>
        </w:tc>
      </w:tr>
      <w:tr>
        <w:trPr>
          <w:trHeight w:val="243"/>
        </w:trPr>
        <w:tc>
          <w:tcPr>
            <w:tcW w:w="560" w:type="dxa"/>
            <w:vAlign w:val="bottom"/>
            <w:gridSpan w:val="2"/>
          </w:tcPr>
          <w:p>
            <w:pPr>
              <w:spacing w:after="0"/>
              <w:rPr>
                <w:sz w:val="20"/>
                <w:szCs w:val="20"/>
                <w:color w:val="auto"/>
              </w:rPr>
            </w:pPr>
            <w:r>
              <w:rPr>
                <w:rFonts w:ascii="Calibri" w:cs="Calibri" w:eastAsia="Calibri" w:hAnsi="Calibri"/>
                <w:sz w:val="18"/>
                <w:szCs w:val="18"/>
                <w:color w:val="auto"/>
              </w:rPr>
              <w:t>Title:</w:t>
            </w:r>
          </w:p>
        </w:tc>
        <w:tc>
          <w:tcPr>
            <w:tcW w:w="3380" w:type="dxa"/>
            <w:vAlign w:val="bottom"/>
            <w:gridSpan w:val="2"/>
          </w:tcPr>
          <w:p>
            <w:pPr>
              <w:ind w:left="80"/>
              <w:spacing w:after="0"/>
              <w:rPr>
                <w:sz w:val="20"/>
                <w:szCs w:val="20"/>
                <w:color w:val="auto"/>
              </w:rPr>
            </w:pPr>
            <w:r>
              <w:rPr>
                <w:rFonts w:ascii="Calibri" w:cs="Calibri" w:eastAsia="Calibri" w:hAnsi="Calibri"/>
                <w:sz w:val="18"/>
                <w:szCs w:val="18"/>
                <w:color w:val="auto"/>
              </w:rPr>
              <w:t>Chief Executve Ofcer</w:t>
            </w:r>
          </w:p>
        </w:tc>
        <w:tc>
          <w:tcPr>
            <w:tcW w:w="19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18"/>
        </w:trPr>
        <w:tc>
          <w:tcPr>
            <w:tcW w:w="3940" w:type="dxa"/>
            <w:vAlign w:val="bottom"/>
            <w:gridSpan w:val="4"/>
          </w:tcPr>
          <w:p>
            <w:pPr>
              <w:spacing w:after="0"/>
              <w:rPr>
                <w:sz w:val="20"/>
                <w:szCs w:val="20"/>
                <w:color w:val="auto"/>
              </w:rPr>
            </w:pPr>
            <w:r>
              <w:rPr>
                <w:rFonts w:ascii="Calibri" w:cs="Calibri" w:eastAsia="Calibri" w:hAnsi="Calibri"/>
                <w:sz w:val="18"/>
                <w:szCs w:val="18"/>
                <w:b w:val="1"/>
                <w:bCs w:val="1"/>
                <w:color w:val="auto"/>
              </w:rPr>
              <w:t>VIVID SEATS LLC</w:t>
            </w:r>
          </w:p>
        </w:tc>
        <w:tc>
          <w:tcPr>
            <w:tcW w:w="1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8"/>
        </w:trPr>
        <w:tc>
          <w:tcPr>
            <w:tcW w:w="3940" w:type="dxa"/>
            <w:vAlign w:val="bottom"/>
            <w:gridSpan w:val="4"/>
          </w:tcPr>
          <w:p>
            <w:pPr>
              <w:spacing w:after="0"/>
              <w:rPr>
                <w:sz w:val="20"/>
                <w:szCs w:val="20"/>
                <w:color w:val="auto"/>
              </w:rPr>
            </w:pPr>
            <w:r>
              <w:rPr>
                <w:rFonts w:ascii="Calibri" w:cs="Calibri" w:eastAsia="Calibri" w:hAnsi="Calibri"/>
                <w:sz w:val="18"/>
                <w:szCs w:val="18"/>
                <w:color w:val="auto"/>
              </w:rPr>
              <w:t>By: /s/ Stanley Chia</w:t>
            </w:r>
          </w:p>
        </w:tc>
        <w:tc>
          <w:tcPr>
            <w:tcW w:w="1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560" w:type="dxa"/>
            <w:vAlign w:val="bottom"/>
            <w:gridSpan w:val="2"/>
          </w:tcPr>
          <w:p>
            <w:pPr>
              <w:spacing w:after="0"/>
              <w:rPr>
                <w:sz w:val="20"/>
                <w:szCs w:val="20"/>
                <w:color w:val="auto"/>
              </w:rPr>
            </w:pPr>
            <w:r>
              <w:rPr>
                <w:rFonts w:ascii="Calibri" w:cs="Calibri" w:eastAsia="Calibri" w:hAnsi="Calibri"/>
                <w:sz w:val="18"/>
                <w:szCs w:val="18"/>
                <w:color w:val="auto"/>
              </w:rPr>
              <w:t>Name:</w:t>
            </w:r>
          </w:p>
        </w:tc>
        <w:tc>
          <w:tcPr>
            <w:tcW w:w="3380" w:type="dxa"/>
            <w:vAlign w:val="bottom"/>
            <w:gridSpan w:val="2"/>
          </w:tcPr>
          <w:p>
            <w:pPr>
              <w:ind w:left="80"/>
              <w:spacing w:after="0"/>
              <w:rPr>
                <w:sz w:val="20"/>
                <w:szCs w:val="20"/>
                <w:color w:val="auto"/>
              </w:rPr>
            </w:pPr>
            <w:r>
              <w:rPr>
                <w:rFonts w:ascii="Calibri" w:cs="Calibri" w:eastAsia="Calibri" w:hAnsi="Calibri"/>
                <w:sz w:val="18"/>
                <w:szCs w:val="18"/>
                <w:color w:val="auto"/>
              </w:rPr>
              <w:t>Stanley Chia</w:t>
            </w:r>
          </w:p>
        </w:tc>
        <w:tc>
          <w:tcPr>
            <w:tcW w:w="19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560" w:type="dxa"/>
            <w:vAlign w:val="bottom"/>
            <w:gridSpan w:val="2"/>
          </w:tcPr>
          <w:p>
            <w:pPr>
              <w:spacing w:after="0"/>
              <w:rPr>
                <w:sz w:val="20"/>
                <w:szCs w:val="20"/>
                <w:color w:val="auto"/>
              </w:rPr>
            </w:pPr>
            <w:r>
              <w:rPr>
                <w:rFonts w:ascii="Calibri" w:cs="Calibri" w:eastAsia="Calibri" w:hAnsi="Calibri"/>
                <w:sz w:val="18"/>
                <w:szCs w:val="18"/>
                <w:color w:val="auto"/>
              </w:rPr>
              <w:t>Title:</w:t>
            </w:r>
          </w:p>
        </w:tc>
        <w:tc>
          <w:tcPr>
            <w:tcW w:w="3380" w:type="dxa"/>
            <w:vAlign w:val="bottom"/>
            <w:gridSpan w:val="2"/>
          </w:tcPr>
          <w:p>
            <w:pPr>
              <w:ind w:left="80"/>
              <w:spacing w:after="0"/>
              <w:rPr>
                <w:sz w:val="20"/>
                <w:szCs w:val="20"/>
                <w:color w:val="auto"/>
              </w:rPr>
            </w:pPr>
            <w:r>
              <w:rPr>
                <w:rFonts w:ascii="Calibri" w:cs="Calibri" w:eastAsia="Calibri" w:hAnsi="Calibri"/>
                <w:sz w:val="18"/>
                <w:szCs w:val="18"/>
                <w:color w:val="auto"/>
              </w:rPr>
              <w:t>Chief Executve Ofcer</w:t>
            </w:r>
          </w:p>
        </w:tc>
        <w:tc>
          <w:tcPr>
            <w:tcW w:w="19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2379"/>
        <w:spacing w:after="0"/>
        <w:rPr>
          <w:sz w:val="20"/>
          <w:szCs w:val="20"/>
          <w:color w:val="auto"/>
        </w:rPr>
      </w:pPr>
      <w:r>
        <w:rPr>
          <w:rFonts w:ascii="Calibri" w:cs="Calibri" w:eastAsia="Calibri" w:hAnsi="Calibri"/>
          <w:sz w:val="18"/>
          <w:szCs w:val="18"/>
          <w:color w:val="auto"/>
        </w:rPr>
        <w:t>[Signature Page to Amendment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51" w:name="page52"/>
    <w:bookmarkEnd w:id="51"/>
    <w:p>
      <w:pPr>
        <w:spacing w:after="0" w:line="117" w:lineRule="exact"/>
        <w:rPr>
          <w:sz w:val="20"/>
          <w:szCs w:val="20"/>
          <w:color w:val="auto"/>
        </w:rPr>
      </w:pPr>
    </w:p>
    <w:p>
      <w:pPr>
        <w:jc w:val="right"/>
        <w:spacing w:after="0"/>
        <w:rPr>
          <w:sz w:val="20"/>
          <w:szCs w:val="20"/>
          <w:color w:val="auto"/>
        </w:rPr>
      </w:pPr>
      <w:r>
        <w:rPr>
          <w:rFonts w:ascii="Calibri" w:cs="Calibri" w:eastAsia="Calibri" w:hAnsi="Calibri"/>
          <w:sz w:val="18"/>
          <w:szCs w:val="18"/>
          <w:b w:val="1"/>
          <w:bCs w:val="1"/>
          <w:color w:val="auto"/>
        </w:rPr>
        <w:t>Exhibit 10.4</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REDEMPTION, REPURCHASE AND CANCELLATION AGREEMENT</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This Redempton, Repurchase and Cancellaton Agreement (this “</w:t>
      </w:r>
      <w:r>
        <w:rPr>
          <w:rFonts w:ascii="Calibri" w:cs="Calibri" w:eastAsia="Calibri" w:hAnsi="Calibri"/>
          <w:sz w:val="17"/>
          <w:szCs w:val="17"/>
          <w:b w:val="1"/>
          <w:bCs w:val="1"/>
          <w:i w:val="1"/>
          <w:iCs w:val="1"/>
          <w:color w:val="auto"/>
        </w:rPr>
        <w:t>Agreement</w:t>
      </w:r>
      <w:r>
        <w:rPr>
          <w:rFonts w:ascii="Calibri" w:cs="Calibri" w:eastAsia="Calibri" w:hAnsi="Calibri"/>
          <w:sz w:val="17"/>
          <w:szCs w:val="17"/>
          <w:color w:val="auto"/>
        </w:rPr>
        <w:t>”) is made and entered into as of [•] (the “</w:t>
      </w:r>
      <w:r>
        <w:rPr>
          <w:rFonts w:ascii="Calibri" w:cs="Calibri" w:eastAsia="Calibri" w:hAnsi="Calibri"/>
          <w:sz w:val="17"/>
          <w:szCs w:val="17"/>
          <w:b w:val="1"/>
          <w:bCs w:val="1"/>
          <w:i w:val="1"/>
          <w:iCs w:val="1"/>
          <w:color w:val="auto"/>
        </w:rPr>
        <w:t>Efectve Date</w:t>
      </w:r>
      <w:r>
        <w:rPr>
          <w:rFonts w:ascii="Calibri" w:cs="Calibri" w:eastAsia="Calibri" w:hAnsi="Calibri"/>
          <w:sz w:val="17"/>
          <w:szCs w:val="17"/>
          <w:color w:val="auto"/>
        </w:rPr>
        <w:t>”) by and between Hoya Topco, LLC, a Delaware limited liability company (the “</w:t>
      </w:r>
      <w:r>
        <w:rPr>
          <w:rFonts w:ascii="Calibri" w:cs="Calibri" w:eastAsia="Calibri" w:hAnsi="Calibri"/>
          <w:sz w:val="17"/>
          <w:szCs w:val="17"/>
          <w:b w:val="1"/>
          <w:bCs w:val="1"/>
          <w:i w:val="1"/>
          <w:iCs w:val="1"/>
          <w:color w:val="auto"/>
        </w:rPr>
        <w:t>Company</w:t>
      </w:r>
      <w:r>
        <w:rPr>
          <w:rFonts w:ascii="Calibri" w:cs="Calibri" w:eastAsia="Calibri" w:hAnsi="Calibri"/>
          <w:sz w:val="17"/>
          <w:szCs w:val="17"/>
          <w:color w:val="auto"/>
        </w:rPr>
        <w:t>”), and [•] (the “</w:t>
      </w:r>
      <w:r>
        <w:rPr>
          <w:rFonts w:ascii="Calibri" w:cs="Calibri" w:eastAsia="Calibri" w:hAnsi="Calibri"/>
          <w:sz w:val="17"/>
          <w:szCs w:val="17"/>
          <w:b w:val="1"/>
          <w:bCs w:val="1"/>
          <w:i w:val="1"/>
          <w:iCs w:val="1"/>
          <w:color w:val="auto"/>
        </w:rPr>
        <w:t>Unitholder</w:t>
      </w:r>
      <w:r>
        <w:rPr>
          <w:rFonts w:ascii="Calibri" w:cs="Calibri" w:eastAsia="Calibri" w:hAnsi="Calibri"/>
          <w:sz w:val="17"/>
          <w:szCs w:val="17"/>
          <w:color w:val="auto"/>
        </w:rPr>
        <w:t>”). In this Agreement, the Company and the Unitholder are sometmes referred to individually as a “</w:t>
      </w:r>
      <w:r>
        <w:rPr>
          <w:rFonts w:ascii="Calibri" w:cs="Calibri" w:eastAsia="Calibri" w:hAnsi="Calibri"/>
          <w:sz w:val="17"/>
          <w:szCs w:val="17"/>
          <w:b w:val="1"/>
          <w:bCs w:val="1"/>
          <w:i w:val="1"/>
          <w:iCs w:val="1"/>
          <w:color w:val="auto"/>
        </w:rPr>
        <w:t>Party</w:t>
      </w:r>
      <w:r>
        <w:rPr>
          <w:rFonts w:ascii="Calibri" w:cs="Calibri" w:eastAsia="Calibri" w:hAnsi="Calibri"/>
          <w:sz w:val="17"/>
          <w:szCs w:val="17"/>
          <w:color w:val="auto"/>
        </w:rPr>
        <w:t>” and together as the “</w:t>
      </w:r>
      <w:r>
        <w:rPr>
          <w:rFonts w:ascii="Calibri" w:cs="Calibri" w:eastAsia="Calibri" w:hAnsi="Calibri"/>
          <w:sz w:val="17"/>
          <w:szCs w:val="17"/>
          <w:b w:val="1"/>
          <w:bCs w:val="1"/>
          <w:i w:val="1"/>
          <w:iCs w:val="1"/>
          <w:color w:val="auto"/>
        </w:rPr>
        <w:t>Partes</w:t>
      </w:r>
      <w:r>
        <w:rPr>
          <w:rFonts w:ascii="Calibri" w:cs="Calibri" w:eastAsia="Calibri" w:hAnsi="Calibri"/>
          <w:sz w:val="17"/>
          <w:szCs w:val="17"/>
          <w:color w:val="auto"/>
        </w:rPr>
        <w:t>.” Capitalized terms used but not defned in this Agreement shall have the meanings ascribed to them in the Fourth Amended and Restated Limited Liability Company Agreement of the Company, dated September 1, 2020 (including any amended and restated appendices), as amended, supplemented or otherwise modifed in accordance with the terms thereof (the “</w:t>
      </w:r>
      <w:r>
        <w:rPr>
          <w:rFonts w:ascii="Calibri" w:cs="Calibri" w:eastAsia="Calibri" w:hAnsi="Calibri"/>
          <w:sz w:val="17"/>
          <w:szCs w:val="17"/>
          <w:b w:val="1"/>
          <w:bCs w:val="1"/>
          <w:i w:val="1"/>
          <w:iCs w:val="1"/>
          <w:color w:val="auto"/>
        </w:rPr>
        <w:t>LLC Agreement</w:t>
      </w:r>
      <w:r>
        <w:rPr>
          <w:rFonts w:ascii="Calibri" w:cs="Calibri" w:eastAsia="Calibri" w:hAnsi="Calibri"/>
          <w:sz w:val="17"/>
          <w:szCs w:val="17"/>
          <w:color w:val="auto"/>
        </w:rPr>
        <w:t>”).</w:t>
      </w:r>
    </w:p>
    <w:p>
      <w:pPr>
        <w:spacing w:after="0" w:line="9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RECITALS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WHEREAS, the Unitholder was granted certain Class B-1 Incentve Units of the Company, the outstanding amounts of which are set forth on </w:t>
      </w:r>
      <w:r>
        <w:rPr>
          <w:rFonts w:ascii="Calibri" w:cs="Calibri" w:eastAsia="Calibri" w:hAnsi="Calibri"/>
          <w:sz w:val="18"/>
          <w:szCs w:val="18"/>
          <w:u w:val="single" w:color="auto"/>
          <w:color w:val="auto"/>
        </w:rPr>
        <w:t>Schedule 1</w:t>
      </w:r>
      <w:r>
        <w:rPr>
          <w:rFonts w:ascii="Calibri" w:cs="Calibri" w:eastAsia="Calibri" w:hAnsi="Calibri"/>
          <w:sz w:val="18"/>
          <w:szCs w:val="18"/>
          <w:color w:val="auto"/>
        </w:rPr>
        <w:t xml:space="preserve"> atached hereto (the “</w:t>
      </w:r>
      <w:r>
        <w:rPr>
          <w:rFonts w:ascii="Calibri" w:cs="Calibri" w:eastAsia="Calibri" w:hAnsi="Calibri"/>
          <w:sz w:val="18"/>
          <w:szCs w:val="18"/>
          <w:b w:val="1"/>
          <w:bCs w:val="1"/>
          <w:i w:val="1"/>
          <w:iCs w:val="1"/>
          <w:color w:val="auto"/>
        </w:rPr>
        <w:t>Redempton Units</w:t>
      </w:r>
      <w:r>
        <w:rPr>
          <w:rFonts w:ascii="Calibri" w:cs="Calibri" w:eastAsia="Calibri" w:hAnsi="Calibri"/>
          <w:sz w:val="18"/>
          <w:szCs w:val="18"/>
          <w:color w:val="auto"/>
        </w:rPr>
        <w: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WHEREAS, from tme to tme the Unitholder was granted other Incentve Units of the Company, including those set forth on </w:t>
      </w:r>
      <w:r>
        <w:rPr>
          <w:rFonts w:ascii="Calibri" w:cs="Calibri" w:eastAsia="Calibri" w:hAnsi="Calibri"/>
          <w:sz w:val="18"/>
          <w:szCs w:val="18"/>
          <w:u w:val="single" w:color="auto"/>
          <w:color w:val="auto"/>
        </w:rPr>
        <w:t>Schedule 2</w:t>
      </w:r>
      <w:r>
        <w:rPr>
          <w:rFonts w:ascii="Calibri" w:cs="Calibri" w:eastAsia="Calibri" w:hAnsi="Calibri"/>
          <w:sz w:val="18"/>
          <w:szCs w:val="18"/>
          <w:color w:val="auto"/>
        </w:rPr>
        <w:t xml:space="preserve"> atached hereto (all Incentve Units held by the Unitholder other than the Redempton Units, the “</w:t>
      </w:r>
      <w:r>
        <w:rPr>
          <w:rFonts w:ascii="Calibri" w:cs="Calibri" w:eastAsia="Calibri" w:hAnsi="Calibri"/>
          <w:sz w:val="18"/>
          <w:szCs w:val="18"/>
          <w:b w:val="1"/>
          <w:bCs w:val="1"/>
          <w:i w:val="1"/>
          <w:iCs w:val="1"/>
          <w:color w:val="auto"/>
        </w:rPr>
        <w:t>Underwater Units</w:t>
      </w:r>
      <w:r>
        <w:rPr>
          <w:rFonts w:ascii="Calibri" w:cs="Calibri" w:eastAsia="Calibri" w:hAnsi="Calibri"/>
          <w:sz w:val="18"/>
          <w:szCs w:val="18"/>
          <w:color w:val="auto"/>
        </w:rPr>
        <w:t>”), the Fair Market Value of which is currently $0.00;</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WHEREAS, the Unitholder was granted certain phantom units of the Company as set forth on </w:t>
      </w:r>
      <w:r>
        <w:rPr>
          <w:rFonts w:ascii="Calibri" w:cs="Calibri" w:eastAsia="Calibri" w:hAnsi="Calibri"/>
          <w:sz w:val="18"/>
          <w:szCs w:val="18"/>
          <w:u w:val="single" w:color="auto"/>
          <w:color w:val="auto"/>
        </w:rPr>
        <w:t>Schedule 3</w:t>
      </w:r>
      <w:r>
        <w:rPr>
          <w:rFonts w:ascii="Calibri" w:cs="Calibri" w:eastAsia="Calibri" w:hAnsi="Calibri"/>
          <w:sz w:val="18"/>
          <w:szCs w:val="18"/>
          <w:color w:val="auto"/>
        </w:rPr>
        <w:t xml:space="preserve"> atached hereto (each, a “</w:t>
      </w:r>
      <w:r>
        <w:rPr>
          <w:rFonts w:ascii="Calibri" w:cs="Calibri" w:eastAsia="Calibri" w:hAnsi="Calibri"/>
          <w:sz w:val="18"/>
          <w:szCs w:val="18"/>
          <w:b w:val="1"/>
          <w:bCs w:val="1"/>
          <w:i w:val="1"/>
          <w:iCs w:val="1"/>
          <w:color w:val="auto"/>
        </w:rPr>
        <w:t>Phantom Unit</w:t>
      </w:r>
      <w:r>
        <w:rPr>
          <w:rFonts w:ascii="Calibri" w:cs="Calibri" w:eastAsia="Calibri" w:hAnsi="Calibri"/>
          <w:sz w:val="18"/>
          <w:szCs w:val="18"/>
          <w:color w:val="auto"/>
        </w:rPr>
        <w:t>”, collectvely, the “</w:t>
      </w:r>
      <w:r>
        <w:rPr>
          <w:rFonts w:ascii="Calibri" w:cs="Calibri" w:eastAsia="Calibri" w:hAnsi="Calibri"/>
          <w:sz w:val="18"/>
          <w:szCs w:val="18"/>
          <w:b w:val="1"/>
          <w:bCs w:val="1"/>
          <w:i w:val="1"/>
          <w:iCs w:val="1"/>
          <w:color w:val="auto"/>
        </w:rPr>
        <w:t>Phantom Units</w:t>
      </w:r>
      <w:r>
        <w:rPr>
          <w:rFonts w:ascii="Calibri" w:cs="Calibri" w:eastAsia="Calibri" w:hAnsi="Calibri"/>
          <w:sz w:val="18"/>
          <w:szCs w:val="18"/>
          <w:color w:val="auto"/>
        </w:rPr>
        <w:t>” and together with the Redempton Units and the Underwater Units, the “</w:t>
      </w:r>
      <w:r>
        <w:rPr>
          <w:rFonts w:ascii="Calibri" w:cs="Calibri" w:eastAsia="Calibri" w:hAnsi="Calibri"/>
          <w:sz w:val="18"/>
          <w:szCs w:val="18"/>
          <w:b w:val="1"/>
          <w:bCs w:val="1"/>
          <w:i w:val="1"/>
          <w:iCs w:val="1"/>
          <w:color w:val="auto"/>
        </w:rPr>
        <w:t>Units</w:t>
      </w:r>
      <w:r>
        <w:rPr>
          <w:rFonts w:ascii="Calibri" w:cs="Calibri" w:eastAsia="Calibri" w:hAnsi="Calibri"/>
          <w:sz w:val="18"/>
          <w:szCs w:val="18"/>
          <w:color w:val="auto"/>
        </w:rPr>
        <w:t>”), pursuant to that certain Securites Agreement, dated September 1, 2020, by and between the Company and the Unitholder (the “</w:t>
      </w:r>
      <w:r>
        <w:rPr>
          <w:rFonts w:ascii="Calibri" w:cs="Calibri" w:eastAsia="Calibri" w:hAnsi="Calibri"/>
          <w:sz w:val="18"/>
          <w:szCs w:val="18"/>
          <w:b w:val="1"/>
          <w:bCs w:val="1"/>
          <w:i w:val="1"/>
          <w:iCs w:val="1"/>
          <w:color w:val="auto"/>
        </w:rPr>
        <w:t>Securites Agreement</w:t>
      </w:r>
      <w:r>
        <w:rPr>
          <w:rFonts w:ascii="Calibri" w:cs="Calibri" w:eastAsia="Calibri" w:hAnsi="Calibri"/>
          <w:sz w:val="18"/>
          <w:szCs w:val="18"/>
          <w:color w:val="auto"/>
        </w:rPr>
        <w: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WHEREAS, each of the Company and the Unitholder desire that (i) the Underwater Units be cancelled, (ii) the Company redeem and repurchase the Redempton Units and (iii) the Company repurchase and cancel the Phantom Units in accordance with the terms of this Agreement; and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WHEREAS, in exchange for the cancellaton of the Underwater Units, the redempton and repurchase of the Redempton Units and the repurchase and cancellaton of the Phantom Units, the Company desires to make the Payment (as defned below) to the Unitholder in accordance with the terms of this Agreement.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NOW THEREFORE, in consideraton of the foregoing and the mutual covenants contained herein, and for other good and valuable consideraton, the Partes hereby agree as follows:</w:t>
      </w:r>
    </w:p>
    <w:p>
      <w:pPr>
        <w:spacing w:after="0" w:line="10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AGREEMENT</w:t>
      </w:r>
    </w:p>
    <w:p>
      <w:pPr>
        <w:spacing w:after="0" w:line="109" w:lineRule="exact"/>
        <w:rPr>
          <w:sz w:val="20"/>
          <w:szCs w:val="20"/>
          <w:color w:val="auto"/>
        </w:rPr>
      </w:pPr>
    </w:p>
    <w:p>
      <w:pPr>
        <w:jc w:val="both"/>
        <w:ind w:left="380" w:hanging="372"/>
        <w:spacing w:after="0" w:line="251" w:lineRule="auto"/>
        <w:tabs>
          <w:tab w:leader="none" w:pos="380" w:val="left"/>
        </w:tabs>
        <w:numPr>
          <w:ilvl w:val="0"/>
          <w:numId w:val="26"/>
        </w:numPr>
        <w:rPr>
          <w:rFonts w:ascii="Calibri" w:cs="Calibri" w:eastAsia="Calibri" w:hAnsi="Calibri"/>
          <w:sz w:val="17"/>
          <w:szCs w:val="17"/>
          <w:u w:val="single" w:color="auto"/>
          <w:color w:val="auto"/>
        </w:rPr>
      </w:pPr>
      <w:r>
        <w:rPr>
          <w:rFonts w:ascii="Calibri" w:cs="Calibri" w:eastAsia="Calibri" w:hAnsi="Calibri"/>
          <w:sz w:val="17"/>
          <w:szCs w:val="17"/>
          <w:u w:val="single" w:color="auto"/>
          <w:color w:val="auto"/>
        </w:rPr>
        <w:t>Redempton Units</w:t>
      </w:r>
      <w:r>
        <w:rPr>
          <w:rFonts w:ascii="Calibri" w:cs="Calibri" w:eastAsia="Calibri" w:hAnsi="Calibri"/>
          <w:sz w:val="17"/>
          <w:szCs w:val="17"/>
          <w:color w:val="auto"/>
        </w:rPr>
        <w:t>. Subject to the terms and conditons of this Agreement, at the Efectve Date, the Unitholder hereby sells, assigns and transfers to the Company the Redempton Units (including (a) the Unitholder’s right to share in the profts of the Company, (b) the Unitholder’s right to receive distributons from the Company and (c) any and all informaton rights atributable to the Redempton Units) (the “</w:t>
      </w:r>
      <w:r>
        <w:rPr>
          <w:rFonts w:ascii="Calibri" w:cs="Calibri" w:eastAsia="Calibri" w:hAnsi="Calibri"/>
          <w:sz w:val="17"/>
          <w:szCs w:val="17"/>
          <w:b w:val="1"/>
          <w:bCs w:val="1"/>
          <w:i w:val="1"/>
          <w:iCs w:val="1"/>
          <w:color w:val="auto"/>
        </w:rPr>
        <w:t>Repurchase</w:t>
      </w:r>
      <w:r>
        <w:rPr>
          <w:rFonts w:ascii="Calibri" w:cs="Calibri" w:eastAsia="Calibri" w:hAnsi="Calibri"/>
          <w:sz w:val="17"/>
          <w:szCs w:val="17"/>
          <w:color w:val="auto"/>
        </w:rPr>
        <w:t>”), free and clear of any and all liens, pledges, security interests, charges, contractual obligatons, claims and encumbrances, or of any kind adverse claims of any nature, other than under the LLC Agreement and restrictons on transfer arising pursuant to applicable securites laws and regulatons (“</w:t>
      </w:r>
      <w:r>
        <w:rPr>
          <w:rFonts w:ascii="Calibri" w:cs="Calibri" w:eastAsia="Calibri" w:hAnsi="Calibri"/>
          <w:sz w:val="17"/>
          <w:szCs w:val="17"/>
          <w:b w:val="1"/>
          <w:bCs w:val="1"/>
          <w:i w:val="1"/>
          <w:iCs w:val="1"/>
          <w:color w:val="auto"/>
        </w:rPr>
        <w:t>Liens</w:t>
      </w:r>
      <w:r>
        <w:rPr>
          <w:rFonts w:ascii="Calibri" w:cs="Calibri" w:eastAsia="Calibri" w:hAnsi="Calibri"/>
          <w:sz w:val="17"/>
          <w:szCs w:val="17"/>
          <w:color w:val="auto"/>
        </w:rPr>
        <w:t xml:space="preserve">”), the Unitholder shall receive a payment in an aggregate amount set forth on </w:t>
      </w:r>
      <w:r>
        <w:rPr>
          <w:rFonts w:ascii="Calibri" w:cs="Calibri" w:eastAsia="Calibri" w:hAnsi="Calibri"/>
          <w:sz w:val="17"/>
          <w:szCs w:val="17"/>
          <w:u w:val="single" w:color="auto"/>
          <w:color w:val="auto"/>
        </w:rPr>
        <w:t>Schedule 1</w:t>
      </w:r>
      <w:r>
        <w:rPr>
          <w:rFonts w:ascii="Calibri" w:cs="Calibri" w:eastAsia="Calibri" w:hAnsi="Calibri"/>
          <w:sz w:val="17"/>
          <w:szCs w:val="17"/>
          <w:color w:val="auto"/>
        </w:rPr>
        <w:t xml:space="preserve"> atached hereto representng the Fair Market Value of such Redempton Units (afer taking into account prior tax distributons received by the Unitholder from the Company) (the “</w:t>
      </w:r>
      <w:r>
        <w:rPr>
          <w:rFonts w:ascii="Calibri" w:cs="Calibri" w:eastAsia="Calibri" w:hAnsi="Calibri"/>
          <w:sz w:val="17"/>
          <w:szCs w:val="17"/>
          <w:b w:val="1"/>
          <w:bCs w:val="1"/>
          <w:i w:val="1"/>
          <w:iCs w:val="1"/>
          <w:color w:val="auto"/>
        </w:rPr>
        <w:t>Redempton Units Payment</w:t>
      </w:r>
      <w:r>
        <w:rPr>
          <w:rFonts w:ascii="Calibri" w:cs="Calibri" w:eastAsia="Calibri" w:hAnsi="Calibri"/>
          <w:sz w:val="17"/>
          <w:szCs w:val="17"/>
          <w:color w:val="auto"/>
        </w:rPr>
        <w:t xml:space="preserve">”). At the Efectve Date, the Unitholder shall deliver, or cause to be delivered, a duly executed assignment in the form atached hereto as </w:t>
      </w:r>
      <w:r>
        <w:rPr>
          <w:rFonts w:ascii="Calibri" w:cs="Calibri" w:eastAsia="Calibri" w:hAnsi="Calibri"/>
          <w:sz w:val="17"/>
          <w:szCs w:val="17"/>
          <w:u w:val="single" w:color="auto"/>
          <w:color w:val="auto"/>
        </w:rPr>
        <w:t>Exhibit A</w:t>
      </w:r>
      <w:r>
        <w:rPr>
          <w:rFonts w:ascii="Calibri" w:cs="Calibri" w:eastAsia="Calibri" w:hAnsi="Calibri"/>
          <w:sz w:val="17"/>
          <w:szCs w:val="17"/>
          <w:color w:val="auto"/>
        </w:rPr>
        <w:t xml:space="preserve"> efectuatng the Repurchase.</w:t>
      </w:r>
    </w:p>
    <w:p>
      <w:pPr>
        <w:spacing w:after="0" w:line="99" w:lineRule="exact"/>
        <w:rPr>
          <w:rFonts w:ascii="Calibri" w:cs="Calibri" w:eastAsia="Calibri" w:hAnsi="Calibri"/>
          <w:sz w:val="17"/>
          <w:szCs w:val="17"/>
          <w:u w:val="single" w:color="auto"/>
          <w:color w:val="auto"/>
        </w:rPr>
      </w:pPr>
    </w:p>
    <w:p>
      <w:pPr>
        <w:jc w:val="both"/>
        <w:ind w:left="380" w:hanging="372"/>
        <w:spacing w:after="0" w:line="235" w:lineRule="auto"/>
        <w:tabs>
          <w:tab w:leader="none" w:pos="380" w:val="left"/>
        </w:tabs>
        <w:numPr>
          <w:ilvl w:val="0"/>
          <w:numId w:val="26"/>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Underwater Units</w:t>
      </w:r>
      <w:r>
        <w:rPr>
          <w:rFonts w:ascii="Calibri" w:cs="Calibri" w:eastAsia="Calibri" w:hAnsi="Calibri"/>
          <w:sz w:val="18"/>
          <w:szCs w:val="18"/>
          <w:color w:val="auto"/>
        </w:rPr>
        <w:t>. Subject to the terms and conditons of this Agreement, at the Efectve Date, the Unitholder shall forfeit all of the Underwater Units, consistng of all Incentve Units held by the Unitholder other than the Redempton Units, and all of the Unitholder’s rights and interests in and to such Underwater Units shall be cancelled (the “</w:t>
      </w:r>
      <w:r>
        <w:rPr>
          <w:rFonts w:ascii="Calibri" w:cs="Calibri" w:eastAsia="Calibri" w:hAnsi="Calibri"/>
          <w:sz w:val="18"/>
          <w:szCs w:val="18"/>
          <w:b w:val="1"/>
          <w:bCs w:val="1"/>
          <w:i w:val="1"/>
          <w:iCs w:val="1"/>
          <w:color w:val="auto"/>
        </w:rPr>
        <w:t>Underwater Unit Cancellaton</w:t>
      </w:r>
      <w:r>
        <w:rPr>
          <w:rFonts w:ascii="Calibri" w:cs="Calibri" w:eastAsia="Calibri" w:hAnsi="Calibri"/>
          <w:sz w:val="18"/>
          <w:szCs w:val="18"/>
          <w:color w:val="auto"/>
        </w:rPr>
        <w:t>”). The Unitholder acknowledges that (i) the Underwater Units are being cancelled in exchange for good and valuable consideraton, including but not limited to the Company’s entry into this Agreement, (ii) the Fair Market Value of the Underwater Units is $0.00 and (iii) following the Underwater Unit Cancellaton, the Unitholder shall have no further rights with respect to such Underwater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17"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Units, including under this Agreement, the LLC Agreement or any other agreement entered into between the Unitholder and the Company.</w:t>
      </w:r>
    </w:p>
    <w:p>
      <w:pPr>
        <w:spacing w:after="0" w:line="109" w:lineRule="exact"/>
        <w:rPr>
          <w:sz w:val="20"/>
          <w:szCs w:val="20"/>
          <w:color w:val="auto"/>
        </w:rPr>
      </w:pPr>
    </w:p>
    <w:p>
      <w:pPr>
        <w:jc w:val="both"/>
        <w:ind w:left="380" w:hanging="372"/>
        <w:spacing w:after="0" w:line="258" w:lineRule="auto"/>
        <w:tabs>
          <w:tab w:leader="none" w:pos="380" w:val="left"/>
        </w:tabs>
        <w:numPr>
          <w:ilvl w:val="0"/>
          <w:numId w:val="27"/>
        </w:numPr>
        <w:rPr>
          <w:rFonts w:ascii="Calibri" w:cs="Calibri" w:eastAsia="Calibri" w:hAnsi="Calibri"/>
          <w:sz w:val="17"/>
          <w:szCs w:val="17"/>
          <w:u w:val="single" w:color="auto"/>
          <w:color w:val="auto"/>
        </w:rPr>
      </w:pPr>
      <w:r>
        <w:rPr>
          <w:rFonts w:ascii="Calibri" w:cs="Calibri" w:eastAsia="Calibri" w:hAnsi="Calibri"/>
          <w:sz w:val="17"/>
          <w:szCs w:val="17"/>
          <w:u w:val="single" w:color="auto"/>
          <w:color w:val="auto"/>
        </w:rPr>
        <w:t>Phantom Units</w:t>
      </w:r>
      <w:r>
        <w:rPr>
          <w:rFonts w:ascii="Calibri" w:cs="Calibri" w:eastAsia="Calibri" w:hAnsi="Calibri"/>
          <w:sz w:val="17"/>
          <w:szCs w:val="17"/>
          <w:color w:val="auto"/>
        </w:rPr>
        <w:t xml:space="preserve">. Subject to the terms and conditons of this Agreement, at the Efectve Date, the Unitholder shall forfeit the number of Phantom Units set forth on </w:t>
      </w:r>
      <w:r>
        <w:rPr>
          <w:rFonts w:ascii="Calibri" w:cs="Calibri" w:eastAsia="Calibri" w:hAnsi="Calibri"/>
          <w:sz w:val="17"/>
          <w:szCs w:val="17"/>
          <w:u w:val="single" w:color="auto"/>
          <w:color w:val="auto"/>
        </w:rPr>
        <w:t>Schedule 3</w:t>
      </w:r>
      <w:r>
        <w:rPr>
          <w:rFonts w:ascii="Calibri" w:cs="Calibri" w:eastAsia="Calibri" w:hAnsi="Calibri"/>
          <w:sz w:val="17"/>
          <w:szCs w:val="17"/>
          <w:color w:val="auto"/>
        </w:rPr>
        <w:t xml:space="preserve"> hereto (the “</w:t>
      </w:r>
      <w:r>
        <w:rPr>
          <w:rFonts w:ascii="Calibri" w:cs="Calibri" w:eastAsia="Calibri" w:hAnsi="Calibri"/>
          <w:sz w:val="17"/>
          <w:szCs w:val="17"/>
          <w:b w:val="1"/>
          <w:bCs w:val="1"/>
          <w:i w:val="1"/>
          <w:iCs w:val="1"/>
          <w:color w:val="auto"/>
        </w:rPr>
        <w:t>Cancelled Phantom Units</w:t>
      </w:r>
      <w:r>
        <w:rPr>
          <w:rFonts w:ascii="Calibri" w:cs="Calibri" w:eastAsia="Calibri" w:hAnsi="Calibri"/>
          <w:sz w:val="17"/>
          <w:szCs w:val="17"/>
          <w:color w:val="auto"/>
        </w:rPr>
        <w:t>”) and all of the Unitholder’s rights and interests in and to such Cancelled Phantom Units</w:t>
      </w:r>
    </w:p>
    <w:p>
      <w:pPr>
        <w:spacing w:after="0" w:line="26" w:lineRule="exact"/>
        <w:rPr>
          <w:rFonts w:ascii="Calibri" w:cs="Calibri" w:eastAsia="Calibri" w:hAnsi="Calibri"/>
          <w:sz w:val="17"/>
          <w:szCs w:val="17"/>
          <w:u w:val="single" w:color="auto"/>
          <w:color w:val="auto"/>
        </w:rPr>
      </w:pPr>
    </w:p>
    <w:p>
      <w:pPr>
        <w:jc w:val="both"/>
        <w:ind w:left="380"/>
        <w:spacing w:after="0" w:line="235" w:lineRule="auto"/>
        <w:rPr>
          <w:rFonts w:ascii="Calibri" w:cs="Calibri" w:eastAsia="Calibri" w:hAnsi="Calibri"/>
          <w:sz w:val="17"/>
          <w:szCs w:val="17"/>
          <w:u w:val="single" w:color="auto"/>
          <w:color w:val="auto"/>
        </w:rPr>
      </w:pPr>
      <w:r>
        <w:rPr>
          <w:rFonts w:ascii="Calibri" w:cs="Calibri" w:eastAsia="Calibri" w:hAnsi="Calibri"/>
          <w:sz w:val="18"/>
          <w:szCs w:val="18"/>
          <w:color w:val="auto"/>
        </w:rPr>
        <w:t>shall be cancelled (the “</w:t>
      </w:r>
      <w:r>
        <w:rPr>
          <w:rFonts w:ascii="Calibri" w:cs="Calibri" w:eastAsia="Calibri" w:hAnsi="Calibri"/>
          <w:sz w:val="18"/>
          <w:szCs w:val="18"/>
          <w:b w:val="1"/>
          <w:bCs w:val="1"/>
          <w:i w:val="1"/>
          <w:iCs w:val="1"/>
          <w:color w:val="auto"/>
        </w:rPr>
        <w:t>Phantom Unit Cancellaton</w:t>
      </w:r>
      <w:r>
        <w:rPr>
          <w:rFonts w:ascii="Calibri" w:cs="Calibri" w:eastAsia="Calibri" w:hAnsi="Calibri"/>
          <w:sz w:val="18"/>
          <w:szCs w:val="18"/>
          <w:color w:val="auto"/>
        </w:rPr>
        <w:t xml:space="preserve">”), the Unitholder shall receive a payment in an aggregate amount set forth on </w:t>
      </w:r>
      <w:r>
        <w:rPr>
          <w:rFonts w:ascii="Calibri" w:cs="Calibri" w:eastAsia="Calibri" w:hAnsi="Calibri"/>
          <w:sz w:val="18"/>
          <w:szCs w:val="18"/>
          <w:u w:val="single" w:color="auto"/>
          <w:color w:val="auto"/>
        </w:rPr>
        <w:t>Schedule 3</w:t>
      </w:r>
      <w:r>
        <w:rPr>
          <w:rFonts w:ascii="Calibri" w:cs="Calibri" w:eastAsia="Calibri" w:hAnsi="Calibri"/>
          <w:sz w:val="18"/>
          <w:szCs w:val="18"/>
          <w:color w:val="auto"/>
        </w:rPr>
        <w:t xml:space="preserve"> atached hereto (such payment, the “</w:t>
      </w:r>
      <w:r>
        <w:rPr>
          <w:rFonts w:ascii="Calibri" w:cs="Calibri" w:eastAsia="Calibri" w:hAnsi="Calibri"/>
          <w:sz w:val="18"/>
          <w:szCs w:val="18"/>
          <w:b w:val="1"/>
          <w:bCs w:val="1"/>
          <w:i w:val="1"/>
          <w:iCs w:val="1"/>
          <w:color w:val="auto"/>
        </w:rPr>
        <w:t>Phantom Unit Payment</w:t>
      </w:r>
      <w:r>
        <w:rPr>
          <w:rFonts w:ascii="Calibri" w:cs="Calibri" w:eastAsia="Calibri" w:hAnsi="Calibri"/>
          <w:sz w:val="18"/>
          <w:szCs w:val="18"/>
          <w:color w:val="auto"/>
        </w:rPr>
        <w:t>” and together with the Redempton Units Payment, the “</w:t>
      </w:r>
      <w:r>
        <w:rPr>
          <w:rFonts w:ascii="Calibri" w:cs="Calibri" w:eastAsia="Calibri" w:hAnsi="Calibri"/>
          <w:sz w:val="18"/>
          <w:szCs w:val="18"/>
          <w:b w:val="1"/>
          <w:bCs w:val="1"/>
          <w:i w:val="1"/>
          <w:iCs w:val="1"/>
          <w:color w:val="auto"/>
        </w:rPr>
        <w:t>Payment</w:t>
      </w:r>
      <w:r>
        <w:rPr>
          <w:rFonts w:ascii="Calibri" w:cs="Calibri" w:eastAsia="Calibri" w:hAnsi="Calibri"/>
          <w:sz w:val="18"/>
          <w:szCs w:val="18"/>
          <w:color w:val="auto"/>
        </w:rPr>
        <w:t>”) and such Cancelled Phantom Units shall thereafer have no further force or efect.</w:t>
      </w:r>
    </w:p>
    <w:p>
      <w:pPr>
        <w:spacing w:after="0" w:line="110" w:lineRule="exact"/>
        <w:rPr>
          <w:rFonts w:ascii="Calibri" w:cs="Calibri" w:eastAsia="Calibri" w:hAnsi="Calibri"/>
          <w:sz w:val="17"/>
          <w:szCs w:val="17"/>
          <w:u w:val="single" w:color="auto"/>
          <w:color w:val="auto"/>
        </w:rPr>
      </w:pPr>
    </w:p>
    <w:p>
      <w:pPr>
        <w:ind w:left="380" w:hanging="372"/>
        <w:spacing w:after="0" w:line="235" w:lineRule="auto"/>
        <w:tabs>
          <w:tab w:leader="none" w:pos="380" w:val="left"/>
        </w:tabs>
        <w:numPr>
          <w:ilvl w:val="0"/>
          <w:numId w:val="27"/>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Payment</w:t>
      </w:r>
      <w:r>
        <w:rPr>
          <w:rFonts w:ascii="Calibri" w:cs="Calibri" w:eastAsia="Calibri" w:hAnsi="Calibri"/>
          <w:sz w:val="18"/>
          <w:szCs w:val="18"/>
          <w:color w:val="auto"/>
        </w:rPr>
        <w:t xml:space="preserve">. The Company shall cause the Payments as set forth on </w:t>
      </w:r>
      <w:r>
        <w:rPr>
          <w:rFonts w:ascii="Calibri" w:cs="Calibri" w:eastAsia="Calibri" w:hAnsi="Calibri"/>
          <w:sz w:val="18"/>
          <w:szCs w:val="18"/>
          <w:u w:val="single" w:color="auto"/>
          <w:color w:val="auto"/>
        </w:rPr>
        <w:t>Schedule 4</w:t>
      </w:r>
      <w:r>
        <w:rPr>
          <w:rFonts w:ascii="Calibri" w:cs="Calibri" w:eastAsia="Calibri" w:hAnsi="Calibri"/>
          <w:sz w:val="18"/>
          <w:szCs w:val="18"/>
          <w:color w:val="auto"/>
        </w:rPr>
        <w:t xml:space="preserve"> (less applicable tax withholding and without interest) to be paid to the Unitholder as promptly as practcable following the executon of this Agreement.</w:t>
      </w:r>
    </w:p>
    <w:p>
      <w:pPr>
        <w:spacing w:after="0" w:line="109" w:lineRule="exact"/>
        <w:rPr>
          <w:rFonts w:ascii="Calibri" w:cs="Calibri" w:eastAsia="Calibri" w:hAnsi="Calibri"/>
          <w:sz w:val="18"/>
          <w:szCs w:val="18"/>
          <w:u w:val="single" w:color="auto"/>
          <w:color w:val="auto"/>
        </w:rPr>
      </w:pPr>
    </w:p>
    <w:p>
      <w:pPr>
        <w:ind w:left="380" w:hanging="372"/>
        <w:spacing w:after="0" w:line="235" w:lineRule="auto"/>
        <w:tabs>
          <w:tab w:leader="none" w:pos="380" w:val="left"/>
        </w:tabs>
        <w:numPr>
          <w:ilvl w:val="0"/>
          <w:numId w:val="27"/>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Waiver and Terminaton of Unitholder Rights</w:t>
      </w:r>
      <w:r>
        <w:rPr>
          <w:rFonts w:ascii="Calibri" w:cs="Calibri" w:eastAsia="Calibri" w:hAnsi="Calibri"/>
          <w:sz w:val="18"/>
          <w:szCs w:val="18"/>
          <w:color w:val="auto"/>
        </w:rPr>
        <w:t>. As of the Efectve Date, the Unitholder hereby waives and terminates any and all rights the Unitholder has with respect to the Units.</w:t>
      </w:r>
    </w:p>
    <w:p>
      <w:pPr>
        <w:spacing w:after="0" w:line="104" w:lineRule="exact"/>
        <w:rPr>
          <w:rFonts w:ascii="Calibri" w:cs="Calibri" w:eastAsia="Calibri" w:hAnsi="Calibri"/>
          <w:sz w:val="18"/>
          <w:szCs w:val="18"/>
          <w:u w:val="single" w:color="auto"/>
          <w:color w:val="auto"/>
        </w:rPr>
      </w:pPr>
    </w:p>
    <w:p>
      <w:pPr>
        <w:ind w:left="380" w:hanging="372"/>
        <w:spacing w:after="0"/>
        <w:tabs>
          <w:tab w:leader="none" w:pos="380" w:val="left"/>
        </w:tabs>
        <w:numPr>
          <w:ilvl w:val="0"/>
          <w:numId w:val="27"/>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Representatons and Warrantes of the Unitholder</w:t>
      </w:r>
      <w:r>
        <w:rPr>
          <w:rFonts w:ascii="Calibri" w:cs="Calibri" w:eastAsia="Calibri" w:hAnsi="Calibri"/>
          <w:sz w:val="18"/>
          <w:szCs w:val="18"/>
          <w:color w:val="auto"/>
        </w:rPr>
        <w:t>. The Unitholder hereby represents and warrants to the Company that:</w:t>
      </w:r>
    </w:p>
    <w:p>
      <w:pPr>
        <w:spacing w:after="0" w:line="109" w:lineRule="exact"/>
        <w:rPr>
          <w:rFonts w:ascii="Calibri" w:cs="Calibri" w:eastAsia="Calibri" w:hAnsi="Calibri"/>
          <w:sz w:val="18"/>
          <w:szCs w:val="18"/>
          <w:u w:val="single" w:color="auto"/>
          <w:color w:val="auto"/>
        </w:rPr>
      </w:pPr>
    </w:p>
    <w:p>
      <w:pPr>
        <w:jc w:val="both"/>
        <w:ind w:left="960" w:hanging="383"/>
        <w:spacing w:after="0" w:line="235" w:lineRule="auto"/>
        <w:tabs>
          <w:tab w:leader="none" w:pos="960" w:val="left"/>
        </w:tabs>
        <w:numPr>
          <w:ilvl w:val="1"/>
          <w:numId w:val="27"/>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Interest in Units</w:t>
      </w:r>
      <w:r>
        <w:rPr>
          <w:rFonts w:ascii="Calibri" w:cs="Calibri" w:eastAsia="Calibri" w:hAnsi="Calibri"/>
          <w:sz w:val="18"/>
          <w:szCs w:val="18"/>
          <w:color w:val="auto"/>
        </w:rPr>
        <w:t>. The Unitholder has, and at the Efectve Date will have, good and marketable right, ttle and interest (legal and benefcial) in and to all of the Units, free and clear of all Liens. At the Efectve Date, the Unitholder will convey the Units to the Company, free and clear of all Liens, and the Cancelled Phantom Units and Underwater Units will be cancelled immediately thereafer.</w:t>
      </w:r>
    </w:p>
    <w:p>
      <w:pPr>
        <w:spacing w:after="0" w:line="110" w:lineRule="exact"/>
        <w:rPr>
          <w:rFonts w:ascii="Calibri" w:cs="Calibri" w:eastAsia="Calibri" w:hAnsi="Calibri"/>
          <w:sz w:val="18"/>
          <w:szCs w:val="18"/>
          <w:u w:val="single" w:color="auto"/>
          <w:color w:val="auto"/>
        </w:rPr>
      </w:pPr>
    </w:p>
    <w:p>
      <w:pPr>
        <w:jc w:val="both"/>
        <w:ind w:left="960" w:hanging="383"/>
        <w:spacing w:after="0" w:line="235" w:lineRule="auto"/>
        <w:tabs>
          <w:tab w:leader="none" w:pos="960" w:val="left"/>
        </w:tabs>
        <w:numPr>
          <w:ilvl w:val="1"/>
          <w:numId w:val="27"/>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Authorizaton</w:t>
      </w:r>
      <w:r>
        <w:rPr>
          <w:rFonts w:ascii="Calibri" w:cs="Calibri" w:eastAsia="Calibri" w:hAnsi="Calibri"/>
          <w:sz w:val="18"/>
          <w:szCs w:val="18"/>
          <w:color w:val="auto"/>
        </w:rPr>
        <w:t>. The Unitholder has full power and authority and requisite capacity to enter into this Agreement, to perform his or her obligatons hereunder and to consummate the transactons contemplated hereby. This Agreement consttutes a valid and binding obligaton of the Unitholder, enforceable against the Unitholder in accordance with its terms, except as enforcement may be limited by general principles of equity and by bankruptcy, insolvency and similar laws afectng creditors’ rights and remedies generally.</w:t>
      </w:r>
    </w:p>
    <w:p>
      <w:pPr>
        <w:spacing w:after="0" w:line="111" w:lineRule="exact"/>
        <w:rPr>
          <w:rFonts w:ascii="Calibri" w:cs="Calibri" w:eastAsia="Calibri" w:hAnsi="Calibri"/>
          <w:sz w:val="18"/>
          <w:szCs w:val="18"/>
          <w:u w:val="single" w:color="auto"/>
          <w:color w:val="auto"/>
        </w:rPr>
      </w:pPr>
    </w:p>
    <w:p>
      <w:pPr>
        <w:jc w:val="both"/>
        <w:ind w:left="960" w:hanging="383"/>
        <w:spacing w:after="0" w:line="235" w:lineRule="auto"/>
        <w:tabs>
          <w:tab w:leader="none" w:pos="960" w:val="left"/>
        </w:tabs>
        <w:numPr>
          <w:ilvl w:val="1"/>
          <w:numId w:val="27"/>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Compliance with Other Instruments</w:t>
      </w:r>
      <w:r>
        <w:rPr>
          <w:rFonts w:ascii="Calibri" w:cs="Calibri" w:eastAsia="Calibri" w:hAnsi="Calibri"/>
          <w:sz w:val="18"/>
          <w:szCs w:val="18"/>
          <w:color w:val="auto"/>
        </w:rPr>
        <w:t>. Neither the executon and delivery of this Agreement nor the consummaton of any of the transactons contemplated hereby nor compliance with or fulfllment of the terms, conditons and provisions hereof or thereof will, to the extent applicable to the Units, (i) result in the creaton of any mortgage or Lien upon the Units, (ii) be the subject of any rights of frst refusal, rights of frst ofer or tag along rights that have not been previously waived, (iii) result in a breach, regardless of the lapse of tme, of any of the terms of, or consttute a violaton of or default under any statute, regulaton, law, organizatonal document, contract, indenture or other instrument by which the Unitholder or any of the Unitholder’s assets are subject or bound or (iv) give rise to a right of terminaton, acceleraton or modifcaton of any obligaton or loss of any beneft under any contract, oral or writen, or other instrument to which the Unitholder or any of the Unitholder’s assets are subject or bound. The Unitholder has not, and at the Efectve Date will not have, granted any optons of any sort with respect to the Units or any right to acquire the Units or any interest therein other than under this Agreement.</w:t>
      </w:r>
    </w:p>
    <w:p>
      <w:pPr>
        <w:spacing w:after="0" w:line="115" w:lineRule="exact"/>
        <w:rPr>
          <w:rFonts w:ascii="Calibri" w:cs="Calibri" w:eastAsia="Calibri" w:hAnsi="Calibri"/>
          <w:sz w:val="18"/>
          <w:szCs w:val="18"/>
          <w:u w:val="single" w:color="auto"/>
          <w:color w:val="auto"/>
        </w:rPr>
      </w:pPr>
    </w:p>
    <w:p>
      <w:pPr>
        <w:jc w:val="both"/>
        <w:ind w:left="960" w:hanging="383"/>
        <w:spacing w:after="0" w:line="235" w:lineRule="auto"/>
        <w:tabs>
          <w:tab w:leader="none" w:pos="960" w:val="left"/>
        </w:tabs>
        <w:numPr>
          <w:ilvl w:val="1"/>
          <w:numId w:val="27"/>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Litgaton</w:t>
      </w:r>
      <w:r>
        <w:rPr>
          <w:rFonts w:ascii="Calibri" w:cs="Calibri" w:eastAsia="Calibri" w:hAnsi="Calibri"/>
          <w:sz w:val="18"/>
          <w:szCs w:val="18"/>
          <w:color w:val="auto"/>
        </w:rPr>
        <w:t>. There are no lawsuits, actons, proceedings, claims or orders brought or subject to enforcement by any third party relatng to, arising out of or afectng in any manner the Unitholder’s ownership of the Units, and no such lawsuits, actons, proceedings, claims or orders are threatened in writng or orally against the Unitholder.</w:t>
      </w:r>
    </w:p>
    <w:p>
      <w:pPr>
        <w:spacing w:after="0" w:line="110" w:lineRule="exact"/>
        <w:rPr>
          <w:rFonts w:ascii="Calibri" w:cs="Calibri" w:eastAsia="Calibri" w:hAnsi="Calibri"/>
          <w:sz w:val="18"/>
          <w:szCs w:val="18"/>
          <w:u w:val="single" w:color="auto"/>
          <w:color w:val="auto"/>
        </w:rPr>
      </w:pPr>
    </w:p>
    <w:p>
      <w:pPr>
        <w:jc w:val="both"/>
        <w:ind w:left="960" w:hanging="383"/>
        <w:spacing w:after="0" w:line="235" w:lineRule="auto"/>
        <w:tabs>
          <w:tab w:leader="none" w:pos="960" w:val="left"/>
        </w:tabs>
        <w:numPr>
          <w:ilvl w:val="1"/>
          <w:numId w:val="27"/>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Brokers</w:t>
      </w:r>
      <w:r>
        <w:rPr>
          <w:rFonts w:ascii="Calibri" w:cs="Calibri" w:eastAsia="Calibri" w:hAnsi="Calibri"/>
          <w:sz w:val="18"/>
          <w:szCs w:val="18"/>
          <w:color w:val="auto"/>
        </w:rPr>
        <w:t>. No person who has been retained by or is authorized to act on behalf of the Unitholder is or will be enttled to a broker’s, fnder’s, investment banker’s, fnancial adviser’s or similar fee from the Company or the Unitholder in connecton with this Agreement or any of the transactons contemplated by this Agreement.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22" w:lineRule="exact"/>
        <w:rPr>
          <w:sz w:val="20"/>
          <w:szCs w:val="20"/>
          <w:color w:val="auto"/>
        </w:rPr>
      </w:pPr>
    </w:p>
    <w:p>
      <w:pPr>
        <w:ind w:left="383" w:hanging="383"/>
        <w:spacing w:after="0" w:line="235" w:lineRule="auto"/>
        <w:tabs>
          <w:tab w:leader="none" w:pos="383" w:val="left"/>
        </w:tabs>
        <w:numPr>
          <w:ilvl w:val="0"/>
          <w:numId w:val="28"/>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No Consent</w:t>
      </w:r>
      <w:r>
        <w:rPr>
          <w:rFonts w:ascii="Calibri" w:cs="Calibri" w:eastAsia="Calibri" w:hAnsi="Calibri"/>
          <w:sz w:val="18"/>
          <w:szCs w:val="18"/>
          <w:color w:val="auto"/>
        </w:rPr>
        <w:t>. No notce to, fling with or authorizaton, registraton, consent or approval of any person or governmental agency is necessary for the executon, delivery or performance of this Agreement or the consummaton of the transactons contemplated hereby by the Unitholder.</w:t>
      </w:r>
    </w:p>
    <w:p>
      <w:pPr>
        <w:spacing w:after="0" w:line="109" w:lineRule="exact"/>
        <w:rPr>
          <w:rFonts w:ascii="Calibri" w:cs="Calibri" w:eastAsia="Calibri" w:hAnsi="Calibri"/>
          <w:sz w:val="18"/>
          <w:szCs w:val="18"/>
          <w:u w:val="single" w:color="auto"/>
          <w:color w:val="auto"/>
        </w:rPr>
      </w:pPr>
    </w:p>
    <w:p>
      <w:pPr>
        <w:jc w:val="both"/>
        <w:ind w:left="383" w:hanging="383"/>
        <w:spacing w:after="0" w:line="235" w:lineRule="auto"/>
        <w:tabs>
          <w:tab w:leader="none" w:pos="383" w:val="left"/>
        </w:tabs>
        <w:numPr>
          <w:ilvl w:val="0"/>
          <w:numId w:val="28"/>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Non-Foreign Status; W-9</w:t>
      </w:r>
      <w:r>
        <w:rPr>
          <w:rFonts w:ascii="Calibri" w:cs="Calibri" w:eastAsia="Calibri" w:hAnsi="Calibri"/>
          <w:sz w:val="18"/>
          <w:szCs w:val="18"/>
          <w:color w:val="auto"/>
        </w:rPr>
        <w:t>. The Unitholder is not a “foreign person” as such term is used in Sectons 1445 or 1446(f) of the Internal Revenue Code of 1986, as amended (the “</w:t>
      </w:r>
      <w:r>
        <w:rPr>
          <w:rFonts w:ascii="Calibri" w:cs="Calibri" w:eastAsia="Calibri" w:hAnsi="Calibri"/>
          <w:sz w:val="18"/>
          <w:szCs w:val="18"/>
          <w:b w:val="1"/>
          <w:bCs w:val="1"/>
          <w:i w:val="1"/>
          <w:iCs w:val="1"/>
          <w:color w:val="auto"/>
        </w:rPr>
        <w:t>Code</w:t>
      </w:r>
      <w:r>
        <w:rPr>
          <w:rFonts w:ascii="Calibri" w:cs="Calibri" w:eastAsia="Calibri" w:hAnsi="Calibri"/>
          <w:sz w:val="18"/>
          <w:szCs w:val="18"/>
          <w:color w:val="auto"/>
        </w:rPr>
        <w:t>”), or the Treasury Regulatons promulgated thereunder. The Unitholder has provided the Company with a properly completed and duly executed IRS Form W-9 for itself and for any afliate of the Unitholder that holds any Units and is transferring or forfeitng such Units pursuant to this Agreement.</w:t>
      </w:r>
    </w:p>
    <w:p>
      <w:pPr>
        <w:spacing w:after="0" w:line="111" w:lineRule="exact"/>
        <w:rPr>
          <w:rFonts w:ascii="Calibri" w:cs="Calibri" w:eastAsia="Calibri" w:hAnsi="Calibri"/>
          <w:sz w:val="18"/>
          <w:szCs w:val="18"/>
          <w:u w:val="single" w:color="auto"/>
          <w:color w:val="auto"/>
        </w:rPr>
      </w:pPr>
    </w:p>
    <w:p>
      <w:pPr>
        <w:jc w:val="both"/>
        <w:ind w:left="383" w:hanging="383"/>
        <w:spacing w:after="0" w:line="235" w:lineRule="auto"/>
        <w:tabs>
          <w:tab w:leader="none" w:pos="383" w:val="left"/>
        </w:tabs>
        <w:numPr>
          <w:ilvl w:val="0"/>
          <w:numId w:val="28"/>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Disclosure of Informaton</w:t>
      </w:r>
      <w:r>
        <w:rPr>
          <w:rFonts w:ascii="Calibri" w:cs="Calibri" w:eastAsia="Calibri" w:hAnsi="Calibri"/>
          <w:sz w:val="18"/>
          <w:szCs w:val="18"/>
          <w:color w:val="auto"/>
        </w:rPr>
        <w:t xml:space="preserve">. The Unitholder has received all the informaton he or she considers necessary or appropriate for deciding whether to consummate the transactons contemplated by this Agreement. The Unitholder further represents that he or she has had an opportunity to ask questons and receive answers from the Company and its management regarding the business, propertes, prospects and fnancial conditon of the Company and its afliates. The Unitholder acknowledges that the Company (i) has not made, and the Unitholder has not relied on, any representaton or warranty, express or implied, except as set forth herein, regarding any aspect of the transactons contemplated hereunder, the operaton, fnancial conditon, fnancial projectons or other forward looking statements of the Company or its afliates, the accuracy or completeness of any informaton that the Company has furnished or made available to the Unitholder or the value of the Units, (ii) may have access to certain material, nonpublic informaton regarding the Company and its afliates, their respectve fnancial conditons, results of operatons, businesses, propertes, assets, liabilites, management, projectons, appraisals, plans and prospects and that any such informaton may be indicatve of a value of the Units that is substantally diferent than Payment or otherwise afect the Unitholder’s determinaton to efectuate the Phantom Unit Cancellaton and the Repurchase in exchange for the Payment and that the Unitholder has made the determinaton to efectuate the Phantom Unit Cancellaton and the Repurchase in exchange for the Payment pursuant to this Agreement regardless of the foregoing and (iii) is relying upon the truth of the representatons and warrantes in this </w:t>
      </w:r>
      <w:r>
        <w:rPr>
          <w:rFonts w:ascii="Calibri" w:cs="Calibri" w:eastAsia="Calibri" w:hAnsi="Calibri"/>
          <w:sz w:val="18"/>
          <w:szCs w:val="18"/>
          <w:u w:val="single" w:color="auto"/>
          <w:color w:val="auto"/>
        </w:rPr>
        <w:t>Secton 6</w:t>
      </w:r>
      <w:r>
        <w:rPr>
          <w:rFonts w:ascii="Calibri" w:cs="Calibri" w:eastAsia="Calibri" w:hAnsi="Calibri"/>
          <w:sz w:val="18"/>
          <w:szCs w:val="18"/>
          <w:color w:val="auto"/>
        </w:rPr>
        <w:t xml:space="preserve"> in connecton with the transactons contemplated hereunder.</w:t>
      </w:r>
    </w:p>
    <w:p>
      <w:pPr>
        <w:spacing w:after="0" w:line="119" w:lineRule="exact"/>
        <w:rPr>
          <w:rFonts w:ascii="Calibri" w:cs="Calibri" w:eastAsia="Calibri" w:hAnsi="Calibri"/>
          <w:sz w:val="18"/>
          <w:szCs w:val="18"/>
          <w:u w:val="single" w:color="auto"/>
          <w:color w:val="auto"/>
        </w:rPr>
      </w:pPr>
    </w:p>
    <w:p>
      <w:pPr>
        <w:jc w:val="both"/>
        <w:ind w:left="383" w:hanging="383"/>
        <w:spacing w:after="0" w:line="252" w:lineRule="auto"/>
        <w:tabs>
          <w:tab w:leader="none" w:pos="383" w:val="left"/>
        </w:tabs>
        <w:numPr>
          <w:ilvl w:val="0"/>
          <w:numId w:val="28"/>
        </w:numPr>
        <w:rPr>
          <w:rFonts w:ascii="Calibri" w:cs="Calibri" w:eastAsia="Calibri" w:hAnsi="Calibri"/>
          <w:sz w:val="17"/>
          <w:szCs w:val="17"/>
          <w:u w:val="single" w:color="auto"/>
          <w:color w:val="auto"/>
        </w:rPr>
      </w:pPr>
      <w:r>
        <w:rPr>
          <w:rFonts w:ascii="Calibri" w:cs="Calibri" w:eastAsia="Calibri" w:hAnsi="Calibri"/>
          <w:sz w:val="17"/>
          <w:szCs w:val="17"/>
          <w:u w:val="single" w:color="auto"/>
          <w:color w:val="auto"/>
        </w:rPr>
        <w:t>Compliance with Securites Laws</w:t>
      </w:r>
      <w:r>
        <w:rPr>
          <w:rFonts w:ascii="Calibri" w:cs="Calibri" w:eastAsia="Calibri" w:hAnsi="Calibri"/>
          <w:sz w:val="17"/>
          <w:szCs w:val="17"/>
          <w:color w:val="auto"/>
        </w:rPr>
        <w:t>. The Unitholder acknowledges and agrees that this Agreement and the transactons contemplated hereby have not been reviewed, approved or recommended by the U.S. Securites and Exchange Commission or any governmental agency. The Unitholder is consummatng the transactons contemplated hereby pursuant to an exempton from registraton under the federal securites laws and applicable state securites laws. The Unitholder has taken all actons necessary on the Unitholder’s part to comply with such exempton.</w:t>
      </w:r>
    </w:p>
    <w:p>
      <w:pPr>
        <w:spacing w:after="0" w:line="100" w:lineRule="exact"/>
        <w:rPr>
          <w:rFonts w:ascii="Calibri" w:cs="Calibri" w:eastAsia="Calibri" w:hAnsi="Calibri"/>
          <w:sz w:val="17"/>
          <w:szCs w:val="17"/>
          <w:u w:val="single" w:color="auto"/>
          <w:color w:val="auto"/>
        </w:rPr>
      </w:pPr>
    </w:p>
    <w:p>
      <w:pPr>
        <w:jc w:val="both"/>
        <w:ind w:left="383" w:hanging="383"/>
        <w:spacing w:after="0" w:line="250" w:lineRule="auto"/>
        <w:tabs>
          <w:tab w:leader="none" w:pos="383" w:val="left"/>
        </w:tabs>
        <w:numPr>
          <w:ilvl w:val="0"/>
          <w:numId w:val="28"/>
        </w:numPr>
        <w:rPr>
          <w:rFonts w:ascii="Calibri" w:cs="Calibri" w:eastAsia="Calibri" w:hAnsi="Calibri"/>
          <w:sz w:val="17"/>
          <w:szCs w:val="17"/>
          <w:u w:val="single" w:color="auto"/>
          <w:color w:val="auto"/>
        </w:rPr>
      </w:pPr>
      <w:r>
        <w:rPr>
          <w:rFonts w:ascii="Calibri" w:cs="Calibri" w:eastAsia="Calibri" w:hAnsi="Calibri"/>
          <w:sz w:val="17"/>
          <w:szCs w:val="17"/>
          <w:u w:val="single" w:color="auto"/>
          <w:color w:val="auto"/>
        </w:rPr>
        <w:t>Tax Consequences</w:t>
      </w:r>
      <w:r>
        <w:rPr>
          <w:rFonts w:ascii="Calibri" w:cs="Calibri" w:eastAsia="Calibri" w:hAnsi="Calibri"/>
          <w:sz w:val="17"/>
          <w:szCs w:val="17"/>
          <w:color w:val="auto"/>
        </w:rPr>
        <w:t>. The Unitholder has had an opportunity to review the federal, state and local tax consequences of the Phantom Unit Cancellaton, the Underwater Unit Cancellaton and the Repurchase, the right to receive the Payment and the other transactons contemplated by this Agreement with his or her own tax advisors. The Unitholder is relying solely on such advisors and not on any statements or representatons of the Company or any of its afliates. The Unitholder understands that the Unitholder (and not the Company or any of its afliates) shall be solely responsible for the Unitholder’s own tax liability that may arise as a result of or in connecton with the transactons contemplated by this Agreement and shall indemnify and hold the Company and its afliates harmless for any losses incurred in respect of any such tax liability. The Unitholder agrees that he or she will make acceptable arrangements to pay any withholding or other taxes that may be due as a result of the Payment. In the event that the Company determines that any tax or withholding payment (including wage tax or social security withholding under local law) is required to be deducted in relaton to the Payment under applicable laws, the Company and its afliates shall have the right to require such payments from the Unitholder, or to withhold such amounts from the Payment or other payments due to the Unitholder from the Company or any of its afliates as may be necessary to satsfy the tax and/or withholding obligaton.</w:t>
      </w:r>
    </w:p>
    <w:p>
      <w:pPr>
        <w:spacing w:after="0" w:line="200" w:lineRule="exact"/>
        <w:rPr>
          <w:sz w:val="20"/>
          <w:szCs w:val="20"/>
          <w:color w:val="auto"/>
        </w:rPr>
      </w:pPr>
    </w:p>
    <w:p>
      <w:pPr>
        <w:spacing w:after="0" w:line="333" w:lineRule="exact"/>
        <w:rPr>
          <w:sz w:val="20"/>
          <w:szCs w:val="20"/>
          <w:color w:val="auto"/>
        </w:rPr>
      </w:pPr>
    </w:p>
    <w:p>
      <w:pPr>
        <w:ind w:left="5003"/>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482600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97" w:top="1440" w:right="339" w:bottom="1440" w:gutter="0" w:footer="0" w:header="0"/>
        </w:sectPr>
      </w:pPr>
    </w:p>
    <w:bookmarkStart w:id="54" w:name="page55"/>
    <w:bookmarkEnd w:id="54"/>
    <w:p>
      <w:pPr>
        <w:spacing w:after="0" w:line="117" w:lineRule="exact"/>
        <w:rPr>
          <w:sz w:val="20"/>
          <w:szCs w:val="20"/>
          <w:color w:val="auto"/>
        </w:rPr>
      </w:pPr>
    </w:p>
    <w:p>
      <w:pPr>
        <w:ind w:left="380" w:hanging="372"/>
        <w:spacing w:after="0"/>
        <w:tabs>
          <w:tab w:leader="none" w:pos="380" w:val="left"/>
        </w:tabs>
        <w:numPr>
          <w:ilvl w:val="0"/>
          <w:numId w:val="29"/>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Representatons and Warrantes of the Company</w:t>
      </w:r>
      <w:r>
        <w:rPr>
          <w:rFonts w:ascii="Calibri" w:cs="Calibri" w:eastAsia="Calibri" w:hAnsi="Calibri"/>
          <w:sz w:val="18"/>
          <w:szCs w:val="18"/>
          <w:color w:val="auto"/>
        </w:rPr>
        <w:t>. The Company hereby represents and warrants to the Unitholder that:</w:t>
      </w:r>
    </w:p>
    <w:p>
      <w:pPr>
        <w:spacing w:after="0" w:line="109" w:lineRule="exact"/>
        <w:rPr>
          <w:rFonts w:ascii="Calibri" w:cs="Calibri" w:eastAsia="Calibri" w:hAnsi="Calibri"/>
          <w:sz w:val="18"/>
          <w:szCs w:val="18"/>
          <w:u w:val="single" w:color="auto"/>
          <w:color w:val="auto"/>
        </w:rPr>
      </w:pPr>
    </w:p>
    <w:p>
      <w:pPr>
        <w:jc w:val="both"/>
        <w:ind w:left="960" w:hanging="383"/>
        <w:spacing w:after="0" w:line="251" w:lineRule="auto"/>
        <w:tabs>
          <w:tab w:leader="none" w:pos="960" w:val="left"/>
        </w:tabs>
        <w:numPr>
          <w:ilvl w:val="1"/>
          <w:numId w:val="29"/>
        </w:numPr>
        <w:rPr>
          <w:rFonts w:ascii="Calibri" w:cs="Calibri" w:eastAsia="Calibri" w:hAnsi="Calibri"/>
          <w:sz w:val="17"/>
          <w:szCs w:val="17"/>
          <w:u w:val="single" w:color="auto"/>
          <w:color w:val="auto"/>
        </w:rPr>
      </w:pPr>
      <w:r>
        <w:rPr>
          <w:rFonts w:ascii="Calibri" w:cs="Calibri" w:eastAsia="Calibri" w:hAnsi="Calibri"/>
          <w:sz w:val="17"/>
          <w:szCs w:val="17"/>
          <w:u w:val="single" w:color="auto"/>
          <w:color w:val="auto"/>
        </w:rPr>
        <w:t>Authorizaton</w:t>
      </w:r>
      <w:r>
        <w:rPr>
          <w:rFonts w:ascii="Calibri" w:cs="Calibri" w:eastAsia="Calibri" w:hAnsi="Calibri"/>
          <w:sz w:val="17"/>
          <w:szCs w:val="17"/>
          <w:color w:val="auto"/>
        </w:rPr>
        <w:t>. The Company has full power and authority to enter into this Agreement, to perform its obligatons hereunder and to consummate the transacton contemplated hereby. This Agreement consttutes a valid and binding obligaton of the Company, enforceable against the Company in accordance with its terms, except as enforcement may be limited by general principles of equity and by bankruptcy, insolvency and similar laws afectng creditors’ rights and remedies generally. The executon, delivery and performance of this Agreement by the Company and the consummaton of the transactons contemplated hereby have been duly authorized by all necessary acton on the part of the Company.</w:t>
      </w:r>
    </w:p>
    <w:p>
      <w:pPr>
        <w:spacing w:after="0" w:line="102" w:lineRule="exact"/>
        <w:rPr>
          <w:rFonts w:ascii="Calibri" w:cs="Calibri" w:eastAsia="Calibri" w:hAnsi="Calibri"/>
          <w:sz w:val="17"/>
          <w:szCs w:val="17"/>
          <w:u w:val="single" w:color="auto"/>
          <w:color w:val="auto"/>
        </w:rPr>
      </w:pPr>
    </w:p>
    <w:p>
      <w:pPr>
        <w:jc w:val="both"/>
        <w:ind w:left="960" w:hanging="383"/>
        <w:spacing w:after="0" w:line="235" w:lineRule="auto"/>
        <w:tabs>
          <w:tab w:leader="none" w:pos="960" w:val="left"/>
        </w:tabs>
        <w:numPr>
          <w:ilvl w:val="1"/>
          <w:numId w:val="29"/>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Litgaton</w:t>
      </w:r>
      <w:r>
        <w:rPr>
          <w:rFonts w:ascii="Calibri" w:cs="Calibri" w:eastAsia="Calibri" w:hAnsi="Calibri"/>
          <w:sz w:val="18"/>
          <w:szCs w:val="18"/>
          <w:color w:val="auto"/>
        </w:rPr>
        <w:t>. There are no lawsuits, actons, proceedings, claims or orders brought or subject to enforcement by any third party relatng to, arising out of or afectng in any manner the Company’s ability to consummate the Repurchase or the Phantom Unit Cancellaton, or to pay the Payment, and no such lawsuits, actons, proceedings, claims or orders are threatened in writng or orally against the Company.</w:t>
      </w:r>
    </w:p>
    <w:p>
      <w:pPr>
        <w:spacing w:after="0" w:line="110" w:lineRule="exact"/>
        <w:rPr>
          <w:rFonts w:ascii="Calibri" w:cs="Calibri" w:eastAsia="Calibri" w:hAnsi="Calibri"/>
          <w:sz w:val="18"/>
          <w:szCs w:val="18"/>
          <w:u w:val="single" w:color="auto"/>
          <w:color w:val="auto"/>
        </w:rPr>
      </w:pPr>
    </w:p>
    <w:p>
      <w:pPr>
        <w:jc w:val="both"/>
        <w:ind w:left="960" w:hanging="383"/>
        <w:spacing w:after="0" w:line="235" w:lineRule="auto"/>
        <w:tabs>
          <w:tab w:leader="none" w:pos="960" w:val="left"/>
        </w:tabs>
        <w:numPr>
          <w:ilvl w:val="1"/>
          <w:numId w:val="29"/>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Broker</w:t>
      </w:r>
      <w:r>
        <w:rPr>
          <w:rFonts w:ascii="Calibri" w:cs="Calibri" w:eastAsia="Calibri" w:hAnsi="Calibri"/>
          <w:sz w:val="18"/>
          <w:szCs w:val="18"/>
          <w:color w:val="auto"/>
        </w:rPr>
        <w:t>. No person who has been retained by or is authorized to act on behalf of the Company is or will be enttled to a broker’s, fnder’s, investment banker’s, fnancial adviser’s or similar fee from the Company or the Unitholder in connecton with this Agreement or any of the transactons contemplated by this Agreement.</w:t>
      </w:r>
    </w:p>
    <w:p>
      <w:pPr>
        <w:spacing w:after="0" w:line="110" w:lineRule="exact"/>
        <w:rPr>
          <w:rFonts w:ascii="Calibri" w:cs="Calibri" w:eastAsia="Calibri" w:hAnsi="Calibri"/>
          <w:sz w:val="18"/>
          <w:szCs w:val="18"/>
          <w:u w:val="single" w:color="auto"/>
          <w:color w:val="auto"/>
        </w:rPr>
      </w:pPr>
    </w:p>
    <w:p>
      <w:pPr>
        <w:jc w:val="both"/>
        <w:ind w:left="380" w:hanging="372"/>
        <w:spacing w:after="0" w:line="235" w:lineRule="auto"/>
        <w:tabs>
          <w:tab w:leader="none" w:pos="380" w:val="left"/>
        </w:tabs>
        <w:numPr>
          <w:ilvl w:val="0"/>
          <w:numId w:val="29"/>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Release of Claims</w:t>
      </w:r>
      <w:r>
        <w:rPr>
          <w:rFonts w:ascii="Calibri" w:cs="Calibri" w:eastAsia="Calibri" w:hAnsi="Calibri"/>
          <w:sz w:val="18"/>
          <w:szCs w:val="18"/>
          <w:color w:val="auto"/>
        </w:rPr>
        <w:t>. Efectve as of the Efectve Date, the Unitholder on behalf of himself or herself and his or her heirs, legal representatves, successors and assigns, and all persons and enttes claiming by, through or under any of them, jointly and severally (“</w:t>
      </w:r>
      <w:r>
        <w:rPr>
          <w:rFonts w:ascii="Calibri" w:cs="Calibri" w:eastAsia="Calibri" w:hAnsi="Calibri"/>
          <w:sz w:val="18"/>
          <w:szCs w:val="18"/>
          <w:b w:val="1"/>
          <w:bCs w:val="1"/>
          <w:i w:val="1"/>
          <w:iCs w:val="1"/>
          <w:color w:val="auto"/>
        </w:rPr>
        <w:t>Related Persons</w:t>
      </w:r>
      <w:r>
        <w:rPr>
          <w:rFonts w:ascii="Calibri" w:cs="Calibri" w:eastAsia="Calibri" w:hAnsi="Calibri"/>
          <w:sz w:val="18"/>
          <w:szCs w:val="18"/>
          <w:color w:val="auto"/>
        </w:rPr>
        <w:t>”), hereby unconditonally, irrevocably and absolutely releases and forever discharges the Company, and its successors, assigns, heirs, afliates, ofcers, directors, current and former employees, agents, principals, unitholders and members (the “</w:t>
      </w:r>
      <w:r>
        <w:rPr>
          <w:rFonts w:ascii="Calibri" w:cs="Calibri" w:eastAsia="Calibri" w:hAnsi="Calibri"/>
          <w:sz w:val="18"/>
          <w:szCs w:val="18"/>
          <w:b w:val="1"/>
          <w:bCs w:val="1"/>
          <w:i w:val="1"/>
          <w:iCs w:val="1"/>
          <w:color w:val="auto"/>
        </w:rPr>
        <w:t>Released Partes</w:t>
      </w:r>
      <w:r>
        <w:rPr>
          <w:rFonts w:ascii="Calibri" w:cs="Calibri" w:eastAsia="Calibri" w:hAnsi="Calibri"/>
          <w:sz w:val="18"/>
          <w:szCs w:val="18"/>
          <w:color w:val="auto"/>
        </w:rPr>
        <w:t xml:space="preserve">”) from any and all rights, claims, demands, interests, causes of acton, suits, debts, controversies, liabilites, costs, expenses, atorneys’ fees and damages of whatever character, nature or kind, including those in law and in equity, whether known or unknown, foreseen or unforeseen, that the Unitholder or any Related Person now has, has ever had or may hereafer have against any Released Party arising from, relatng to or in any way connected with (including, for the avoidance of doubt, any individual taxes that may arise or result from), (a) the Unitholder’s purchase, ownership or purported ownership of the Units or any other rights in respect thereof, (b) the negotaton or executon of this Agreement or the consummaton of any of the transactons contemplated hereby, (c) the Repurchase, (d) the Underwater Unit Cancellaton, (e) the Phantom Unit Cancellaton or (f) the Payment as set forth herein; and the Unitholder waives any and all claims the Unitholder may have to any additonal consideraton with respect to the Units for any other reason; </w:t>
      </w:r>
      <w:r>
        <w:rPr>
          <w:rFonts w:ascii="Calibri" w:cs="Calibri" w:eastAsia="Calibri" w:hAnsi="Calibri"/>
          <w:sz w:val="18"/>
          <w:szCs w:val="18"/>
          <w:i w:val="1"/>
          <w:iCs w:val="1"/>
          <w:color w:val="auto"/>
        </w:rPr>
        <w:t>provided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however</w:t>
      </w:r>
      <w:r>
        <w:rPr>
          <w:rFonts w:ascii="Calibri" w:cs="Calibri" w:eastAsia="Calibri" w:hAnsi="Calibri"/>
          <w:sz w:val="18"/>
          <w:szCs w:val="18"/>
          <w:color w:val="auto"/>
        </w:rPr>
        <w:t>, that the foregoing shall not apply to any claim for breach of this Agreement.</w:t>
      </w:r>
    </w:p>
    <w:p>
      <w:pPr>
        <w:spacing w:after="0" w:line="118" w:lineRule="exact"/>
        <w:rPr>
          <w:rFonts w:ascii="Calibri" w:cs="Calibri" w:eastAsia="Calibri" w:hAnsi="Calibri"/>
          <w:sz w:val="18"/>
          <w:szCs w:val="18"/>
          <w:u w:val="single" w:color="auto"/>
          <w:color w:val="auto"/>
        </w:rPr>
      </w:pPr>
    </w:p>
    <w:p>
      <w:pPr>
        <w:jc w:val="both"/>
        <w:ind w:left="380" w:hanging="372"/>
        <w:spacing w:after="0" w:line="235" w:lineRule="auto"/>
        <w:tabs>
          <w:tab w:leader="none" w:pos="380" w:val="left"/>
        </w:tabs>
        <w:numPr>
          <w:ilvl w:val="0"/>
          <w:numId w:val="29"/>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Confdentality</w:t>
      </w:r>
      <w:r>
        <w:rPr>
          <w:rFonts w:ascii="Calibri" w:cs="Calibri" w:eastAsia="Calibri" w:hAnsi="Calibri"/>
          <w:sz w:val="18"/>
          <w:szCs w:val="18"/>
          <w:color w:val="auto"/>
        </w:rPr>
        <w:t>. The Unitholder will keep in strict confdence and refrain from disclosing to any third party any confdental or proprietary maters (except publicly available or freely usable material as otherwise obtained from another source not in violaton of any confdentality obligatons to which such source is subject) with respect to the Company and its afliates. This confdentality agreement includes the terms of this Agreement. Notwithstanding the foregoing, (i) the Unitholder may disclose such confdental informaton (a) to its immediate atorney(s), advisor(s) and accountant(s), if any, to the extent necessary for legal or investment advice or income tax reportng purposes (provided that the Unitholder ensures that such persons maintain the confdentality thereof), (b) in response to a subpoena duly issued by a court of law or a government agency having proper jurisdicton or power to compel such disclosure or as otherwise may be required by law or (c) in connecton with the enforcement of this Agreement, and (ii) Vivid Seats Inc. and its subsidiaries may make such public disclosures as may be required by law (including any disclosures as they determine in their sole discreton to be required by the rules of any natonal stock exchange on which the stock of Vivid Seats Inc. is listed).</w:t>
      </w:r>
    </w:p>
    <w:p>
      <w:pPr>
        <w:spacing w:after="0" w:line="110" w:lineRule="exact"/>
        <w:rPr>
          <w:rFonts w:ascii="Calibri" w:cs="Calibri" w:eastAsia="Calibri" w:hAnsi="Calibri"/>
          <w:sz w:val="18"/>
          <w:szCs w:val="18"/>
          <w:u w:val="single" w:color="auto"/>
          <w:color w:val="auto"/>
        </w:rPr>
      </w:pPr>
    </w:p>
    <w:p>
      <w:pPr>
        <w:ind w:left="380" w:hanging="372"/>
        <w:spacing w:after="0"/>
        <w:tabs>
          <w:tab w:leader="none" w:pos="380" w:val="left"/>
        </w:tabs>
        <w:numPr>
          <w:ilvl w:val="0"/>
          <w:numId w:val="29"/>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Miscellaneous</w:t>
      </w:r>
      <w:r>
        <w:rPr>
          <w:rFonts w:ascii="Calibri" w:cs="Calibri" w:eastAsia="Calibri" w:hAnsi="Calibri"/>
          <w:sz w:val="18"/>
          <w:szCs w:val="18"/>
          <w:color w:val="auto"/>
        </w:rPr>
        <w:t>.</w:t>
      </w:r>
    </w:p>
    <w:p>
      <w:pPr>
        <w:spacing w:after="0" w:line="109" w:lineRule="exact"/>
        <w:rPr>
          <w:rFonts w:ascii="Calibri" w:cs="Calibri" w:eastAsia="Calibri" w:hAnsi="Calibri"/>
          <w:sz w:val="18"/>
          <w:szCs w:val="18"/>
          <w:u w:val="single" w:color="auto"/>
          <w:color w:val="auto"/>
        </w:rPr>
      </w:pPr>
    </w:p>
    <w:p>
      <w:pPr>
        <w:jc w:val="both"/>
        <w:ind w:left="960" w:hanging="383"/>
        <w:spacing w:after="0" w:line="235" w:lineRule="auto"/>
        <w:tabs>
          <w:tab w:leader="none" w:pos="960" w:val="left"/>
        </w:tabs>
        <w:numPr>
          <w:ilvl w:val="1"/>
          <w:numId w:val="29"/>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Certain Terms and Conditons</w:t>
      </w:r>
      <w:r>
        <w:rPr>
          <w:rFonts w:ascii="Calibri" w:cs="Calibri" w:eastAsia="Calibri" w:hAnsi="Calibri"/>
          <w:sz w:val="18"/>
          <w:szCs w:val="18"/>
          <w:color w:val="auto"/>
        </w:rPr>
        <w:t>. The Repurchase, the Underwater Unit Cancellaton and the Redempton Units Payment: (i) are extraordinary items that do not consttute compensaton of any kind for services of any kind rendered to the Company or any afliates, and which are outside the scope of the Unitholder's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22" w:lineRule="exact"/>
        <w:rPr>
          <w:sz w:val="20"/>
          <w:szCs w:val="20"/>
          <w:color w:val="auto"/>
        </w:rPr>
      </w:pPr>
    </w:p>
    <w:p>
      <w:pPr>
        <w:jc w:val="both"/>
        <w:ind w:left="383"/>
        <w:spacing w:after="0" w:line="235" w:lineRule="auto"/>
        <w:rPr>
          <w:sz w:val="20"/>
          <w:szCs w:val="20"/>
          <w:color w:val="auto"/>
        </w:rPr>
      </w:pPr>
      <w:r>
        <w:rPr>
          <w:rFonts w:ascii="Calibri" w:cs="Calibri" w:eastAsia="Calibri" w:hAnsi="Calibri"/>
          <w:sz w:val="18"/>
          <w:szCs w:val="18"/>
          <w:color w:val="auto"/>
        </w:rPr>
        <w:t>employment contract, if any; and (ii) are not part of normal or expected compensaton for any purposes, including, but not limited to, calculatng any severance, resignaton, terminaton, redundancy, dismissal or end of service payments, bonuses, long-service awards, pension or retrement benefts or similar payments, and in no event should be considered as compensaton for, or relatng in any way to, past services for the Company or any afliate thereof. The Partes acknowledge and agree that the Phantom Unit Payment contemplated under this Agreement is subject to and consttutes non-compliant deferred compensaton pursuant to Secton 409A of the Code and, accordingly, the Unitholder acknowledges and agrees that he, she or it will make acceptable arrangements to pay any taxes that may be due as a result of the Phantom Unit Payment, including, but not limited to, a 20% additonal income tax (and any related interest thereon) on such amount. In no event will the Company or its afliates be liable for any additonal tax or other penalty that may be imposed on the Unitholder by Secton 409A of the Code or for damages for failing to comply with Secton 409A of the Code.</w:t>
      </w:r>
    </w:p>
    <w:p>
      <w:pPr>
        <w:spacing w:after="0" w:line="116" w:lineRule="exact"/>
        <w:rPr>
          <w:sz w:val="20"/>
          <w:szCs w:val="20"/>
          <w:color w:val="auto"/>
        </w:rPr>
      </w:pPr>
    </w:p>
    <w:p>
      <w:pPr>
        <w:jc w:val="both"/>
        <w:ind w:left="383" w:hanging="383"/>
        <w:spacing w:after="0" w:line="235" w:lineRule="auto"/>
        <w:tabs>
          <w:tab w:leader="none" w:pos="383" w:val="left"/>
        </w:tabs>
        <w:numPr>
          <w:ilvl w:val="0"/>
          <w:numId w:val="30"/>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Allocatons</w:t>
      </w:r>
      <w:r>
        <w:rPr>
          <w:rFonts w:ascii="Calibri" w:cs="Calibri" w:eastAsia="Calibri" w:hAnsi="Calibri"/>
          <w:sz w:val="18"/>
          <w:szCs w:val="18"/>
          <w:color w:val="auto"/>
        </w:rPr>
        <w:t>. All items of income, gain, loss, deducton and credit shall be allocated among the Units and the other interests in the Company using the “interim closing method” and the “monthly conventon” under Treasury Regulatons Secton 1.706-4. This method and conventon shall be set forth in a dated, writen statement maintained with the Company’s books and records.</w:t>
      </w:r>
    </w:p>
    <w:p>
      <w:pPr>
        <w:spacing w:after="0" w:line="110" w:lineRule="exact"/>
        <w:rPr>
          <w:rFonts w:ascii="Calibri" w:cs="Calibri" w:eastAsia="Calibri" w:hAnsi="Calibri"/>
          <w:sz w:val="18"/>
          <w:szCs w:val="18"/>
          <w:u w:val="single" w:color="auto"/>
          <w:color w:val="auto"/>
        </w:rPr>
      </w:pPr>
    </w:p>
    <w:p>
      <w:pPr>
        <w:ind w:left="383" w:hanging="383"/>
        <w:spacing w:after="0" w:line="258" w:lineRule="auto"/>
        <w:tabs>
          <w:tab w:leader="none" w:pos="383" w:val="left"/>
        </w:tabs>
        <w:numPr>
          <w:ilvl w:val="0"/>
          <w:numId w:val="30"/>
        </w:numPr>
        <w:rPr>
          <w:rFonts w:ascii="Calibri" w:cs="Calibri" w:eastAsia="Calibri" w:hAnsi="Calibri"/>
          <w:sz w:val="17"/>
          <w:szCs w:val="17"/>
          <w:u w:val="single" w:color="auto"/>
          <w:color w:val="auto"/>
        </w:rPr>
      </w:pPr>
      <w:r>
        <w:rPr>
          <w:rFonts w:ascii="Calibri" w:cs="Calibri" w:eastAsia="Calibri" w:hAnsi="Calibri"/>
          <w:sz w:val="17"/>
          <w:szCs w:val="17"/>
          <w:u w:val="single" w:color="auto"/>
          <w:color w:val="auto"/>
        </w:rPr>
        <w:t>Governing Law</w:t>
      </w:r>
      <w:r>
        <w:rPr>
          <w:rFonts w:ascii="Calibri" w:cs="Calibri" w:eastAsia="Calibri" w:hAnsi="Calibri"/>
          <w:sz w:val="17"/>
          <w:szCs w:val="17"/>
          <w:color w:val="auto"/>
        </w:rPr>
        <w:t>. This Agreement and all acts and transactons pursuant hereto and the rights and obligatons of the Partes hereunder shall be governed, construed and interpreted in accordance with the laws of the State of Delaware, without giving efect to principles of conficts of law.</w:t>
      </w:r>
    </w:p>
    <w:p>
      <w:pPr>
        <w:spacing w:after="0" w:line="93" w:lineRule="exact"/>
        <w:rPr>
          <w:rFonts w:ascii="Calibri" w:cs="Calibri" w:eastAsia="Calibri" w:hAnsi="Calibri"/>
          <w:sz w:val="17"/>
          <w:szCs w:val="17"/>
          <w:u w:val="single" w:color="auto"/>
          <w:color w:val="auto"/>
        </w:rPr>
      </w:pPr>
    </w:p>
    <w:p>
      <w:pPr>
        <w:ind w:left="383" w:hanging="383"/>
        <w:spacing w:after="0" w:line="235" w:lineRule="auto"/>
        <w:tabs>
          <w:tab w:leader="none" w:pos="383" w:val="left"/>
        </w:tabs>
        <w:numPr>
          <w:ilvl w:val="0"/>
          <w:numId w:val="30"/>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WAIVER OF JURY TRIAL</w:t>
      </w:r>
      <w:r>
        <w:rPr>
          <w:rFonts w:ascii="Calibri" w:cs="Calibri" w:eastAsia="Calibri" w:hAnsi="Calibri"/>
          <w:sz w:val="18"/>
          <w:szCs w:val="18"/>
          <w:color w:val="auto"/>
        </w:rPr>
        <w:t>. EACH OF THE PARTIES HERETO HEREBY IRREVOCABLY WAIVES ANY AND ALL RIGHT TO TRIAL BY JURY IN ANY LEGAL PROCEEDING ARISING OUT OF RELATED TO THIS AGREEMENT OR THE TRANSACTIONS CONTEMPLATED HEREBY.</w:t>
      </w:r>
    </w:p>
    <w:p>
      <w:pPr>
        <w:spacing w:after="0" w:line="109" w:lineRule="exact"/>
        <w:rPr>
          <w:rFonts w:ascii="Calibri" w:cs="Calibri" w:eastAsia="Calibri" w:hAnsi="Calibri"/>
          <w:sz w:val="18"/>
          <w:szCs w:val="18"/>
          <w:u w:val="single" w:color="auto"/>
          <w:color w:val="auto"/>
        </w:rPr>
      </w:pPr>
    </w:p>
    <w:p>
      <w:pPr>
        <w:jc w:val="both"/>
        <w:ind w:left="383" w:hanging="383"/>
        <w:spacing w:after="0" w:line="235" w:lineRule="auto"/>
        <w:tabs>
          <w:tab w:leader="none" w:pos="383" w:val="left"/>
        </w:tabs>
        <w:numPr>
          <w:ilvl w:val="0"/>
          <w:numId w:val="30"/>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Successors and Assigns</w:t>
      </w:r>
      <w:r>
        <w:rPr>
          <w:rFonts w:ascii="Calibri" w:cs="Calibri" w:eastAsia="Calibri" w:hAnsi="Calibri"/>
          <w:sz w:val="18"/>
          <w:szCs w:val="18"/>
          <w:color w:val="auto"/>
        </w:rPr>
        <w:t xml:space="preserve">. This Agreement shall be binding upon and inure to the beneft of the respectve heirs, successors and assigns of the Partes; </w:t>
      </w:r>
      <w:r>
        <w:rPr>
          <w:rFonts w:ascii="Calibri" w:cs="Calibri" w:eastAsia="Calibri" w:hAnsi="Calibri"/>
          <w:sz w:val="18"/>
          <w:szCs w:val="18"/>
          <w:i w:val="1"/>
          <w:iCs w:val="1"/>
          <w:color w:val="auto"/>
        </w:rPr>
        <w:t>provided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however</w:t>
      </w:r>
      <w:r>
        <w:rPr>
          <w:rFonts w:ascii="Calibri" w:cs="Calibri" w:eastAsia="Calibri" w:hAnsi="Calibri"/>
          <w:sz w:val="18"/>
          <w:szCs w:val="18"/>
          <w:color w:val="auto"/>
        </w:rPr>
        <w:t>, that the Unitholder may not assign any of his or her rights hereunder without the express writen consent of the Company.</w:t>
      </w:r>
    </w:p>
    <w:p>
      <w:pPr>
        <w:spacing w:after="0" w:line="110" w:lineRule="exact"/>
        <w:rPr>
          <w:rFonts w:ascii="Calibri" w:cs="Calibri" w:eastAsia="Calibri" w:hAnsi="Calibri"/>
          <w:sz w:val="18"/>
          <w:szCs w:val="18"/>
          <w:u w:val="single" w:color="auto"/>
          <w:color w:val="auto"/>
        </w:rPr>
      </w:pPr>
    </w:p>
    <w:p>
      <w:pPr>
        <w:ind w:left="383" w:hanging="383"/>
        <w:spacing w:after="0" w:line="235" w:lineRule="auto"/>
        <w:tabs>
          <w:tab w:leader="none" w:pos="383" w:val="left"/>
        </w:tabs>
        <w:numPr>
          <w:ilvl w:val="0"/>
          <w:numId w:val="30"/>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Entre Agreement</w:t>
      </w:r>
      <w:r>
        <w:rPr>
          <w:rFonts w:ascii="Calibri" w:cs="Calibri" w:eastAsia="Calibri" w:hAnsi="Calibri"/>
          <w:sz w:val="18"/>
          <w:szCs w:val="18"/>
          <w:color w:val="auto"/>
        </w:rPr>
        <w:t>. This Agreement consttutes the entre agreement among the Partes with respect to the transactons contemplated hereby and supersedes all prior agreements, understandings, negotatons and representatons between the Partes with respect to such transactons.</w:t>
      </w:r>
    </w:p>
    <w:p>
      <w:pPr>
        <w:spacing w:after="0" w:line="109" w:lineRule="exact"/>
        <w:rPr>
          <w:rFonts w:ascii="Calibri" w:cs="Calibri" w:eastAsia="Calibri" w:hAnsi="Calibri"/>
          <w:sz w:val="18"/>
          <w:szCs w:val="18"/>
          <w:u w:val="single" w:color="auto"/>
          <w:color w:val="auto"/>
        </w:rPr>
      </w:pPr>
    </w:p>
    <w:p>
      <w:pPr>
        <w:ind w:left="383" w:hanging="383"/>
        <w:spacing w:after="0" w:line="235" w:lineRule="auto"/>
        <w:tabs>
          <w:tab w:leader="none" w:pos="383" w:val="left"/>
        </w:tabs>
        <w:numPr>
          <w:ilvl w:val="0"/>
          <w:numId w:val="30"/>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Amendments</w:t>
      </w:r>
      <w:r>
        <w:rPr>
          <w:rFonts w:ascii="Calibri" w:cs="Calibri" w:eastAsia="Calibri" w:hAnsi="Calibri"/>
          <w:sz w:val="18"/>
          <w:szCs w:val="18"/>
          <w:color w:val="auto"/>
        </w:rPr>
        <w:t>. No amendment or modifcaton of the terms and conditons of this Agreement shall be valid unless in writng and signed by each of the Partes.</w:t>
      </w:r>
    </w:p>
    <w:p>
      <w:pPr>
        <w:spacing w:after="0" w:line="109" w:lineRule="exact"/>
        <w:rPr>
          <w:rFonts w:ascii="Calibri" w:cs="Calibri" w:eastAsia="Calibri" w:hAnsi="Calibri"/>
          <w:sz w:val="18"/>
          <w:szCs w:val="18"/>
          <w:u w:val="single" w:color="auto"/>
          <w:color w:val="auto"/>
        </w:rPr>
      </w:pPr>
    </w:p>
    <w:p>
      <w:pPr>
        <w:ind w:left="383" w:hanging="383"/>
        <w:spacing w:after="0" w:line="235" w:lineRule="auto"/>
        <w:tabs>
          <w:tab w:leader="none" w:pos="383" w:val="left"/>
        </w:tabs>
        <w:numPr>
          <w:ilvl w:val="0"/>
          <w:numId w:val="30"/>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Notces</w:t>
      </w:r>
      <w:r>
        <w:rPr>
          <w:rFonts w:ascii="Calibri" w:cs="Calibri" w:eastAsia="Calibri" w:hAnsi="Calibri"/>
          <w:sz w:val="18"/>
          <w:szCs w:val="18"/>
          <w:color w:val="auto"/>
        </w:rPr>
        <w:t>. Any notce required or permited by this Agreement shall be in writng and shall be deemed sufcient when delivered personally or sent by fax (as evidenced by the sender’s confrmaton receipt) or by electronic mail (upon confrmaton of receipt by the recipient.</w:t>
      </w:r>
    </w:p>
    <w:p>
      <w:pPr>
        <w:spacing w:after="0" w:line="109" w:lineRule="exact"/>
        <w:rPr>
          <w:rFonts w:ascii="Calibri" w:cs="Calibri" w:eastAsia="Calibri" w:hAnsi="Calibri"/>
          <w:sz w:val="18"/>
          <w:szCs w:val="18"/>
          <w:u w:val="single" w:color="auto"/>
          <w:color w:val="auto"/>
        </w:rPr>
      </w:pPr>
    </w:p>
    <w:p>
      <w:pPr>
        <w:ind w:left="383" w:hanging="383"/>
        <w:spacing w:after="0" w:line="235" w:lineRule="auto"/>
        <w:tabs>
          <w:tab w:leader="none" w:pos="383" w:val="left"/>
        </w:tabs>
        <w:numPr>
          <w:ilvl w:val="0"/>
          <w:numId w:val="30"/>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Counterparts</w:t>
      </w:r>
      <w:r>
        <w:rPr>
          <w:rFonts w:ascii="Calibri" w:cs="Calibri" w:eastAsia="Calibri" w:hAnsi="Calibri"/>
          <w:sz w:val="18"/>
          <w:szCs w:val="18"/>
          <w:color w:val="auto"/>
        </w:rPr>
        <w:t>. This Agreement may be executed in any number of counterparts, each of which shall be deemed an original and all of which together shall consttute one instrument. Facsimile or PDF electronic copies shall be treated as originals.</w:t>
      </w:r>
    </w:p>
    <w:p>
      <w:pPr>
        <w:spacing w:after="0" w:line="109" w:lineRule="exact"/>
        <w:rPr>
          <w:rFonts w:ascii="Calibri" w:cs="Calibri" w:eastAsia="Calibri" w:hAnsi="Calibri"/>
          <w:sz w:val="18"/>
          <w:szCs w:val="18"/>
          <w:u w:val="single" w:color="auto"/>
          <w:color w:val="auto"/>
        </w:rPr>
      </w:pPr>
    </w:p>
    <w:p>
      <w:pPr>
        <w:jc w:val="both"/>
        <w:ind w:left="383" w:hanging="383"/>
        <w:spacing w:after="0" w:line="235" w:lineRule="auto"/>
        <w:tabs>
          <w:tab w:leader="none" w:pos="383" w:val="left"/>
        </w:tabs>
        <w:numPr>
          <w:ilvl w:val="0"/>
          <w:numId w:val="30"/>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Interpretaton of Agreement</w:t>
      </w:r>
      <w:r>
        <w:rPr>
          <w:rFonts w:ascii="Calibri" w:cs="Calibri" w:eastAsia="Calibri" w:hAnsi="Calibri"/>
          <w:sz w:val="18"/>
          <w:szCs w:val="18"/>
          <w:color w:val="auto"/>
        </w:rPr>
        <w:t>. This Agreement consttutes a fully negotated agreement among commercially sophistcated partes and therefore shall not be construed or interpreted for or against any Party and no presumpton or burden of proof shall arise favoring or disfavoring any Party by virtue of the authorship of any of the provisions of this Agreement. Notwithstanding anything to the contrary herein or in any other agreement or document delivered in connecton herewith, if at the tme a payment is due hereunder the Company determines in good faith that it does not have sufcient available funds to make full payment to the Unitholder, each other person that is owed payments in respect of similar equity repurchase or cancellaton transactons and any other person to whom the Company or any of its afliates is reasonably expected to owe payments to, or that payment thereof would result in insolvency of the Company or any of its afliates or violate any law or result in the breach of any agreement in efect at such tme applicable to the Company or any of its afliates, then the obligatons of the Company to make such payment shall be deferred untl such tme that the Company determines in good faith that it</w:t>
      </w:r>
    </w:p>
    <w:p>
      <w:pPr>
        <w:spacing w:after="0" w:line="200" w:lineRule="exact"/>
        <w:rPr>
          <w:sz w:val="20"/>
          <w:szCs w:val="20"/>
          <w:color w:val="auto"/>
        </w:rPr>
      </w:pPr>
    </w:p>
    <w:p>
      <w:pPr>
        <w:spacing w:after="0" w:line="343" w:lineRule="exact"/>
        <w:rPr>
          <w:sz w:val="20"/>
          <w:szCs w:val="20"/>
          <w:color w:val="auto"/>
        </w:rPr>
      </w:pPr>
    </w:p>
    <w:p>
      <w:pPr>
        <w:ind w:left="5003"/>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481965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97" w:top="1440" w:right="339" w:bottom="1440" w:gutter="0" w:footer="0" w:header="0"/>
        </w:sectPr>
      </w:pPr>
    </w:p>
    <w:bookmarkStart w:id="56" w:name="page57"/>
    <w:bookmarkEnd w:id="56"/>
    <w:p>
      <w:pPr>
        <w:spacing w:after="0" w:line="122" w:lineRule="exact"/>
        <w:rPr>
          <w:sz w:val="20"/>
          <w:szCs w:val="20"/>
          <w:color w:val="auto"/>
        </w:rPr>
      </w:pPr>
    </w:p>
    <w:p>
      <w:pPr>
        <w:ind w:left="383"/>
        <w:spacing w:after="0" w:line="235" w:lineRule="auto"/>
        <w:rPr>
          <w:sz w:val="20"/>
          <w:szCs w:val="20"/>
          <w:color w:val="auto"/>
        </w:rPr>
      </w:pPr>
      <w:r>
        <w:rPr>
          <w:rFonts w:ascii="Calibri" w:cs="Calibri" w:eastAsia="Calibri" w:hAnsi="Calibri"/>
          <w:sz w:val="18"/>
          <w:szCs w:val="18"/>
          <w:color w:val="auto"/>
        </w:rPr>
        <w:t>has sufcient available funds to make all such payments (including, for the avoidance of doubt, full payment to the Unitholder hereunder) and that these payments would not result in any such insolvency, violaton or breach.</w:t>
      </w:r>
    </w:p>
    <w:p>
      <w:pPr>
        <w:spacing w:after="0" w:line="110" w:lineRule="exact"/>
        <w:rPr>
          <w:sz w:val="20"/>
          <w:szCs w:val="20"/>
          <w:color w:val="auto"/>
        </w:rPr>
      </w:pPr>
    </w:p>
    <w:p>
      <w:pPr>
        <w:ind w:left="383" w:right="20" w:hanging="383"/>
        <w:spacing w:after="0" w:line="235" w:lineRule="auto"/>
        <w:tabs>
          <w:tab w:leader="none" w:pos="383" w:val="left"/>
        </w:tabs>
        <w:numPr>
          <w:ilvl w:val="0"/>
          <w:numId w:val="31"/>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Further Documents</w:t>
      </w:r>
      <w:r>
        <w:rPr>
          <w:rFonts w:ascii="Calibri" w:cs="Calibri" w:eastAsia="Calibri" w:hAnsi="Calibri"/>
          <w:sz w:val="18"/>
          <w:szCs w:val="18"/>
          <w:color w:val="auto"/>
        </w:rPr>
        <w:t>. Each Party agrees to promptly perform such further acts and to execute and deliver any and all further documents that may reasonably be necessary to efectuate the purposes of this Agreement.</w:t>
      </w:r>
    </w:p>
    <w:p>
      <w:pPr>
        <w:spacing w:after="0" w:line="109" w:lineRule="exact"/>
        <w:rPr>
          <w:rFonts w:ascii="Calibri" w:cs="Calibri" w:eastAsia="Calibri" w:hAnsi="Calibri"/>
          <w:sz w:val="18"/>
          <w:szCs w:val="18"/>
          <w:u w:val="single" w:color="auto"/>
          <w:color w:val="auto"/>
        </w:rPr>
      </w:pPr>
    </w:p>
    <w:p>
      <w:pPr>
        <w:jc w:val="both"/>
        <w:ind w:left="383" w:hanging="383"/>
        <w:spacing w:after="0" w:line="235" w:lineRule="auto"/>
        <w:tabs>
          <w:tab w:leader="none" w:pos="383" w:val="left"/>
        </w:tabs>
        <w:numPr>
          <w:ilvl w:val="0"/>
          <w:numId w:val="31"/>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Third-Party Rights</w:t>
      </w:r>
      <w:r>
        <w:rPr>
          <w:rFonts w:ascii="Calibri" w:cs="Calibri" w:eastAsia="Calibri" w:hAnsi="Calibri"/>
          <w:sz w:val="18"/>
          <w:szCs w:val="18"/>
          <w:color w:val="auto"/>
        </w:rPr>
        <w:t>. Nothing expressed or referred to in this Agreement will be interpreted or construed to give any person or entty, other than the Partes and, to the extent permited by this Agreement, their respectve heirs, successors and assigns any legal or equitable right, remedy or claim under or with respect to this Agreement or any term, conditon or other provision of this Agreement.</w:t>
      </w:r>
    </w:p>
    <w:p>
      <w:pPr>
        <w:spacing w:after="0" w:line="110" w:lineRule="exact"/>
        <w:rPr>
          <w:rFonts w:ascii="Calibri" w:cs="Calibri" w:eastAsia="Calibri" w:hAnsi="Calibri"/>
          <w:sz w:val="18"/>
          <w:szCs w:val="18"/>
          <w:u w:val="single" w:color="auto"/>
          <w:color w:val="auto"/>
        </w:rPr>
      </w:pPr>
    </w:p>
    <w:p>
      <w:pPr>
        <w:jc w:val="both"/>
        <w:ind w:left="383" w:hanging="383"/>
        <w:spacing w:after="0" w:line="235" w:lineRule="auto"/>
        <w:tabs>
          <w:tab w:leader="none" w:pos="383" w:val="left"/>
        </w:tabs>
        <w:numPr>
          <w:ilvl w:val="0"/>
          <w:numId w:val="31"/>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Severability</w:t>
      </w:r>
      <w:r>
        <w:rPr>
          <w:rFonts w:ascii="Calibri" w:cs="Calibri" w:eastAsia="Calibri" w:hAnsi="Calibri"/>
          <w:sz w:val="18"/>
          <w:szCs w:val="18"/>
          <w:color w:val="auto"/>
        </w:rPr>
        <w:t>. If any part of this Agreement is deemed to be invalid by any court of law, the remaining provisions of this Agreement shall remain in full force and efect and may be enforced in accordance with the provisions hereof. Without limitng the generality of the immediately preceding sentence, in the event that a court of competent jurisdicton determines that any provision of this Agreement would be unenforceable, then such provision will automatcally be modifed as may be enforceable and, in additon, such court is hereby expressly authorized to so modify this Agreement and to enforce it as so modifed.</w:t>
      </w:r>
    </w:p>
    <w:p>
      <w:pPr>
        <w:spacing w:after="0" w:line="112" w:lineRule="exact"/>
        <w:rPr>
          <w:rFonts w:ascii="Calibri" w:cs="Calibri" w:eastAsia="Calibri" w:hAnsi="Calibri"/>
          <w:sz w:val="18"/>
          <w:szCs w:val="18"/>
          <w:u w:val="single" w:color="auto"/>
          <w:color w:val="auto"/>
        </w:rPr>
      </w:pPr>
    </w:p>
    <w:p>
      <w:pPr>
        <w:jc w:val="both"/>
        <w:ind w:left="383" w:hanging="383"/>
        <w:spacing w:after="0" w:line="235" w:lineRule="auto"/>
        <w:tabs>
          <w:tab w:leader="none" w:pos="383" w:val="left"/>
        </w:tabs>
        <w:numPr>
          <w:ilvl w:val="0"/>
          <w:numId w:val="31"/>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Specifc Performance</w:t>
      </w:r>
      <w:r>
        <w:rPr>
          <w:rFonts w:ascii="Calibri" w:cs="Calibri" w:eastAsia="Calibri" w:hAnsi="Calibri"/>
          <w:sz w:val="18"/>
          <w:szCs w:val="18"/>
          <w:color w:val="auto"/>
        </w:rPr>
        <w:t>. The Unitholder acknowledges that the rights of the Company to consummate the transactons contemplated hereby are unique, that irreparable damage would occur in the event that any of the provisions of this Agreement were not performed in accordance with their specifc terms or were otherwise breached and that any breach of this Agreement would not be adequately compensated by monetary damages. Accordingly, the Company shall be enttled to specifc performance of the terms hereof, including an injuncton or injunctons to prevent breaches of this Agreement and to enforce specifcally the terms and provisions of this Agreement, this being in additon to any other remedy to which such Party is enttled at law or in equity. The Unitholder hereby waives and agrees not to assert any (i) defense in any acton for specifc performance or any other injunctve or equitable relief that a remedy at law would be adequate and (ii) requirement under any law to post security as a prerequisite to obtaining equitable relief.</w:t>
      </w:r>
    </w:p>
    <w:p>
      <w:pPr>
        <w:spacing w:after="0" w:line="114" w:lineRule="exact"/>
        <w:rPr>
          <w:rFonts w:ascii="Calibri" w:cs="Calibri" w:eastAsia="Calibri" w:hAnsi="Calibri"/>
          <w:sz w:val="18"/>
          <w:szCs w:val="18"/>
          <w:u w:val="single" w:color="auto"/>
          <w:color w:val="auto"/>
        </w:rPr>
      </w:pPr>
    </w:p>
    <w:p>
      <w:pPr>
        <w:jc w:val="both"/>
        <w:ind w:left="383" w:hanging="383"/>
        <w:spacing w:after="0" w:line="235" w:lineRule="auto"/>
        <w:tabs>
          <w:tab w:leader="none" w:pos="383" w:val="left"/>
        </w:tabs>
        <w:numPr>
          <w:ilvl w:val="0"/>
          <w:numId w:val="31"/>
        </w:numPr>
        <w:rPr>
          <w:rFonts w:ascii="Calibri" w:cs="Calibri" w:eastAsia="Calibri" w:hAnsi="Calibri"/>
          <w:sz w:val="18"/>
          <w:szCs w:val="18"/>
          <w:u w:val="single" w:color="auto"/>
          <w:color w:val="auto"/>
        </w:rPr>
      </w:pPr>
      <w:r>
        <w:rPr>
          <w:rFonts w:ascii="Calibri" w:cs="Calibri" w:eastAsia="Calibri" w:hAnsi="Calibri"/>
          <w:sz w:val="18"/>
          <w:szCs w:val="18"/>
          <w:u w:val="single" w:color="auto"/>
          <w:color w:val="auto"/>
        </w:rPr>
        <w:t>Other Unit Issuances</w:t>
      </w:r>
      <w:r>
        <w:rPr>
          <w:rFonts w:ascii="Calibri" w:cs="Calibri" w:eastAsia="Calibri" w:hAnsi="Calibri"/>
          <w:sz w:val="18"/>
          <w:szCs w:val="18"/>
          <w:color w:val="auto"/>
        </w:rPr>
        <w:t xml:space="preserve">. The Unitholder acknowledges that, following the Efectve Date, the Company and/or its afliates may issue, redeem, cancel or exchange equity or equity-based securites, at a price per unit (or other equity interest) or distributon threshold in excess of the per unit price of the Units used to determine the Payment. Subject to the proviso in the frst sentence of </w:t>
      </w:r>
      <w:r>
        <w:rPr>
          <w:rFonts w:ascii="Calibri" w:cs="Calibri" w:eastAsia="Calibri" w:hAnsi="Calibri"/>
          <w:sz w:val="18"/>
          <w:szCs w:val="18"/>
          <w:u w:val="single" w:color="auto"/>
          <w:color w:val="auto"/>
        </w:rPr>
        <w:t>Secton 8</w:t>
      </w:r>
      <w:r>
        <w:rPr>
          <w:rFonts w:ascii="Calibri" w:cs="Calibri" w:eastAsia="Calibri" w:hAnsi="Calibri"/>
          <w:sz w:val="18"/>
          <w:szCs w:val="18"/>
          <w:color w:val="auto"/>
        </w:rPr>
        <w:t xml:space="preserve">, the Unitholder hereby releases the Company and its afliates from all claims relatng to the transactons contemplated by this Agreement, including all claims relatng to the transactons contemplated by this Agreement in connecton with any future issuance of equity or equity-based securites by the Company or any of its afliates. The Unitholder hereby acknowledges that the Payment payable to the Unitholder pursuant to this Agreement provides good and sufcient consideraton for the foregoing release and the release in </w:t>
      </w:r>
      <w:r>
        <w:rPr>
          <w:rFonts w:ascii="Calibri" w:cs="Calibri" w:eastAsia="Calibri" w:hAnsi="Calibri"/>
          <w:sz w:val="18"/>
          <w:szCs w:val="18"/>
          <w:u w:val="single" w:color="auto"/>
          <w:color w:val="auto"/>
        </w:rPr>
        <w:t>Secton 8</w:t>
      </w:r>
      <w:r>
        <w:rPr>
          <w:rFonts w:ascii="Calibri" w:cs="Calibri" w:eastAsia="Calibri" w:hAnsi="Calibri"/>
          <w:sz w:val="18"/>
          <w:szCs w:val="18"/>
          <w:color w:val="auto"/>
        </w:rPr>
        <w:t>.</w:t>
      </w:r>
    </w:p>
    <w:p>
      <w:pPr>
        <w:spacing w:after="0" w:line="109" w:lineRule="exact"/>
        <w:rPr>
          <w:sz w:val="20"/>
          <w:szCs w:val="20"/>
          <w:color w:val="auto"/>
        </w:rPr>
      </w:pPr>
    </w:p>
    <w:p>
      <w:pPr>
        <w:ind w:left="4183"/>
        <w:spacing w:after="0"/>
        <w:rPr>
          <w:sz w:val="20"/>
          <w:szCs w:val="20"/>
          <w:color w:val="auto"/>
        </w:rPr>
      </w:pPr>
      <w:r>
        <w:rPr>
          <w:rFonts w:ascii="Calibri" w:cs="Calibri" w:eastAsia="Calibri" w:hAnsi="Calibri"/>
          <w:sz w:val="18"/>
          <w:szCs w:val="18"/>
          <w:i w:val="1"/>
          <w:iCs w:val="1"/>
          <w:color w:val="auto"/>
        </w:rPr>
        <w:t>[Signature pages follow]</w:t>
      </w:r>
    </w:p>
    <w:p>
      <w:pPr>
        <w:spacing w:after="0" w:line="200" w:lineRule="exact"/>
        <w:rPr>
          <w:sz w:val="20"/>
          <w:szCs w:val="20"/>
          <w:color w:val="auto"/>
        </w:rPr>
      </w:pPr>
    </w:p>
    <w:p>
      <w:pPr>
        <w:spacing w:after="0" w:line="336" w:lineRule="exact"/>
        <w:rPr>
          <w:sz w:val="20"/>
          <w:szCs w:val="20"/>
          <w:color w:val="auto"/>
        </w:rPr>
      </w:pPr>
    </w:p>
    <w:p>
      <w:pPr>
        <w:ind w:left="5003"/>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482600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97" w:top="1440" w:right="339" w:bottom="1440" w:gutter="0" w:footer="0" w:header="0"/>
        </w:sectPr>
      </w:pPr>
    </w:p>
    <w:bookmarkStart w:id="57" w:name="page58"/>
    <w:bookmarkEnd w:id="57"/>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color w:val="auto"/>
        </w:rPr>
        <w:t>IN WITNESS WHEREOF, the Partes have executed this Redempton, Repurchase and Cancellaton Agreement as of the date frst set forth above.</w:t>
      </w:r>
    </w:p>
    <w:p>
      <w:pPr>
        <w:sectPr>
          <w:pgSz w:w="11900" w:h="16838" w:orient="portrait"/>
          <w:cols w:equalWidth="0" w:num="1">
            <w:col w:w="10180"/>
          </w:cols>
          <w:pgMar w:left="320" w:top="1440" w:right="1399"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Calibri" w:cs="Calibri" w:eastAsia="Calibri" w:hAnsi="Calibri"/>
          <w:sz w:val="18"/>
          <w:szCs w:val="18"/>
          <w:b w:val="1"/>
          <w:bCs w:val="1"/>
          <w:color w:val="auto"/>
        </w:rPr>
        <w:t>HOYA TOPCO, LLC</w:t>
      </w:r>
    </w:p>
    <w:p>
      <w:pPr>
        <w:spacing w:after="0" w:line="361" w:lineRule="exact"/>
        <w:rPr>
          <w:sz w:val="20"/>
          <w:szCs w:val="20"/>
          <w:color w:val="auto"/>
        </w:rPr>
      </w:pPr>
    </w:p>
    <w:p>
      <w:pPr>
        <w:ind w:left="5240"/>
        <w:spacing w:after="0"/>
        <w:rPr>
          <w:sz w:val="20"/>
          <w:szCs w:val="20"/>
          <w:color w:val="auto"/>
        </w:rPr>
      </w:pPr>
      <w:r>
        <w:rPr>
          <w:rFonts w:ascii="Calibri" w:cs="Calibri" w:eastAsia="Calibri" w:hAnsi="Calibri"/>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3516630</wp:posOffset>
            </wp:positionH>
            <wp:positionV relativeFrom="paragraph">
              <wp:posOffset>-19050</wp:posOffset>
            </wp:positionV>
            <wp:extent cx="101917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4">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5240"/>
        <w:spacing w:after="0" w:line="235" w:lineRule="auto"/>
        <w:rPr>
          <w:sz w:val="20"/>
          <w:szCs w:val="20"/>
          <w:color w:val="auto"/>
        </w:rPr>
      </w:pPr>
      <w:r>
        <w:rPr>
          <w:rFonts w:ascii="Calibri" w:cs="Calibri" w:eastAsia="Calibri" w:hAnsi="Calibri"/>
          <w:sz w:val="18"/>
          <w:szCs w:val="18"/>
          <w:color w:val="auto"/>
        </w:rPr>
        <w:t>Name:</w:t>
      </w:r>
    </w:p>
    <w:p>
      <w:pPr>
        <w:ind w:left="5240"/>
        <w:spacing w:after="0" w:line="236" w:lineRule="auto"/>
        <w:rPr>
          <w:sz w:val="20"/>
          <w:szCs w:val="20"/>
          <w:color w:val="auto"/>
        </w:rPr>
      </w:pPr>
      <w:r>
        <w:rPr>
          <w:rFonts w:ascii="Calibri" w:cs="Calibri" w:eastAsia="Calibri" w:hAnsi="Calibri"/>
          <w:sz w:val="18"/>
          <w:szCs w:val="18"/>
          <w:color w:val="auto"/>
        </w:rPr>
        <w:t>Title:</w:t>
      </w:r>
    </w:p>
    <w:p>
      <w:pPr>
        <w:ind w:left="5240"/>
        <w:spacing w:after="0" w:line="236" w:lineRule="auto"/>
        <w:rPr>
          <w:sz w:val="20"/>
          <w:szCs w:val="20"/>
          <w:color w:val="auto"/>
        </w:rPr>
      </w:pPr>
      <w:r>
        <w:rPr>
          <w:rFonts w:ascii="Calibri" w:cs="Calibri" w:eastAsia="Calibri" w:hAnsi="Calibri"/>
          <w:sz w:val="18"/>
          <w:szCs w:val="18"/>
          <w:color w:val="auto"/>
        </w:rPr>
        <w:t>Date:</w:t>
      </w:r>
    </w:p>
    <w:p>
      <w:pPr>
        <w:spacing w:after="0" w:line="361" w:lineRule="exact"/>
        <w:rPr>
          <w:sz w:val="20"/>
          <w:szCs w:val="20"/>
          <w:color w:val="auto"/>
        </w:rPr>
      </w:pPr>
    </w:p>
    <w:p>
      <w:pPr>
        <w:ind w:left="5240"/>
        <w:spacing w:after="0"/>
        <w:rPr>
          <w:sz w:val="20"/>
          <w:szCs w:val="20"/>
          <w:color w:val="auto"/>
        </w:rPr>
      </w:pPr>
      <w:r>
        <w:rPr>
          <w:rFonts w:ascii="Calibri" w:cs="Calibri" w:eastAsia="Calibri" w:hAnsi="Calibri"/>
          <w:sz w:val="18"/>
          <w:szCs w:val="18"/>
          <w:b w:val="1"/>
          <w:bCs w:val="1"/>
          <w:color w:val="auto"/>
        </w:rPr>
        <w:t>UNITHOLDER</w:t>
      </w:r>
    </w:p>
    <w:p>
      <w:pPr>
        <w:spacing w:after="0" w:line="347" w:lineRule="exact"/>
        <w:rPr>
          <w:sz w:val="20"/>
          <w:szCs w:val="20"/>
          <w:color w:val="auto"/>
        </w:rPr>
      </w:pPr>
    </w:p>
    <w:p>
      <w:pPr>
        <w:ind w:left="5240"/>
        <w:spacing w:after="0"/>
        <w:rPr>
          <w:sz w:val="20"/>
          <w:szCs w:val="20"/>
          <w:color w:val="auto"/>
        </w:rPr>
      </w:pPr>
      <w:r>
        <w:rPr>
          <w:rFonts w:ascii="Calibri" w:cs="Calibri" w:eastAsia="Calibri" w:hAnsi="Calibri"/>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3516630</wp:posOffset>
            </wp:positionH>
            <wp:positionV relativeFrom="paragraph">
              <wp:posOffset>-19050</wp:posOffset>
            </wp:positionV>
            <wp:extent cx="101917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5">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5240"/>
        <w:spacing w:after="0" w:line="235" w:lineRule="auto"/>
        <w:rPr>
          <w:sz w:val="20"/>
          <w:szCs w:val="20"/>
          <w:color w:val="auto"/>
        </w:rPr>
      </w:pPr>
      <w:r>
        <w:rPr>
          <w:rFonts w:ascii="Calibri" w:cs="Calibri" w:eastAsia="Calibri" w:hAnsi="Calibri"/>
          <w:sz w:val="18"/>
          <w:szCs w:val="18"/>
          <w:color w:val="auto"/>
        </w:rPr>
        <w:t>Name:</w:t>
      </w:r>
    </w:p>
    <w:p>
      <w:pPr>
        <w:ind w:left="5240"/>
        <w:spacing w:after="0" w:line="236" w:lineRule="auto"/>
        <w:rPr>
          <w:sz w:val="20"/>
          <w:szCs w:val="20"/>
          <w:color w:val="auto"/>
        </w:rPr>
      </w:pPr>
      <w:r>
        <w:rPr>
          <w:rFonts w:ascii="Calibri" w:cs="Calibri" w:eastAsia="Calibri" w:hAnsi="Calibri"/>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560"/>
        <w:spacing w:after="0"/>
        <w:rPr>
          <w:sz w:val="20"/>
          <w:szCs w:val="20"/>
          <w:color w:val="auto"/>
        </w:rPr>
      </w:pPr>
      <w:r>
        <w:rPr>
          <w:rFonts w:ascii="Calibri" w:cs="Calibri" w:eastAsia="Calibri" w:hAnsi="Calibri"/>
          <w:sz w:val="17"/>
          <w:szCs w:val="17"/>
          <w:color w:val="auto"/>
        </w:rPr>
        <w:t>[Signature Page – Redempton, Repurchase and Cancellaton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20" w:top="1440" w:right="1399" w:bottom="1440" w:gutter="0" w:footer="0" w:header="0"/>
          <w:type w:val="continuous"/>
        </w:sectPr>
      </w:pPr>
    </w:p>
    <w:bookmarkStart w:id="58" w:name="page59"/>
    <w:bookmarkEnd w:id="58"/>
    <w:p>
      <w:pPr>
        <w:spacing w:after="0" w:line="117"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b w:val="1"/>
          <w:bCs w:val="1"/>
          <w:color w:val="auto"/>
        </w:rPr>
        <w:t>EXHIBIT A</w:t>
      </w:r>
    </w:p>
    <w:p>
      <w:pPr>
        <w:spacing w:after="0" w:line="104"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b w:val="1"/>
          <w:bCs w:val="1"/>
          <w:color w:val="auto"/>
        </w:rPr>
        <w:t>ASSIGNMENT SEPARATE FROM CERTIFICATE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VALUE RECEIVED, [•] does hereby sell, assign and transfer unto Hoya Topco, LLC, a Delaware limited liability company (the “</w:t>
      </w:r>
      <w:r>
        <w:rPr>
          <w:rFonts w:ascii="Calibri" w:cs="Calibri" w:eastAsia="Calibri" w:hAnsi="Calibri"/>
          <w:sz w:val="18"/>
          <w:szCs w:val="18"/>
          <w:b w:val="1"/>
          <w:bCs w:val="1"/>
          <w:i w:val="1"/>
          <w:iCs w:val="1"/>
          <w:color w:val="auto"/>
        </w:rPr>
        <w:t>Company</w:t>
      </w:r>
      <w:r>
        <w:rPr>
          <w:rFonts w:ascii="Calibri" w:cs="Calibri" w:eastAsia="Calibri" w:hAnsi="Calibri"/>
          <w:sz w:val="18"/>
          <w:szCs w:val="18"/>
          <w:color w:val="auto"/>
        </w:rPr>
        <w:t>”), [•] Class B-1 Incentve Units of the Company standing in the undersigned’s name on the books of the Company represented by Certfcate Nos. [•] herewith and does hereby irrevocably consttute and appoint each principal of GTCR LLC, GTCR Golder Rauner, L.L.C. or GTCR Golder Rauner II, L.L.C. (actng alone or with one or more other such principals) as atorney to transfer the said securites on the books of the Company with full power of substtuton in the premises.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Dated as of [•].</w:t>
      </w:r>
    </w:p>
    <w:p>
      <w:pPr>
        <w:spacing w:after="0" w:line="347" w:lineRule="exact"/>
        <w:rPr>
          <w:sz w:val="20"/>
          <w:szCs w:val="20"/>
          <w:color w:val="auto"/>
        </w:rPr>
      </w:pPr>
    </w:p>
    <w:p>
      <w:pPr>
        <w:ind w:left="5240"/>
        <w:spacing w:after="0"/>
        <w:rPr>
          <w:sz w:val="20"/>
          <w:szCs w:val="20"/>
          <w:color w:val="auto"/>
        </w:rPr>
      </w:pPr>
      <w:r>
        <w:rPr>
          <w:rFonts w:ascii="Calibri" w:cs="Calibri" w:eastAsia="Calibri" w:hAnsi="Calibri"/>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3516630</wp:posOffset>
            </wp:positionH>
            <wp:positionV relativeFrom="paragraph">
              <wp:posOffset>-18415</wp:posOffset>
            </wp:positionV>
            <wp:extent cx="101917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7">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jc w:val="center"/>
        <w:ind w:right="240"/>
        <w:spacing w:after="0" w:line="235" w:lineRule="auto"/>
        <w:rPr>
          <w:sz w:val="20"/>
          <w:szCs w:val="20"/>
          <w:color w:val="auto"/>
        </w:rPr>
      </w:pPr>
      <w:r>
        <w:rPr>
          <w:rFonts w:ascii="Calibri" w:cs="Calibri" w:eastAsia="Calibri" w:hAnsi="Calibri"/>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894080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9" w:name="page60"/>
    <w:bookmarkEnd w:id="59"/>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60" w:type="dxa"/>
            <w:vAlign w:val="bottom"/>
            <w:gridSpan w:val="3"/>
          </w:tcPr>
          <w:p>
            <w:pPr>
              <w:ind w:left="640"/>
              <w:spacing w:after="0"/>
              <w:rPr>
                <w:sz w:val="20"/>
                <w:szCs w:val="20"/>
                <w:color w:val="auto"/>
              </w:rPr>
            </w:pPr>
            <w:r>
              <w:rPr>
                <w:rFonts w:ascii="Calibri" w:cs="Calibri" w:eastAsia="Calibri" w:hAnsi="Calibri"/>
                <w:sz w:val="18"/>
                <w:szCs w:val="18"/>
                <w:b w:val="1"/>
                <w:bCs w:val="1"/>
                <w:color w:val="auto"/>
              </w:rPr>
              <w:t>SCHEDULE 1</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05"/>
        </w:trPr>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Original Number of</w:t>
            </w:r>
          </w:p>
        </w:tc>
        <w:tc>
          <w:tcPr>
            <w:tcW w:w="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Calibri" w:cs="Calibri" w:eastAsia="Calibri" w:hAnsi="Calibri"/>
                <w:sz w:val="18"/>
                <w:szCs w:val="18"/>
                <w:b w:val="1"/>
                <w:bCs w:val="1"/>
                <w:color w:val="auto"/>
                <w:w w:val="96"/>
              </w:rPr>
              <w:t>Number of</w:t>
            </w:r>
          </w:p>
        </w:tc>
        <w:tc>
          <w:tcPr>
            <w:tcW w:w="18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Calibri" w:cs="Calibri" w:eastAsia="Calibri" w:hAnsi="Calibri"/>
                <w:sz w:val="18"/>
                <w:szCs w:val="18"/>
                <w:b w:val="1"/>
                <w:bCs w:val="1"/>
                <w:color w:val="auto"/>
                <w:w w:val="96"/>
              </w:rPr>
              <w:t>Number of Currently</w:t>
            </w:r>
          </w:p>
        </w:tc>
        <w:tc>
          <w:tcPr>
            <w:tcW w:w="18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Calibri" w:cs="Calibri" w:eastAsia="Calibri" w:hAnsi="Calibri"/>
                <w:sz w:val="18"/>
                <w:szCs w:val="18"/>
                <w:b w:val="1"/>
                <w:bCs w:val="1"/>
                <w:color w:val="auto"/>
                <w:w w:val="95"/>
              </w:rPr>
              <w:t>Total Number of</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9"/>
              </w:rPr>
              <w:t>Class B Incentve</w:t>
            </w:r>
          </w:p>
        </w:tc>
        <w:tc>
          <w:tcPr>
            <w:tcW w:w="180" w:type="dxa"/>
            <w:vAlign w:val="bottom"/>
          </w:tcPr>
          <w:p>
            <w:pPr>
              <w:spacing w:after="0"/>
              <w:rPr>
                <w:sz w:val="18"/>
                <w:szCs w:val="18"/>
                <w:color w:val="auto"/>
              </w:rPr>
            </w:pPr>
          </w:p>
        </w:tc>
        <w:tc>
          <w:tcPr>
            <w:tcW w:w="12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Vested Class B</w:t>
            </w:r>
          </w:p>
        </w:tc>
        <w:tc>
          <w:tcPr>
            <w:tcW w:w="180" w:type="dxa"/>
            <w:vAlign w:val="bottom"/>
          </w:tcPr>
          <w:p>
            <w:pPr>
              <w:spacing w:after="0"/>
              <w:rPr>
                <w:sz w:val="18"/>
                <w:szCs w:val="18"/>
                <w:color w:val="auto"/>
              </w:rPr>
            </w:pPr>
          </w:p>
        </w:tc>
        <w:tc>
          <w:tcPr>
            <w:tcW w:w="16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Unvested Class B</w:t>
            </w:r>
          </w:p>
        </w:tc>
        <w:tc>
          <w:tcPr>
            <w:tcW w:w="180" w:type="dxa"/>
            <w:vAlign w:val="bottom"/>
          </w:tcPr>
          <w:p>
            <w:pPr>
              <w:spacing w:after="0"/>
              <w:rPr>
                <w:sz w:val="18"/>
                <w:szCs w:val="18"/>
                <w:color w:val="auto"/>
              </w:rPr>
            </w:pPr>
          </w:p>
        </w:tc>
        <w:tc>
          <w:tcPr>
            <w:tcW w:w="16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Repurchased Class B</w:t>
            </w:r>
          </w:p>
        </w:tc>
        <w:tc>
          <w:tcPr>
            <w:tcW w:w="180" w:type="dxa"/>
            <w:vAlign w:val="bottom"/>
          </w:tcPr>
          <w:p>
            <w:pPr>
              <w:spacing w:after="0"/>
              <w:rPr>
                <w:sz w:val="18"/>
                <w:szCs w:val="18"/>
                <w:color w:val="auto"/>
              </w:rPr>
            </w:pPr>
          </w:p>
        </w:tc>
        <w:tc>
          <w:tcPr>
            <w:tcW w:w="15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9"/>
              </w:rPr>
              <w:t>Redempton Unit</w:t>
            </w:r>
          </w:p>
        </w:tc>
      </w:tr>
      <w:tr>
        <w:trPr>
          <w:trHeight w:val="216"/>
        </w:trPr>
        <w:tc>
          <w:tcPr>
            <w:tcW w:w="12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Unitholder</w:t>
            </w:r>
          </w:p>
        </w:tc>
        <w:tc>
          <w:tcPr>
            <w:tcW w:w="180" w:type="dxa"/>
            <w:vAlign w:val="bottom"/>
          </w:tcPr>
          <w:p>
            <w:pPr>
              <w:spacing w:after="0"/>
              <w:rPr>
                <w:sz w:val="18"/>
                <w:szCs w:val="18"/>
                <w:color w:val="auto"/>
              </w:rPr>
            </w:pPr>
          </w:p>
        </w:tc>
        <w:tc>
          <w:tcPr>
            <w:tcW w:w="12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4"/>
              </w:rPr>
              <w:t>Grant Date</w:t>
            </w:r>
          </w:p>
        </w:tc>
        <w:tc>
          <w:tcPr>
            <w:tcW w:w="18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Units</w:t>
            </w:r>
          </w:p>
        </w:tc>
        <w:tc>
          <w:tcPr>
            <w:tcW w:w="180" w:type="dxa"/>
            <w:vAlign w:val="bottom"/>
          </w:tcPr>
          <w:p>
            <w:pPr>
              <w:spacing w:after="0"/>
              <w:rPr>
                <w:sz w:val="18"/>
                <w:szCs w:val="18"/>
                <w:color w:val="auto"/>
              </w:rPr>
            </w:pPr>
          </w:p>
        </w:tc>
        <w:tc>
          <w:tcPr>
            <w:tcW w:w="12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Incentve Units</w:t>
            </w:r>
          </w:p>
        </w:tc>
        <w:tc>
          <w:tcPr>
            <w:tcW w:w="180" w:type="dxa"/>
            <w:vAlign w:val="bottom"/>
          </w:tcPr>
          <w:p>
            <w:pPr>
              <w:spacing w:after="0"/>
              <w:rPr>
                <w:sz w:val="18"/>
                <w:szCs w:val="18"/>
                <w:color w:val="auto"/>
              </w:rPr>
            </w:pPr>
          </w:p>
        </w:tc>
        <w:tc>
          <w:tcPr>
            <w:tcW w:w="16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Incentve Units</w:t>
            </w:r>
          </w:p>
        </w:tc>
        <w:tc>
          <w:tcPr>
            <w:tcW w:w="180" w:type="dxa"/>
            <w:vAlign w:val="bottom"/>
          </w:tcPr>
          <w:p>
            <w:pPr>
              <w:spacing w:after="0"/>
              <w:rPr>
                <w:sz w:val="18"/>
                <w:szCs w:val="18"/>
                <w:color w:val="auto"/>
              </w:rPr>
            </w:pPr>
          </w:p>
        </w:tc>
        <w:tc>
          <w:tcPr>
            <w:tcW w:w="16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Incentve Units</w:t>
            </w:r>
          </w:p>
        </w:tc>
        <w:tc>
          <w:tcPr>
            <w:tcW w:w="180" w:type="dxa"/>
            <w:vAlign w:val="bottom"/>
          </w:tcPr>
          <w:p>
            <w:pPr>
              <w:spacing w:after="0"/>
              <w:rPr>
                <w:sz w:val="18"/>
                <w:szCs w:val="18"/>
                <w:color w:val="auto"/>
              </w:rPr>
            </w:pPr>
          </w:p>
        </w:tc>
        <w:tc>
          <w:tcPr>
            <w:tcW w:w="15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Payment</w:t>
            </w:r>
          </w:p>
        </w:tc>
      </w:tr>
      <w:tr>
        <w:trPr>
          <w:trHeight w:val="37"/>
        </w:trPr>
        <w:tc>
          <w:tcPr>
            <w:tcW w:w="12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13"/>
        </w:trPr>
        <w:tc>
          <w:tcPr>
            <w:tcW w:w="1240" w:type="dxa"/>
            <w:vAlign w:val="bottom"/>
          </w:tcPr>
          <w:p>
            <w:pPr>
              <w:jc w:val="center"/>
              <w:spacing w:after="0" w:line="213" w:lineRule="exact"/>
              <w:rPr>
                <w:sz w:val="20"/>
                <w:szCs w:val="20"/>
                <w:color w:val="auto"/>
              </w:rPr>
            </w:pPr>
            <w:r>
              <w:rPr>
                <w:rFonts w:ascii="Calibri" w:cs="Calibri" w:eastAsia="Calibri" w:hAnsi="Calibri"/>
                <w:sz w:val="18"/>
                <w:szCs w:val="18"/>
                <w:color w:val="auto"/>
                <w:w w:val="99"/>
              </w:rPr>
              <w:t>[•]</w:t>
            </w:r>
          </w:p>
        </w:tc>
        <w:tc>
          <w:tcPr>
            <w:tcW w:w="180" w:type="dxa"/>
            <w:vAlign w:val="bottom"/>
          </w:tcPr>
          <w:p>
            <w:pPr>
              <w:spacing w:after="0"/>
              <w:rPr>
                <w:sz w:val="18"/>
                <w:szCs w:val="18"/>
                <w:color w:val="auto"/>
              </w:rPr>
            </w:pPr>
          </w:p>
        </w:tc>
        <w:tc>
          <w:tcPr>
            <w:tcW w:w="1220" w:type="dxa"/>
            <w:vAlign w:val="bottom"/>
          </w:tcPr>
          <w:p>
            <w:pPr>
              <w:jc w:val="center"/>
              <w:spacing w:after="0" w:line="213" w:lineRule="exact"/>
              <w:rPr>
                <w:sz w:val="20"/>
                <w:szCs w:val="20"/>
                <w:color w:val="auto"/>
              </w:rPr>
            </w:pPr>
            <w:r>
              <w:rPr>
                <w:rFonts w:ascii="Calibri" w:cs="Calibri" w:eastAsia="Calibri" w:hAnsi="Calibri"/>
                <w:sz w:val="18"/>
                <w:szCs w:val="18"/>
                <w:color w:val="auto"/>
                <w:w w:val="89"/>
              </w:rPr>
              <w:t>[•]</w:t>
            </w:r>
          </w:p>
        </w:tc>
        <w:tc>
          <w:tcPr>
            <w:tcW w:w="180" w:type="dxa"/>
            <w:vAlign w:val="bottom"/>
          </w:tcPr>
          <w:p>
            <w:pPr>
              <w:spacing w:after="0"/>
              <w:rPr>
                <w:sz w:val="18"/>
                <w:szCs w:val="18"/>
                <w:color w:val="auto"/>
              </w:rPr>
            </w:pPr>
          </w:p>
        </w:tc>
        <w:tc>
          <w:tcPr>
            <w:tcW w:w="1440" w:type="dxa"/>
            <w:vAlign w:val="bottom"/>
          </w:tcPr>
          <w:p>
            <w:pPr>
              <w:jc w:val="center"/>
              <w:spacing w:after="0" w:line="213" w:lineRule="exact"/>
              <w:rPr>
                <w:sz w:val="20"/>
                <w:szCs w:val="20"/>
                <w:color w:val="auto"/>
              </w:rPr>
            </w:pPr>
            <w:r>
              <w:rPr>
                <w:rFonts w:ascii="Calibri" w:cs="Calibri" w:eastAsia="Calibri" w:hAnsi="Calibri"/>
                <w:sz w:val="18"/>
                <w:szCs w:val="18"/>
                <w:color w:val="auto"/>
                <w:w w:val="99"/>
              </w:rPr>
              <w:t>[•]</w:t>
            </w:r>
          </w:p>
        </w:tc>
        <w:tc>
          <w:tcPr>
            <w:tcW w:w="180" w:type="dxa"/>
            <w:vAlign w:val="bottom"/>
          </w:tcPr>
          <w:p>
            <w:pPr>
              <w:spacing w:after="0"/>
              <w:rPr>
                <w:sz w:val="18"/>
                <w:szCs w:val="18"/>
                <w:color w:val="auto"/>
              </w:rPr>
            </w:pPr>
          </w:p>
        </w:tc>
        <w:tc>
          <w:tcPr>
            <w:tcW w:w="1220" w:type="dxa"/>
            <w:vAlign w:val="bottom"/>
          </w:tcPr>
          <w:p>
            <w:pPr>
              <w:jc w:val="center"/>
              <w:spacing w:after="0" w:line="213" w:lineRule="exact"/>
              <w:rPr>
                <w:sz w:val="20"/>
                <w:szCs w:val="20"/>
                <w:color w:val="auto"/>
              </w:rPr>
            </w:pPr>
            <w:r>
              <w:rPr>
                <w:rFonts w:ascii="Calibri" w:cs="Calibri" w:eastAsia="Calibri" w:hAnsi="Calibri"/>
                <w:sz w:val="18"/>
                <w:szCs w:val="18"/>
                <w:color w:val="auto"/>
                <w:w w:val="99"/>
              </w:rPr>
              <w:t>[•]</w:t>
            </w:r>
          </w:p>
        </w:tc>
        <w:tc>
          <w:tcPr>
            <w:tcW w:w="180" w:type="dxa"/>
            <w:vAlign w:val="bottom"/>
          </w:tcPr>
          <w:p>
            <w:pPr>
              <w:spacing w:after="0"/>
              <w:rPr>
                <w:sz w:val="18"/>
                <w:szCs w:val="18"/>
                <w:color w:val="auto"/>
              </w:rPr>
            </w:pPr>
          </w:p>
        </w:tc>
        <w:tc>
          <w:tcPr>
            <w:tcW w:w="1660" w:type="dxa"/>
            <w:vAlign w:val="bottom"/>
          </w:tcPr>
          <w:p>
            <w:pPr>
              <w:jc w:val="center"/>
              <w:spacing w:after="0" w:line="213" w:lineRule="exact"/>
              <w:rPr>
                <w:sz w:val="20"/>
                <w:szCs w:val="20"/>
                <w:color w:val="auto"/>
              </w:rPr>
            </w:pPr>
            <w:r>
              <w:rPr>
                <w:rFonts w:ascii="Calibri" w:cs="Calibri" w:eastAsia="Calibri" w:hAnsi="Calibri"/>
                <w:sz w:val="18"/>
                <w:szCs w:val="18"/>
                <w:color w:val="auto"/>
                <w:w w:val="99"/>
              </w:rPr>
              <w:t>[•]</w:t>
            </w:r>
          </w:p>
        </w:tc>
        <w:tc>
          <w:tcPr>
            <w:tcW w:w="180" w:type="dxa"/>
            <w:vAlign w:val="bottom"/>
          </w:tcPr>
          <w:p>
            <w:pPr>
              <w:spacing w:after="0"/>
              <w:rPr>
                <w:sz w:val="18"/>
                <w:szCs w:val="18"/>
                <w:color w:val="auto"/>
              </w:rPr>
            </w:pPr>
          </w:p>
        </w:tc>
        <w:tc>
          <w:tcPr>
            <w:tcW w:w="1660" w:type="dxa"/>
            <w:vAlign w:val="bottom"/>
          </w:tcPr>
          <w:p>
            <w:pPr>
              <w:jc w:val="center"/>
              <w:spacing w:after="0" w:line="213" w:lineRule="exact"/>
              <w:rPr>
                <w:sz w:val="20"/>
                <w:szCs w:val="20"/>
                <w:color w:val="auto"/>
              </w:rPr>
            </w:pPr>
            <w:r>
              <w:rPr>
                <w:rFonts w:ascii="Calibri" w:cs="Calibri" w:eastAsia="Calibri" w:hAnsi="Calibri"/>
                <w:sz w:val="18"/>
                <w:szCs w:val="18"/>
                <w:color w:val="auto"/>
                <w:w w:val="89"/>
              </w:rPr>
              <w:t>[•]</w:t>
            </w:r>
          </w:p>
        </w:tc>
        <w:tc>
          <w:tcPr>
            <w:tcW w:w="180" w:type="dxa"/>
            <w:vAlign w:val="bottom"/>
          </w:tcPr>
          <w:p>
            <w:pPr>
              <w:spacing w:after="0"/>
              <w:rPr>
                <w:sz w:val="18"/>
                <w:szCs w:val="18"/>
                <w:color w:val="auto"/>
              </w:rPr>
            </w:pPr>
          </w:p>
        </w:tc>
        <w:tc>
          <w:tcPr>
            <w:tcW w:w="1520" w:type="dxa"/>
            <w:vAlign w:val="bottom"/>
          </w:tcPr>
          <w:p>
            <w:pPr>
              <w:jc w:val="center"/>
              <w:spacing w:after="0" w:line="213" w:lineRule="exact"/>
              <w:rPr>
                <w:sz w:val="20"/>
                <w:szCs w:val="20"/>
                <w:color w:val="auto"/>
              </w:rPr>
            </w:pPr>
            <w:r>
              <w:rPr>
                <w:rFonts w:ascii="Calibri" w:cs="Calibri" w:eastAsia="Calibri" w:hAnsi="Calibri"/>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020"/>
        <w:spacing w:after="0"/>
        <w:rPr>
          <w:sz w:val="20"/>
          <w:szCs w:val="20"/>
          <w:color w:val="auto"/>
        </w:rPr>
      </w:pPr>
      <w:r>
        <w:rPr>
          <w:rFonts w:ascii="Calibri" w:cs="Calibri" w:eastAsia="Calibri" w:hAnsi="Calibri"/>
          <w:sz w:val="17"/>
          <w:szCs w:val="17"/>
          <w:color w:val="auto"/>
        </w:rPr>
        <w:t>Unitholder Inital Here: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898525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60" w:name="page61"/>
    <w:bookmarkEnd w:id="60"/>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tcPr>
          <w:p>
            <w:pPr>
              <w:ind w:left="3120"/>
              <w:spacing w:after="0"/>
              <w:rPr>
                <w:sz w:val="20"/>
                <w:szCs w:val="20"/>
                <w:color w:val="auto"/>
              </w:rPr>
            </w:pPr>
            <w:r>
              <w:rPr>
                <w:rFonts w:ascii="Calibri" w:cs="Calibri" w:eastAsia="Calibri" w:hAnsi="Calibri"/>
                <w:sz w:val="18"/>
                <w:szCs w:val="18"/>
                <w:b w:val="1"/>
                <w:bCs w:val="1"/>
                <w:color w:val="auto"/>
              </w:rPr>
              <w:t>SCHEDULE 2</w:t>
            </w:r>
          </w:p>
        </w:tc>
        <w:tc>
          <w:tcPr>
            <w:tcW w:w="2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5"/>
        </w:trPr>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Calibri" w:cs="Calibri" w:eastAsia="Calibri" w:hAnsi="Calibri"/>
                <w:sz w:val="18"/>
                <w:szCs w:val="18"/>
                <w:b w:val="1"/>
                <w:bCs w:val="1"/>
                <w:color w:val="auto"/>
                <w:w w:val="96"/>
              </w:rPr>
              <w:t>Unitholder</w:t>
            </w:r>
          </w:p>
        </w:tc>
        <w:tc>
          <w:tcPr>
            <w:tcW w:w="18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Calibri" w:cs="Calibri" w:eastAsia="Calibri" w:hAnsi="Calibri"/>
                <w:sz w:val="18"/>
                <w:szCs w:val="18"/>
                <w:b w:val="1"/>
                <w:bCs w:val="1"/>
                <w:color w:val="auto"/>
                <w:w w:val="98"/>
              </w:rPr>
              <w:t>Type of Underwater Incentve Units</w:t>
            </w:r>
          </w:p>
        </w:tc>
        <w:tc>
          <w:tcPr>
            <w:tcW w:w="200" w:type="dxa"/>
            <w:vAlign w:val="bottom"/>
          </w:tcPr>
          <w:p>
            <w:pPr>
              <w:spacing w:after="0"/>
              <w:rPr>
                <w:sz w:val="24"/>
                <w:szCs w:val="24"/>
                <w:color w:val="auto"/>
              </w:rPr>
            </w:pPr>
          </w:p>
        </w:tc>
        <w:tc>
          <w:tcPr>
            <w:tcW w:w="4640" w:type="dxa"/>
            <w:vAlign w:val="bottom"/>
            <w:gridSpan w:val="2"/>
          </w:tcPr>
          <w:p>
            <w:pPr>
              <w:jc w:val="center"/>
              <w:ind w:right="100"/>
              <w:spacing w:after="0"/>
              <w:rPr>
                <w:sz w:val="20"/>
                <w:szCs w:val="20"/>
                <w:color w:val="auto"/>
              </w:rPr>
            </w:pPr>
            <w:r>
              <w:rPr>
                <w:rFonts w:ascii="Calibri" w:cs="Calibri" w:eastAsia="Calibri" w:hAnsi="Calibri"/>
                <w:sz w:val="18"/>
                <w:szCs w:val="18"/>
                <w:b w:val="1"/>
                <w:bCs w:val="1"/>
                <w:color w:val="auto"/>
                <w:w w:val="97"/>
              </w:rPr>
              <w:t>Total Number of Underwater Incentve Units</w:t>
            </w:r>
          </w:p>
        </w:tc>
      </w:tr>
      <w:tr>
        <w:trPr>
          <w:trHeight w:val="37"/>
        </w:trPr>
        <w:tc>
          <w:tcPr>
            <w:tcW w:w="10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3"/>
        </w:trPr>
        <w:tc>
          <w:tcPr>
            <w:tcW w:w="100" w:type="dxa"/>
            <w:vAlign w:val="bottom"/>
          </w:tcPr>
          <w:p>
            <w:pPr>
              <w:spacing w:after="0"/>
              <w:rPr>
                <w:sz w:val="18"/>
                <w:szCs w:val="18"/>
                <w:color w:val="auto"/>
              </w:rPr>
            </w:pPr>
          </w:p>
        </w:tc>
        <w:tc>
          <w:tcPr>
            <w:tcW w:w="1780" w:type="dxa"/>
            <w:vAlign w:val="bottom"/>
          </w:tcPr>
          <w:p>
            <w:pPr>
              <w:jc w:val="center"/>
              <w:spacing w:after="0" w:line="213" w:lineRule="exact"/>
              <w:rPr>
                <w:sz w:val="20"/>
                <w:szCs w:val="20"/>
                <w:color w:val="auto"/>
              </w:rPr>
            </w:pPr>
            <w:r>
              <w:rPr>
                <w:rFonts w:ascii="Calibri" w:cs="Calibri" w:eastAsia="Calibri" w:hAnsi="Calibri"/>
                <w:sz w:val="18"/>
                <w:szCs w:val="18"/>
                <w:color w:val="auto"/>
                <w:w w:val="99"/>
              </w:rPr>
              <w:t>[•]</w:t>
            </w:r>
          </w:p>
        </w:tc>
        <w:tc>
          <w:tcPr>
            <w:tcW w:w="180" w:type="dxa"/>
            <w:vAlign w:val="bottom"/>
          </w:tcPr>
          <w:p>
            <w:pPr>
              <w:spacing w:after="0"/>
              <w:rPr>
                <w:sz w:val="18"/>
                <w:szCs w:val="18"/>
                <w:color w:val="auto"/>
              </w:rPr>
            </w:pPr>
          </w:p>
        </w:tc>
        <w:tc>
          <w:tcPr>
            <w:tcW w:w="4340" w:type="dxa"/>
            <w:vAlign w:val="bottom"/>
          </w:tcPr>
          <w:p>
            <w:pPr>
              <w:jc w:val="center"/>
              <w:spacing w:after="0" w:line="213" w:lineRule="exact"/>
              <w:rPr>
                <w:sz w:val="20"/>
                <w:szCs w:val="20"/>
                <w:color w:val="auto"/>
              </w:rPr>
            </w:pPr>
            <w:r>
              <w:rPr>
                <w:rFonts w:ascii="Calibri" w:cs="Calibri" w:eastAsia="Calibri" w:hAnsi="Calibri"/>
                <w:sz w:val="18"/>
                <w:szCs w:val="18"/>
                <w:color w:val="auto"/>
                <w:w w:val="99"/>
              </w:rPr>
              <w:t>[•]</w:t>
            </w:r>
          </w:p>
        </w:tc>
        <w:tc>
          <w:tcPr>
            <w:tcW w:w="200" w:type="dxa"/>
            <w:vAlign w:val="bottom"/>
          </w:tcPr>
          <w:p>
            <w:pPr>
              <w:spacing w:after="0"/>
              <w:rPr>
                <w:sz w:val="18"/>
                <w:szCs w:val="18"/>
                <w:color w:val="auto"/>
              </w:rPr>
            </w:pPr>
          </w:p>
        </w:tc>
        <w:tc>
          <w:tcPr>
            <w:tcW w:w="4640" w:type="dxa"/>
            <w:vAlign w:val="bottom"/>
            <w:gridSpan w:val="2"/>
          </w:tcPr>
          <w:p>
            <w:pPr>
              <w:jc w:val="center"/>
              <w:ind w:right="100"/>
              <w:spacing w:after="0" w:line="213" w:lineRule="exact"/>
              <w:rPr>
                <w:sz w:val="20"/>
                <w:szCs w:val="20"/>
                <w:color w:val="auto"/>
              </w:rPr>
            </w:pPr>
            <w:r>
              <w:rPr>
                <w:rFonts w:ascii="Calibri" w:cs="Calibri" w:eastAsia="Calibri" w:hAnsi="Calibri"/>
                <w:sz w:val="18"/>
                <w:szCs w:val="18"/>
                <w:color w:val="auto"/>
                <w:w w:val="89"/>
              </w:rPr>
              <w:t>[•]</w:t>
            </w:r>
          </w:p>
        </w:tc>
      </w:tr>
      <w:tr>
        <w:trPr>
          <w:trHeight w:val="770"/>
        </w:trPr>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gridSpan w:val="2"/>
          </w:tcPr>
          <w:p>
            <w:pPr>
              <w:ind w:left="2520"/>
              <w:spacing w:after="0"/>
              <w:rPr>
                <w:sz w:val="20"/>
                <w:szCs w:val="20"/>
                <w:color w:val="auto"/>
              </w:rPr>
            </w:pPr>
            <w:r>
              <w:rPr>
                <w:rFonts w:ascii="Calibri" w:cs="Calibri" w:eastAsia="Calibri" w:hAnsi="Calibri"/>
                <w:sz w:val="18"/>
                <w:szCs w:val="18"/>
                <w:color w:val="auto"/>
                <w:w w:val="98"/>
              </w:rPr>
              <w:t>Unitholder Inital Here: _____</w:t>
            </w:r>
          </w:p>
        </w:tc>
      </w:tr>
      <w:tr>
        <w:trPr>
          <w:trHeight w:val="1434"/>
        </w:trPr>
        <w:tc>
          <w:tcPr>
            <w:tcW w:w="1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18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SCHEDULE 3</w:t>
            </w:r>
          </w:p>
        </w:tc>
        <w:tc>
          <w:tcPr>
            <w:tcW w:w="1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5"/>
        </w:trPr>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Calibri" w:cs="Calibri" w:eastAsia="Calibri" w:hAnsi="Calibri"/>
                <w:sz w:val="18"/>
                <w:szCs w:val="18"/>
                <w:b w:val="1"/>
                <w:bCs w:val="1"/>
                <w:color w:val="auto"/>
                <w:w w:val="96"/>
              </w:rPr>
              <w:t>Unitholder</w:t>
            </w:r>
          </w:p>
        </w:tc>
        <w:tc>
          <w:tcPr>
            <w:tcW w:w="200" w:type="dxa"/>
            <w:vAlign w:val="bottom"/>
          </w:tcPr>
          <w:p>
            <w:pPr>
              <w:spacing w:after="0"/>
              <w:rPr>
                <w:sz w:val="24"/>
                <w:szCs w:val="24"/>
                <w:color w:val="auto"/>
              </w:rPr>
            </w:pPr>
          </w:p>
        </w:tc>
        <w:tc>
          <w:tcPr>
            <w:tcW w:w="2240" w:type="dxa"/>
            <w:vAlign w:val="bottom"/>
          </w:tcPr>
          <w:p>
            <w:pPr>
              <w:jc w:val="center"/>
              <w:ind w:left="270"/>
              <w:spacing w:after="0"/>
              <w:rPr>
                <w:sz w:val="20"/>
                <w:szCs w:val="20"/>
                <w:color w:val="auto"/>
              </w:rPr>
            </w:pPr>
            <w:r>
              <w:rPr>
                <w:rFonts w:ascii="Calibri" w:cs="Calibri" w:eastAsia="Calibri" w:hAnsi="Calibri"/>
                <w:sz w:val="18"/>
                <w:szCs w:val="18"/>
                <w:b w:val="1"/>
                <w:bCs w:val="1"/>
                <w:color w:val="auto"/>
                <w:w w:val="96"/>
              </w:rPr>
              <w:t>Phantom Unit Grant Date</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Calibri" w:cs="Calibri" w:eastAsia="Calibri" w:hAnsi="Calibri"/>
                <w:sz w:val="18"/>
                <w:szCs w:val="18"/>
                <w:b w:val="1"/>
                <w:bCs w:val="1"/>
                <w:color w:val="auto"/>
                <w:w w:val="98"/>
              </w:rPr>
              <w:t>Phantom Units</w:t>
            </w:r>
          </w:p>
        </w:tc>
        <w:tc>
          <w:tcPr>
            <w:tcW w:w="180" w:type="dxa"/>
            <w:vAlign w:val="bottom"/>
          </w:tcPr>
          <w:p>
            <w:pPr>
              <w:spacing w:after="0"/>
              <w:rPr>
                <w:sz w:val="24"/>
                <w:szCs w:val="24"/>
                <w:color w:val="auto"/>
              </w:rPr>
            </w:pPr>
          </w:p>
        </w:tc>
        <w:tc>
          <w:tcPr>
            <w:tcW w:w="2720" w:type="dxa"/>
            <w:vAlign w:val="bottom"/>
            <w:gridSpan w:val="2"/>
          </w:tcPr>
          <w:p>
            <w:pPr>
              <w:jc w:val="center"/>
              <w:ind w:right="100"/>
              <w:spacing w:after="0"/>
              <w:rPr>
                <w:sz w:val="20"/>
                <w:szCs w:val="20"/>
                <w:color w:val="auto"/>
              </w:rPr>
            </w:pPr>
            <w:r>
              <w:rPr>
                <w:rFonts w:ascii="Calibri" w:cs="Calibri" w:eastAsia="Calibri" w:hAnsi="Calibri"/>
                <w:sz w:val="18"/>
                <w:szCs w:val="18"/>
                <w:b w:val="1"/>
                <w:bCs w:val="1"/>
                <w:color w:val="auto"/>
                <w:w w:val="97"/>
              </w:rPr>
              <w:t>Phantom Unit Payment</w:t>
            </w:r>
          </w:p>
        </w:tc>
      </w:tr>
      <w:tr>
        <w:trPr>
          <w:trHeight w:val="37"/>
        </w:trPr>
        <w:tc>
          <w:tcPr>
            <w:tcW w:w="100" w:type="dxa"/>
            <w:vAlign w:val="bottom"/>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3"/>
        </w:trPr>
        <w:tc>
          <w:tcPr>
            <w:tcW w:w="100" w:type="dxa"/>
            <w:vAlign w:val="bottom"/>
          </w:tcPr>
          <w:p>
            <w:pPr>
              <w:spacing w:after="0"/>
              <w:rPr>
                <w:sz w:val="18"/>
                <w:szCs w:val="18"/>
                <w:color w:val="auto"/>
              </w:rPr>
            </w:pPr>
          </w:p>
        </w:tc>
        <w:tc>
          <w:tcPr>
            <w:tcW w:w="2620" w:type="dxa"/>
            <w:vAlign w:val="bottom"/>
          </w:tcPr>
          <w:p>
            <w:pPr>
              <w:jc w:val="center"/>
              <w:spacing w:after="0" w:line="213" w:lineRule="exact"/>
              <w:rPr>
                <w:sz w:val="20"/>
                <w:szCs w:val="20"/>
                <w:color w:val="auto"/>
              </w:rPr>
            </w:pPr>
            <w:r>
              <w:rPr>
                <w:rFonts w:ascii="Calibri" w:cs="Calibri" w:eastAsia="Calibri" w:hAnsi="Calibri"/>
                <w:sz w:val="18"/>
                <w:szCs w:val="18"/>
                <w:color w:val="auto"/>
                <w:w w:val="99"/>
              </w:rPr>
              <w:t>[•]</w:t>
            </w:r>
          </w:p>
        </w:tc>
        <w:tc>
          <w:tcPr>
            <w:tcW w:w="200" w:type="dxa"/>
            <w:vAlign w:val="bottom"/>
          </w:tcPr>
          <w:p>
            <w:pPr>
              <w:spacing w:after="0"/>
              <w:rPr>
                <w:sz w:val="18"/>
                <w:szCs w:val="18"/>
                <w:color w:val="auto"/>
              </w:rPr>
            </w:pPr>
          </w:p>
        </w:tc>
        <w:tc>
          <w:tcPr>
            <w:tcW w:w="2240" w:type="dxa"/>
            <w:vAlign w:val="bottom"/>
          </w:tcPr>
          <w:p>
            <w:pPr>
              <w:jc w:val="center"/>
              <w:ind w:left="270"/>
              <w:spacing w:after="0" w:line="213" w:lineRule="exact"/>
              <w:rPr>
                <w:sz w:val="20"/>
                <w:szCs w:val="20"/>
                <w:color w:val="auto"/>
              </w:rPr>
            </w:pPr>
            <w:r>
              <w:rPr>
                <w:rFonts w:ascii="Calibri" w:cs="Calibri" w:eastAsia="Calibri" w:hAnsi="Calibri"/>
                <w:sz w:val="18"/>
                <w:szCs w:val="18"/>
                <w:color w:val="auto"/>
                <w:w w:val="99"/>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tcPr>
          <w:p>
            <w:pPr>
              <w:jc w:val="center"/>
              <w:spacing w:after="0" w:line="213" w:lineRule="exact"/>
              <w:rPr>
                <w:sz w:val="20"/>
                <w:szCs w:val="20"/>
                <w:color w:val="auto"/>
              </w:rPr>
            </w:pPr>
            <w:r>
              <w:rPr>
                <w:rFonts w:ascii="Calibri" w:cs="Calibri" w:eastAsia="Calibri" w:hAnsi="Calibri"/>
                <w:sz w:val="18"/>
                <w:szCs w:val="18"/>
                <w:color w:val="auto"/>
                <w:w w:val="89"/>
              </w:rPr>
              <w:t>[•]</w:t>
            </w:r>
          </w:p>
        </w:tc>
        <w:tc>
          <w:tcPr>
            <w:tcW w:w="180" w:type="dxa"/>
            <w:vAlign w:val="bottom"/>
          </w:tcPr>
          <w:p>
            <w:pPr>
              <w:spacing w:after="0"/>
              <w:rPr>
                <w:sz w:val="18"/>
                <w:szCs w:val="18"/>
                <w:color w:val="auto"/>
              </w:rPr>
            </w:pPr>
          </w:p>
        </w:tc>
        <w:tc>
          <w:tcPr>
            <w:tcW w:w="2720" w:type="dxa"/>
            <w:vAlign w:val="bottom"/>
            <w:gridSpan w:val="2"/>
          </w:tcPr>
          <w:p>
            <w:pPr>
              <w:jc w:val="center"/>
              <w:ind w:right="80"/>
              <w:spacing w:after="0" w:line="213" w:lineRule="exact"/>
              <w:rPr>
                <w:sz w:val="20"/>
                <w:szCs w:val="20"/>
                <w:color w:val="auto"/>
              </w:rPr>
            </w:pPr>
            <w:r>
              <w:rPr>
                <w:rFonts w:ascii="Calibri" w:cs="Calibri" w:eastAsia="Calibri" w:hAnsi="Calibri"/>
                <w:sz w:val="18"/>
                <w:szCs w:val="18"/>
                <w:color w:val="auto"/>
                <w:w w:val="99"/>
              </w:rPr>
              <w:t>[•]</w:t>
            </w:r>
          </w:p>
        </w:tc>
      </w:tr>
      <w:tr>
        <w:trPr>
          <w:trHeight w:val="770"/>
        </w:trPr>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2"/>
          </w:tcPr>
          <w:p>
            <w:pPr>
              <w:ind w:left="600"/>
              <w:spacing w:after="0"/>
              <w:rPr>
                <w:sz w:val="20"/>
                <w:szCs w:val="20"/>
                <w:color w:val="auto"/>
              </w:rPr>
            </w:pPr>
            <w:r>
              <w:rPr>
                <w:rFonts w:ascii="Calibri" w:cs="Calibri" w:eastAsia="Calibri" w:hAnsi="Calibri"/>
                <w:sz w:val="18"/>
                <w:szCs w:val="18"/>
                <w:color w:val="auto"/>
                <w:w w:val="98"/>
              </w:rPr>
              <w:t>Unitholder Inital Here: _____</w:t>
            </w:r>
          </w:p>
        </w:tc>
      </w:tr>
      <w:tr>
        <w:trPr>
          <w:trHeight w:val="1434"/>
        </w:trPr>
        <w:tc>
          <w:tcPr>
            <w:tcW w:w="1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220" w:type="dxa"/>
            <w:vAlign w:val="bottom"/>
            <w:gridSpan w:val="3"/>
          </w:tcPr>
          <w:p>
            <w:pPr>
              <w:ind w:left="180"/>
              <w:spacing w:after="0"/>
              <w:rPr>
                <w:sz w:val="20"/>
                <w:szCs w:val="20"/>
                <w:color w:val="auto"/>
              </w:rPr>
            </w:pPr>
            <w:r>
              <w:rPr>
                <w:rFonts w:ascii="Calibri" w:cs="Calibri" w:eastAsia="Calibri" w:hAnsi="Calibri"/>
                <w:sz w:val="18"/>
                <w:szCs w:val="18"/>
                <w:b w:val="1"/>
                <w:bCs w:val="1"/>
                <w:color w:val="auto"/>
              </w:rPr>
              <w:t>SCHEDULE 4</w:t>
            </w:r>
          </w:p>
        </w:tc>
        <w:tc>
          <w:tcPr>
            <w:tcW w:w="2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05"/>
        </w:trPr>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Calibri" w:cs="Calibri" w:eastAsia="Calibri" w:hAnsi="Calibri"/>
                <w:sz w:val="18"/>
                <w:szCs w:val="18"/>
                <w:b w:val="1"/>
                <w:bCs w:val="1"/>
                <w:color w:val="auto"/>
                <w:w w:val="98"/>
              </w:rPr>
              <w:t>Unitholder</w:t>
            </w:r>
          </w:p>
        </w:tc>
        <w:tc>
          <w:tcPr>
            <w:tcW w:w="200" w:type="dxa"/>
            <w:vAlign w:val="bottom"/>
          </w:tcPr>
          <w:p>
            <w:pPr>
              <w:spacing w:after="0"/>
              <w:rPr>
                <w:sz w:val="24"/>
                <w:szCs w:val="24"/>
                <w:color w:val="auto"/>
              </w:rPr>
            </w:pPr>
          </w:p>
        </w:tc>
        <w:tc>
          <w:tcPr>
            <w:tcW w:w="2720" w:type="dxa"/>
            <w:vAlign w:val="bottom"/>
          </w:tcPr>
          <w:p>
            <w:pPr>
              <w:jc w:val="center"/>
              <w:ind w:left="350"/>
              <w:spacing w:after="0"/>
              <w:rPr>
                <w:sz w:val="20"/>
                <w:szCs w:val="20"/>
                <w:color w:val="auto"/>
              </w:rPr>
            </w:pPr>
            <w:r>
              <w:rPr>
                <w:rFonts w:ascii="Calibri" w:cs="Calibri" w:eastAsia="Calibri" w:hAnsi="Calibri"/>
                <w:sz w:val="18"/>
                <w:szCs w:val="18"/>
                <w:b w:val="1"/>
                <w:bCs w:val="1"/>
                <w:color w:val="auto"/>
                <w:w w:val="98"/>
              </w:rPr>
              <w:t>Redempton Unit Payment</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Phantom Unit Payment</w:t>
            </w:r>
          </w:p>
        </w:tc>
        <w:tc>
          <w:tcPr>
            <w:tcW w:w="200" w:type="dxa"/>
            <w:vAlign w:val="bottom"/>
          </w:tcPr>
          <w:p>
            <w:pPr>
              <w:spacing w:after="0"/>
              <w:rPr>
                <w:sz w:val="24"/>
                <w:szCs w:val="24"/>
                <w:color w:val="auto"/>
              </w:rPr>
            </w:pPr>
          </w:p>
        </w:tc>
        <w:tc>
          <w:tcPr>
            <w:tcW w:w="2820" w:type="dxa"/>
            <w:vAlign w:val="bottom"/>
            <w:gridSpan w:val="2"/>
          </w:tcPr>
          <w:p>
            <w:pPr>
              <w:ind w:left="720"/>
              <w:spacing w:after="0"/>
              <w:rPr>
                <w:sz w:val="20"/>
                <w:szCs w:val="20"/>
                <w:color w:val="auto"/>
              </w:rPr>
            </w:pPr>
            <w:r>
              <w:rPr>
                <w:rFonts w:ascii="Calibri" w:cs="Calibri" w:eastAsia="Calibri" w:hAnsi="Calibri"/>
                <w:sz w:val="18"/>
                <w:szCs w:val="18"/>
                <w:b w:val="1"/>
                <w:bCs w:val="1"/>
                <w:color w:val="auto"/>
              </w:rPr>
              <w:t>Payment (Total)</w:t>
            </w:r>
          </w:p>
        </w:tc>
      </w:tr>
      <w:tr>
        <w:trPr>
          <w:trHeight w:val="37"/>
        </w:trPr>
        <w:tc>
          <w:tcPr>
            <w:tcW w:w="10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r>
      <w:tr>
        <w:trPr>
          <w:trHeight w:val="213"/>
        </w:trPr>
        <w:tc>
          <w:tcPr>
            <w:tcW w:w="100" w:type="dxa"/>
            <w:vAlign w:val="bottom"/>
          </w:tcPr>
          <w:p>
            <w:pPr>
              <w:spacing w:after="0"/>
              <w:rPr>
                <w:sz w:val="18"/>
                <w:szCs w:val="18"/>
                <w:color w:val="auto"/>
              </w:rPr>
            </w:pPr>
          </w:p>
        </w:tc>
        <w:tc>
          <w:tcPr>
            <w:tcW w:w="1980" w:type="dxa"/>
            <w:vAlign w:val="bottom"/>
          </w:tcPr>
          <w:p>
            <w:pPr>
              <w:jc w:val="center"/>
              <w:spacing w:after="0" w:line="213" w:lineRule="exact"/>
              <w:rPr>
                <w:sz w:val="20"/>
                <w:szCs w:val="20"/>
                <w:color w:val="auto"/>
              </w:rPr>
            </w:pPr>
            <w:r>
              <w:rPr>
                <w:rFonts w:ascii="Calibri" w:cs="Calibri" w:eastAsia="Calibri" w:hAnsi="Calibri"/>
                <w:sz w:val="18"/>
                <w:szCs w:val="18"/>
                <w:color w:val="auto"/>
                <w:w w:val="99"/>
              </w:rPr>
              <w:t>[•]</w:t>
            </w:r>
          </w:p>
        </w:tc>
        <w:tc>
          <w:tcPr>
            <w:tcW w:w="200" w:type="dxa"/>
            <w:vAlign w:val="bottom"/>
          </w:tcPr>
          <w:p>
            <w:pPr>
              <w:spacing w:after="0"/>
              <w:rPr>
                <w:sz w:val="18"/>
                <w:szCs w:val="18"/>
                <w:color w:val="auto"/>
              </w:rPr>
            </w:pPr>
          </w:p>
        </w:tc>
        <w:tc>
          <w:tcPr>
            <w:tcW w:w="2720" w:type="dxa"/>
            <w:vAlign w:val="bottom"/>
          </w:tcPr>
          <w:p>
            <w:pPr>
              <w:jc w:val="center"/>
              <w:ind w:left="350"/>
              <w:spacing w:after="0" w:line="213" w:lineRule="exact"/>
              <w:rPr>
                <w:sz w:val="20"/>
                <w:szCs w:val="20"/>
                <w:color w:val="auto"/>
              </w:rPr>
            </w:pPr>
            <w:r>
              <w:rPr>
                <w:rFonts w:ascii="Calibri" w:cs="Calibri" w:eastAsia="Calibri" w:hAnsi="Calibri"/>
                <w:sz w:val="18"/>
                <w:szCs w:val="18"/>
                <w:color w:val="auto"/>
                <w:w w:val="99"/>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jc w:val="center"/>
              <w:spacing w:after="0" w:line="213" w:lineRule="exact"/>
              <w:rPr>
                <w:sz w:val="20"/>
                <w:szCs w:val="20"/>
                <w:color w:val="auto"/>
              </w:rPr>
            </w:pPr>
            <w:r>
              <w:rPr>
                <w:rFonts w:ascii="Calibri" w:cs="Calibri" w:eastAsia="Calibri" w:hAnsi="Calibri"/>
                <w:sz w:val="18"/>
                <w:szCs w:val="18"/>
                <w:color w:val="auto"/>
                <w:w w:val="99"/>
              </w:rPr>
              <w:t>[•]</w:t>
            </w:r>
          </w:p>
        </w:tc>
        <w:tc>
          <w:tcPr>
            <w:tcW w:w="200" w:type="dxa"/>
            <w:vAlign w:val="bottom"/>
          </w:tcPr>
          <w:p>
            <w:pPr>
              <w:spacing w:after="0"/>
              <w:rPr>
                <w:sz w:val="18"/>
                <w:szCs w:val="18"/>
                <w:color w:val="auto"/>
              </w:rPr>
            </w:pPr>
          </w:p>
        </w:tc>
        <w:tc>
          <w:tcPr>
            <w:tcW w:w="2820" w:type="dxa"/>
            <w:vAlign w:val="bottom"/>
            <w:gridSpan w:val="2"/>
          </w:tcPr>
          <w:p>
            <w:pPr>
              <w:ind w:left="1200"/>
              <w:spacing w:after="0" w:line="213" w:lineRule="exact"/>
              <w:rPr>
                <w:sz w:val="20"/>
                <w:szCs w:val="20"/>
                <w:color w:val="auto"/>
              </w:rPr>
            </w:pPr>
            <w:r>
              <w:rPr>
                <w:rFonts w:ascii="Calibri" w:cs="Calibri" w:eastAsia="Calibri" w:hAnsi="Calibri"/>
                <w:sz w:val="18"/>
                <w:szCs w:val="18"/>
                <w:color w:val="auto"/>
              </w:rPr>
              <w:t>[•]</w:t>
            </w:r>
          </w:p>
        </w:tc>
      </w:tr>
      <w:tr>
        <w:trPr>
          <w:trHeight w:val="770"/>
        </w:trPr>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2"/>
          </w:tcPr>
          <w:p>
            <w:pPr>
              <w:ind w:left="700"/>
              <w:spacing w:after="0"/>
              <w:rPr>
                <w:sz w:val="20"/>
                <w:szCs w:val="20"/>
                <w:color w:val="auto"/>
              </w:rPr>
            </w:pPr>
            <w:r>
              <w:rPr>
                <w:rFonts w:ascii="Calibri" w:cs="Calibri" w:eastAsia="Calibri" w:hAnsi="Calibri"/>
                <w:sz w:val="18"/>
                <w:szCs w:val="18"/>
                <w:color w:val="auto"/>
                <w:w w:val="98"/>
              </w:rPr>
              <w:t>Unitholder Inital Here: _____</w:t>
            </w:r>
          </w:p>
        </w:tc>
      </w:tr>
      <w:tr>
        <w:trPr>
          <w:trHeight w:val="1434"/>
        </w:trPr>
        <w:tc>
          <w:tcPr>
            <w:tcW w:w="1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RULE 13a-14(a) / 15d-14(a) UNDER THE SECURITIES EXCHANGE ACT OF 1934,</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I, Stanley Chia, certfy that:</w:t>
      </w:r>
    </w:p>
    <w:p>
      <w:pPr>
        <w:spacing w:after="0" w:line="104" w:lineRule="exact"/>
        <w:rPr>
          <w:sz w:val="20"/>
          <w:szCs w:val="20"/>
          <w:color w:val="auto"/>
        </w:rPr>
      </w:pPr>
    </w:p>
    <w:p>
      <w:pPr>
        <w:ind w:left="520" w:hanging="512"/>
        <w:spacing w:after="0"/>
        <w:tabs>
          <w:tab w:leader="none" w:pos="52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Vivid Seats Inc.;</w:t>
      </w:r>
    </w:p>
    <w:p>
      <w:pPr>
        <w:spacing w:after="0" w:line="109" w:lineRule="exact"/>
        <w:rPr>
          <w:rFonts w:ascii="Calibri" w:cs="Calibri" w:eastAsia="Calibri" w:hAnsi="Calibri"/>
          <w:sz w:val="18"/>
          <w:szCs w:val="18"/>
          <w:color w:val="auto"/>
        </w:rPr>
      </w:pPr>
    </w:p>
    <w:p>
      <w:pPr>
        <w:jc w:val="both"/>
        <w:ind w:left="520" w:hanging="512"/>
        <w:spacing w:after="0" w:line="235" w:lineRule="auto"/>
        <w:tabs>
          <w:tab w:leader="none" w:pos="52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Calibri" w:cs="Calibri" w:eastAsia="Calibri" w:hAnsi="Calibri"/>
          <w:sz w:val="18"/>
          <w:szCs w:val="18"/>
          <w:color w:val="auto"/>
        </w:rPr>
      </w:pPr>
    </w:p>
    <w:p>
      <w:pPr>
        <w:ind w:left="520" w:hanging="512"/>
        <w:spacing w:after="0" w:line="235" w:lineRule="auto"/>
        <w:tabs>
          <w:tab w:leader="none" w:pos="52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9" w:lineRule="exact"/>
        <w:rPr>
          <w:rFonts w:ascii="Calibri" w:cs="Calibri" w:eastAsia="Calibri" w:hAnsi="Calibri"/>
          <w:sz w:val="18"/>
          <w:szCs w:val="18"/>
          <w:color w:val="auto"/>
        </w:rPr>
      </w:pPr>
    </w:p>
    <w:p>
      <w:pPr>
        <w:jc w:val="both"/>
        <w:ind w:left="520" w:hanging="512"/>
        <w:spacing w:after="0" w:line="235" w:lineRule="auto"/>
        <w:tabs>
          <w:tab w:leader="none" w:pos="52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0"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32"/>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0"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32"/>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0" w:lineRule="exact"/>
        <w:rPr>
          <w:rFonts w:ascii="Calibri" w:cs="Calibri" w:eastAsia="Calibri" w:hAnsi="Calibri"/>
          <w:sz w:val="18"/>
          <w:szCs w:val="18"/>
          <w:color w:val="auto"/>
        </w:rPr>
      </w:pPr>
    </w:p>
    <w:p>
      <w:pPr>
        <w:ind w:left="1020" w:hanging="503"/>
        <w:spacing w:after="0" w:line="235" w:lineRule="auto"/>
        <w:tabs>
          <w:tab w:leader="none" w:pos="1020" w:val="left"/>
        </w:tabs>
        <w:numPr>
          <w:ilvl w:val="1"/>
          <w:numId w:val="32"/>
        </w:numPr>
        <w:rPr>
          <w:rFonts w:ascii="Calibri" w:cs="Calibri" w:eastAsia="Calibri" w:hAnsi="Calibri"/>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09"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32"/>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10" w:lineRule="exact"/>
        <w:rPr>
          <w:rFonts w:ascii="Calibri" w:cs="Calibri" w:eastAsia="Calibri" w:hAnsi="Calibri"/>
          <w:sz w:val="18"/>
          <w:szCs w:val="18"/>
          <w:color w:val="auto"/>
        </w:rPr>
      </w:pPr>
    </w:p>
    <w:p>
      <w:pPr>
        <w:ind w:left="520" w:right="20" w:hanging="512"/>
        <w:spacing w:after="0" w:line="235" w:lineRule="auto"/>
        <w:tabs>
          <w:tab w:leader="none" w:pos="328"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09" w:lineRule="exact"/>
        <w:rPr>
          <w:rFonts w:ascii="Calibri" w:cs="Calibri" w:eastAsia="Calibri" w:hAnsi="Calibri"/>
          <w:sz w:val="18"/>
          <w:szCs w:val="18"/>
          <w:color w:val="auto"/>
        </w:rPr>
      </w:pPr>
    </w:p>
    <w:p>
      <w:pPr>
        <w:ind w:left="1020" w:hanging="503"/>
        <w:spacing w:after="0" w:line="235" w:lineRule="auto"/>
        <w:tabs>
          <w:tab w:leader="none" w:pos="1020" w:val="left"/>
        </w:tabs>
        <w:numPr>
          <w:ilvl w:val="1"/>
          <w:numId w:val="32"/>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10" w:lineRule="exact"/>
        <w:rPr>
          <w:sz w:val="20"/>
          <w:szCs w:val="20"/>
          <w:color w:val="auto"/>
        </w:rPr>
      </w:pPr>
    </w:p>
    <w:p>
      <w:pPr>
        <w:ind w:left="520" w:hanging="512"/>
        <w:spacing w:after="0" w:line="235" w:lineRule="auto"/>
        <w:tabs>
          <w:tab w:leader="none" w:pos="52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105" w:lineRule="exact"/>
        <w:rPr>
          <w:sz w:val="20"/>
          <w:szCs w:val="20"/>
          <w:color w:val="auto"/>
        </w:rPr>
      </w:pPr>
    </w:p>
    <w:p>
      <w:pPr>
        <w:ind w:left="20"/>
        <w:spacing w:after="0"/>
        <w:tabs>
          <w:tab w:leader="none" w:pos="5660" w:val="left"/>
          <w:tab w:leader="none" w:pos="8040" w:val="left"/>
        </w:tabs>
        <w:rPr>
          <w:sz w:val="20"/>
          <w:szCs w:val="20"/>
          <w:color w:val="auto"/>
        </w:rPr>
      </w:pPr>
      <w:r>
        <w:rPr>
          <w:rFonts w:ascii="Calibri" w:cs="Calibri" w:eastAsia="Calibri" w:hAnsi="Calibri"/>
          <w:sz w:val="18"/>
          <w:szCs w:val="18"/>
          <w:color w:val="auto"/>
        </w:rPr>
        <w:t>Date: August 6,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Stanley Chia</w:t>
      </w:r>
    </w:p>
    <w:p>
      <w:pPr>
        <w:spacing w:after="0" w:line="23"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6">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jc w:val="center"/>
        <w:ind w:left="5980"/>
        <w:spacing w:after="0"/>
        <w:rPr>
          <w:sz w:val="20"/>
          <w:szCs w:val="20"/>
          <w:color w:val="auto"/>
        </w:rPr>
      </w:pPr>
      <w:r>
        <w:rPr>
          <w:rFonts w:ascii="Calibri" w:cs="Calibri" w:eastAsia="Calibri" w:hAnsi="Calibri"/>
          <w:sz w:val="18"/>
          <w:szCs w:val="18"/>
          <w:b w:val="1"/>
          <w:bCs w:val="1"/>
          <w:color w:val="auto"/>
        </w:rPr>
        <w:t>Chief Executve Ofcer</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i w:val="1"/>
          <w:iCs w:val="1"/>
          <w:color w:val="auto"/>
        </w:rPr>
        <w:t>(Principal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4" w:name="page65"/>
    <w:bookmarkEnd w:id="64"/>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RULE 13a-14(a) / 15d-14(a) UNDER THE SECURITIES EXCHANGE ACT OF 1934,</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I, Lawrence Fey, certfy that:</w:t>
      </w:r>
    </w:p>
    <w:p>
      <w:pPr>
        <w:spacing w:after="0" w:line="104" w:lineRule="exact"/>
        <w:rPr>
          <w:sz w:val="20"/>
          <w:szCs w:val="20"/>
          <w:color w:val="auto"/>
        </w:rPr>
      </w:pPr>
    </w:p>
    <w:p>
      <w:pPr>
        <w:ind w:left="520" w:hanging="512"/>
        <w:spacing w:after="0"/>
        <w:tabs>
          <w:tab w:leader="none" w:pos="520"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Vivid Seats Inc.;</w:t>
      </w:r>
    </w:p>
    <w:p>
      <w:pPr>
        <w:spacing w:after="0" w:line="109" w:lineRule="exact"/>
        <w:rPr>
          <w:rFonts w:ascii="Calibri" w:cs="Calibri" w:eastAsia="Calibri" w:hAnsi="Calibri"/>
          <w:sz w:val="18"/>
          <w:szCs w:val="18"/>
          <w:color w:val="auto"/>
        </w:rPr>
      </w:pPr>
    </w:p>
    <w:p>
      <w:pPr>
        <w:jc w:val="both"/>
        <w:ind w:left="520" w:hanging="512"/>
        <w:spacing w:after="0" w:line="235" w:lineRule="auto"/>
        <w:tabs>
          <w:tab w:leader="none" w:pos="520"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Calibri" w:cs="Calibri" w:eastAsia="Calibri" w:hAnsi="Calibri"/>
          <w:sz w:val="18"/>
          <w:szCs w:val="18"/>
          <w:color w:val="auto"/>
        </w:rPr>
      </w:pPr>
    </w:p>
    <w:p>
      <w:pPr>
        <w:ind w:left="520" w:hanging="512"/>
        <w:spacing w:after="0" w:line="235" w:lineRule="auto"/>
        <w:tabs>
          <w:tab w:leader="none" w:pos="520"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9" w:lineRule="exact"/>
        <w:rPr>
          <w:rFonts w:ascii="Calibri" w:cs="Calibri" w:eastAsia="Calibri" w:hAnsi="Calibri"/>
          <w:sz w:val="18"/>
          <w:szCs w:val="18"/>
          <w:color w:val="auto"/>
        </w:rPr>
      </w:pPr>
    </w:p>
    <w:p>
      <w:pPr>
        <w:jc w:val="both"/>
        <w:ind w:left="520" w:hanging="512"/>
        <w:spacing w:after="0" w:line="235" w:lineRule="auto"/>
        <w:tabs>
          <w:tab w:leader="none" w:pos="520"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0"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34"/>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0"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34"/>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0" w:lineRule="exact"/>
        <w:rPr>
          <w:rFonts w:ascii="Calibri" w:cs="Calibri" w:eastAsia="Calibri" w:hAnsi="Calibri"/>
          <w:sz w:val="18"/>
          <w:szCs w:val="18"/>
          <w:color w:val="auto"/>
        </w:rPr>
      </w:pPr>
    </w:p>
    <w:p>
      <w:pPr>
        <w:ind w:left="1020" w:hanging="503"/>
        <w:spacing w:after="0" w:line="235" w:lineRule="auto"/>
        <w:tabs>
          <w:tab w:leader="none" w:pos="1020" w:val="left"/>
        </w:tabs>
        <w:numPr>
          <w:ilvl w:val="1"/>
          <w:numId w:val="34"/>
        </w:numPr>
        <w:rPr>
          <w:rFonts w:ascii="Calibri" w:cs="Calibri" w:eastAsia="Calibri" w:hAnsi="Calibri"/>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09"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34"/>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10" w:lineRule="exact"/>
        <w:rPr>
          <w:rFonts w:ascii="Calibri" w:cs="Calibri" w:eastAsia="Calibri" w:hAnsi="Calibri"/>
          <w:sz w:val="18"/>
          <w:szCs w:val="18"/>
          <w:color w:val="auto"/>
        </w:rPr>
      </w:pPr>
    </w:p>
    <w:p>
      <w:pPr>
        <w:ind w:left="520" w:right="20" w:hanging="512"/>
        <w:spacing w:after="0" w:line="235" w:lineRule="auto"/>
        <w:tabs>
          <w:tab w:leader="none" w:pos="328"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09" w:lineRule="exact"/>
        <w:rPr>
          <w:rFonts w:ascii="Calibri" w:cs="Calibri" w:eastAsia="Calibri" w:hAnsi="Calibri"/>
          <w:sz w:val="18"/>
          <w:szCs w:val="18"/>
          <w:color w:val="auto"/>
        </w:rPr>
      </w:pPr>
    </w:p>
    <w:p>
      <w:pPr>
        <w:ind w:left="1020" w:hanging="503"/>
        <w:spacing w:after="0" w:line="235" w:lineRule="auto"/>
        <w:tabs>
          <w:tab w:leader="none" w:pos="1020" w:val="left"/>
        </w:tabs>
        <w:numPr>
          <w:ilvl w:val="1"/>
          <w:numId w:val="34"/>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10" w:lineRule="exact"/>
        <w:rPr>
          <w:sz w:val="20"/>
          <w:szCs w:val="20"/>
          <w:color w:val="auto"/>
        </w:rPr>
      </w:pPr>
    </w:p>
    <w:p>
      <w:pPr>
        <w:ind w:left="520" w:hanging="512"/>
        <w:spacing w:after="0" w:line="235" w:lineRule="auto"/>
        <w:tabs>
          <w:tab w:leader="none" w:pos="520"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105" w:lineRule="exact"/>
        <w:rPr>
          <w:sz w:val="20"/>
          <w:szCs w:val="20"/>
          <w:color w:val="auto"/>
        </w:rPr>
      </w:pPr>
    </w:p>
    <w:p>
      <w:pPr>
        <w:ind w:left="20"/>
        <w:spacing w:after="0"/>
        <w:tabs>
          <w:tab w:leader="none" w:pos="5660" w:val="left"/>
          <w:tab w:leader="none" w:pos="8000" w:val="left"/>
        </w:tabs>
        <w:rPr>
          <w:sz w:val="20"/>
          <w:szCs w:val="20"/>
          <w:color w:val="auto"/>
        </w:rPr>
      </w:pPr>
      <w:r>
        <w:rPr>
          <w:rFonts w:ascii="Calibri" w:cs="Calibri" w:eastAsia="Calibri" w:hAnsi="Calibri"/>
          <w:sz w:val="18"/>
          <w:szCs w:val="18"/>
          <w:color w:val="auto"/>
        </w:rPr>
        <w:t>Date: August 6,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Lawrence Fey</w:t>
      </w:r>
    </w:p>
    <w:p>
      <w:pPr>
        <w:spacing w:after="0" w:line="23"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8">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jc w:val="center"/>
        <w:ind w:left="5980"/>
        <w:spacing w:after="0"/>
        <w:rPr>
          <w:sz w:val="20"/>
          <w:szCs w:val="20"/>
          <w:color w:val="auto"/>
        </w:rPr>
      </w:pPr>
      <w:r>
        <w:rPr>
          <w:rFonts w:ascii="Calibri" w:cs="Calibri" w:eastAsia="Calibri" w:hAnsi="Calibri"/>
          <w:sz w:val="18"/>
          <w:szCs w:val="18"/>
          <w:b w:val="1"/>
          <w:bCs w:val="1"/>
          <w:color w:val="auto"/>
        </w:rPr>
        <w:t>Chief Financial Ofcer</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i w:val="1"/>
          <w:iCs w:val="1"/>
          <w:color w:val="auto"/>
        </w:rPr>
        <w:t>(Principal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5" w:name="page66"/>
    <w:bookmarkEnd w:id="65"/>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104" w:lineRule="exact"/>
        <w:rPr>
          <w:sz w:val="20"/>
          <w:szCs w:val="20"/>
          <w:color w:val="auto"/>
        </w:rPr>
      </w:pPr>
    </w:p>
    <w:p>
      <w:pPr>
        <w:ind w:left="4540"/>
        <w:spacing w:after="0"/>
        <w:rPr>
          <w:sz w:val="20"/>
          <w:szCs w:val="20"/>
          <w:color w:val="auto"/>
        </w:rPr>
      </w:pPr>
      <w:r>
        <w:rPr>
          <w:rFonts w:ascii="Calibri" w:cs="Calibri" w:eastAsia="Calibri" w:hAnsi="Calibri"/>
          <w:sz w:val="18"/>
          <w:szCs w:val="18"/>
          <w:b w:val="1"/>
          <w:bCs w:val="1"/>
          <w:color w:val="auto"/>
        </w:rPr>
        <w:t>CERTIFICATION PURSUANT TO</w:t>
      </w:r>
    </w:p>
    <w:p>
      <w:pPr>
        <w:spacing w:after="0" w:line="8" w:lineRule="exact"/>
        <w:rPr>
          <w:sz w:val="20"/>
          <w:szCs w:val="20"/>
          <w:color w:val="auto"/>
        </w:rPr>
      </w:pPr>
    </w:p>
    <w:p>
      <w:pPr>
        <w:ind w:left="3980"/>
        <w:spacing w:after="0"/>
        <w:rPr>
          <w:sz w:val="20"/>
          <w:szCs w:val="20"/>
          <w:color w:val="auto"/>
        </w:rPr>
      </w:pPr>
      <w:r>
        <w:rPr>
          <w:rFonts w:ascii="Calibri" w:cs="Calibri" w:eastAsia="Calibri" w:hAnsi="Calibri"/>
          <w:sz w:val="18"/>
          <w:szCs w:val="18"/>
          <w:b w:val="1"/>
          <w:bCs w:val="1"/>
          <w:color w:val="auto"/>
        </w:rPr>
        <w:t xml:space="preserve">18 U.S.C. </w:t>
      </w:r>
      <w:r>
        <w:rPr>
          <w:rFonts w:ascii="Calibri" w:cs="Calibri" w:eastAsia="Calibri" w:hAnsi="Calibri"/>
          <w:sz w:val="21"/>
          <w:szCs w:val="21"/>
          <w:b w:val="1"/>
          <w:bCs w:val="1"/>
          <w:color w:val="auto"/>
        </w:rPr>
        <w:t>§</w:t>
      </w:r>
      <w:r>
        <w:rPr>
          <w:rFonts w:ascii="Calibri" w:cs="Calibri" w:eastAsia="Calibri" w:hAnsi="Calibri"/>
          <w:sz w:val="18"/>
          <w:szCs w:val="18"/>
          <w:b w:val="1"/>
          <w:bCs w:val="1"/>
          <w:color w:val="auto"/>
        </w:rPr>
        <w:t xml:space="preserve"> 1350, AS ADOPTED PURSUANT TO</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SECTION 906 OF THE SARBANES-OXLEY ACT OF 2002</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Quarterly Report on Form 10-Q of Vivid Seats Inc. (the “Company”) for the period ended June 30, 2024 as fled with the Securites and Exchange Commission on the date hereof (the “Report”), I, Stanley Chia, Chief Executve Ofcer of the Company, certfy, pursuant to 18 U.S.C. § 1350, as adopted pursuant to Secton 906 of the Sarbanes-Oxley Act of 2002, that:</w:t>
      </w:r>
    </w:p>
    <w:p>
      <w:pPr>
        <w:spacing w:after="0" w:line="106" w:lineRule="exact"/>
        <w:rPr>
          <w:sz w:val="20"/>
          <w:szCs w:val="20"/>
          <w:color w:val="auto"/>
        </w:rPr>
      </w:pPr>
    </w:p>
    <w:p>
      <w:pPr>
        <w:ind w:left="1020" w:hanging="503"/>
        <w:spacing w:after="0"/>
        <w:tabs>
          <w:tab w:leader="none" w:pos="102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109" w:lineRule="exact"/>
        <w:rPr>
          <w:rFonts w:ascii="Calibri" w:cs="Calibri" w:eastAsia="Calibri" w:hAnsi="Calibri"/>
          <w:sz w:val="18"/>
          <w:szCs w:val="18"/>
          <w:color w:val="auto"/>
        </w:rPr>
      </w:pPr>
    </w:p>
    <w:p>
      <w:pPr>
        <w:ind w:left="1020" w:hanging="503"/>
        <w:spacing w:after="0" w:line="235" w:lineRule="auto"/>
        <w:tabs>
          <w:tab w:leader="none" w:pos="102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105" w:lineRule="exact"/>
        <w:rPr>
          <w:sz w:val="20"/>
          <w:szCs w:val="20"/>
          <w:color w:val="auto"/>
        </w:rPr>
      </w:pPr>
    </w:p>
    <w:p>
      <w:pPr>
        <w:ind w:left="20"/>
        <w:spacing w:after="0"/>
        <w:tabs>
          <w:tab w:leader="none" w:pos="5660" w:val="left"/>
          <w:tab w:leader="none" w:pos="8040" w:val="left"/>
        </w:tabs>
        <w:rPr>
          <w:sz w:val="20"/>
          <w:szCs w:val="20"/>
          <w:color w:val="auto"/>
        </w:rPr>
      </w:pPr>
      <w:r>
        <w:rPr>
          <w:rFonts w:ascii="Calibri" w:cs="Calibri" w:eastAsia="Calibri" w:hAnsi="Calibri"/>
          <w:sz w:val="18"/>
          <w:szCs w:val="18"/>
          <w:color w:val="auto"/>
        </w:rPr>
        <w:t>Date: August 6,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Stanley Chia</w:t>
      </w:r>
    </w:p>
    <w:p>
      <w:pPr>
        <w:spacing w:after="0" w:line="23"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0">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jc w:val="center"/>
        <w:ind w:left="5980"/>
        <w:spacing w:after="0"/>
        <w:rPr>
          <w:sz w:val="20"/>
          <w:szCs w:val="20"/>
          <w:color w:val="auto"/>
        </w:rPr>
      </w:pPr>
      <w:r>
        <w:rPr>
          <w:rFonts w:ascii="Calibri" w:cs="Calibri" w:eastAsia="Calibri" w:hAnsi="Calibri"/>
          <w:sz w:val="18"/>
          <w:szCs w:val="18"/>
          <w:b w:val="1"/>
          <w:bCs w:val="1"/>
          <w:color w:val="auto"/>
        </w:rPr>
        <w:t>Chief Executve Ofcer</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i w:val="1"/>
          <w:iCs w:val="1"/>
          <w:color w:val="auto"/>
        </w:rPr>
        <w:t>(Principal Executve Ofcer)</w:t>
      </w:r>
    </w:p>
    <w:p>
      <w:pPr>
        <w:spacing w:after="0" w:line="12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 signed original of this writen statement required by Secton 906 has been provided to the Company and will be retained by the Company and furnished to the Securites and Exchange Commission or its staf upon request.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This certfcaton is being furnished solely pursuant to 18 U.S.C. § 1350 and is not being fled as a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6" w:name="page67"/>
    <w:bookmarkEnd w:id="66"/>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104" w:lineRule="exact"/>
        <w:rPr>
          <w:sz w:val="20"/>
          <w:szCs w:val="20"/>
          <w:color w:val="auto"/>
        </w:rPr>
      </w:pPr>
    </w:p>
    <w:p>
      <w:pPr>
        <w:ind w:left="4540"/>
        <w:spacing w:after="0"/>
        <w:rPr>
          <w:sz w:val="20"/>
          <w:szCs w:val="20"/>
          <w:color w:val="auto"/>
        </w:rPr>
      </w:pPr>
      <w:r>
        <w:rPr>
          <w:rFonts w:ascii="Calibri" w:cs="Calibri" w:eastAsia="Calibri" w:hAnsi="Calibri"/>
          <w:sz w:val="18"/>
          <w:szCs w:val="18"/>
          <w:b w:val="1"/>
          <w:bCs w:val="1"/>
          <w:color w:val="auto"/>
        </w:rPr>
        <w:t>CERTIFICATION PURSUANT TO</w:t>
      </w:r>
    </w:p>
    <w:p>
      <w:pPr>
        <w:spacing w:after="0" w:line="8" w:lineRule="exact"/>
        <w:rPr>
          <w:sz w:val="20"/>
          <w:szCs w:val="20"/>
          <w:color w:val="auto"/>
        </w:rPr>
      </w:pPr>
    </w:p>
    <w:p>
      <w:pPr>
        <w:ind w:left="3980"/>
        <w:spacing w:after="0"/>
        <w:rPr>
          <w:sz w:val="20"/>
          <w:szCs w:val="20"/>
          <w:color w:val="auto"/>
        </w:rPr>
      </w:pPr>
      <w:r>
        <w:rPr>
          <w:rFonts w:ascii="Calibri" w:cs="Calibri" w:eastAsia="Calibri" w:hAnsi="Calibri"/>
          <w:sz w:val="18"/>
          <w:szCs w:val="18"/>
          <w:b w:val="1"/>
          <w:bCs w:val="1"/>
          <w:color w:val="auto"/>
        </w:rPr>
        <w:t xml:space="preserve">18 U.S.C. </w:t>
      </w:r>
      <w:r>
        <w:rPr>
          <w:rFonts w:ascii="Calibri" w:cs="Calibri" w:eastAsia="Calibri" w:hAnsi="Calibri"/>
          <w:sz w:val="21"/>
          <w:szCs w:val="21"/>
          <w:b w:val="1"/>
          <w:bCs w:val="1"/>
          <w:color w:val="auto"/>
        </w:rPr>
        <w:t>§</w:t>
      </w:r>
      <w:r>
        <w:rPr>
          <w:rFonts w:ascii="Calibri" w:cs="Calibri" w:eastAsia="Calibri" w:hAnsi="Calibri"/>
          <w:sz w:val="18"/>
          <w:szCs w:val="18"/>
          <w:b w:val="1"/>
          <w:bCs w:val="1"/>
          <w:color w:val="auto"/>
        </w:rPr>
        <w:t xml:space="preserve"> 1350, AS ADOPTED PURSUANT TO</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SECTION 906 OF THE SARBANES-OXLEY ACT OF 2002</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Quarterly Report on Form 10-Q of Vivid Seats Inc. (the “Company”) for the period ended June 30, 2024 as fled with the Securites and Exchange Commission on the date hereof (the “Report”), I, Lawrence Fey, Chief Financial Ofcer of the Company, certfy, pursuant to 18 U.S.C. § 1350, as adopted pursuant to Secton 906 of the Sarbanes-Oxley Act of 2002, that:</w:t>
      </w:r>
    </w:p>
    <w:p>
      <w:pPr>
        <w:spacing w:after="0" w:line="106" w:lineRule="exact"/>
        <w:rPr>
          <w:sz w:val="20"/>
          <w:szCs w:val="20"/>
          <w:color w:val="auto"/>
        </w:rPr>
      </w:pPr>
    </w:p>
    <w:p>
      <w:pPr>
        <w:ind w:left="1020" w:hanging="503"/>
        <w:spacing w:after="0"/>
        <w:tabs>
          <w:tab w:leader="none" w:pos="102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109" w:lineRule="exact"/>
        <w:rPr>
          <w:rFonts w:ascii="Calibri" w:cs="Calibri" w:eastAsia="Calibri" w:hAnsi="Calibri"/>
          <w:sz w:val="18"/>
          <w:szCs w:val="18"/>
          <w:color w:val="auto"/>
        </w:rPr>
      </w:pPr>
    </w:p>
    <w:p>
      <w:pPr>
        <w:ind w:left="1020" w:hanging="503"/>
        <w:spacing w:after="0" w:line="235" w:lineRule="auto"/>
        <w:tabs>
          <w:tab w:leader="none" w:pos="102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105" w:lineRule="exact"/>
        <w:rPr>
          <w:sz w:val="20"/>
          <w:szCs w:val="20"/>
          <w:color w:val="auto"/>
        </w:rPr>
      </w:pPr>
    </w:p>
    <w:p>
      <w:pPr>
        <w:ind w:left="20"/>
        <w:spacing w:after="0"/>
        <w:tabs>
          <w:tab w:leader="none" w:pos="5660" w:val="left"/>
          <w:tab w:leader="none" w:pos="8000" w:val="left"/>
        </w:tabs>
        <w:rPr>
          <w:sz w:val="20"/>
          <w:szCs w:val="20"/>
          <w:color w:val="auto"/>
        </w:rPr>
      </w:pPr>
      <w:r>
        <w:rPr>
          <w:rFonts w:ascii="Calibri" w:cs="Calibri" w:eastAsia="Calibri" w:hAnsi="Calibri"/>
          <w:sz w:val="18"/>
          <w:szCs w:val="18"/>
          <w:color w:val="auto"/>
        </w:rPr>
        <w:t>Date: August 6,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Lawrence Fey</w:t>
      </w:r>
    </w:p>
    <w:p>
      <w:pPr>
        <w:spacing w:after="0" w:line="23"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rPr>
          <w:sz w:val="20"/>
          <w:szCs w:val="20"/>
          <w:color w:val="auto"/>
        </w:rPr>
      </w:pPr>
      <w:r>
        <w:rPr>
          <w:rFonts w:ascii="Calibri" w:cs="Calibri" w:eastAsia="Calibri" w:hAnsi="Calibri"/>
          <w:sz w:val="18"/>
          <w:szCs w:val="18"/>
          <w:b w:val="1"/>
          <w:bCs w:val="1"/>
          <w:color w:val="auto"/>
        </w:rPr>
        <w:t>Chief Financial Ofcer</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i w:val="1"/>
          <w:iCs w:val="1"/>
          <w:color w:val="auto"/>
        </w:rPr>
        <w:t>(Principal Financial Ofcer)</w:t>
      </w:r>
    </w:p>
    <w:p>
      <w:pPr>
        <w:spacing w:after="0" w:line="12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 signed original of this writen statement required by Secton 906 has been provided to the Company and will be retained by the Company and furnished to the Securites and Exchange Commission or its staf upon request.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This certfcaton is being furnished solely pursuant to 18 U.S.C. § 1350 and is not being fled as a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2"/>
    </w:lvl>
  </w:abstractNum>
  <w:abstractNum w:abstractNumId="11">
    <w:nsid w:val="8EDBDAB"/>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2">
    <w:nsid w:val="79838CB2"/>
    <w:multiLevelType w:val="hybridMultilevel"/>
    <w:lvl w:ilvl="0">
      <w:lvlJc w:val="left"/>
      <w:lvlText w:val="%1."/>
      <w:numFmt w:val="decimal"/>
      <w:start w:val="3"/>
    </w:lvl>
  </w:abstractNum>
  <w:abstractNum w:abstractNumId="13">
    <w:nsid w:val="4353D0CD"/>
    <w:multiLevelType w:val="hybridMultilevel"/>
    <w:lvl w:ilvl="0">
      <w:lvlJc w:val="left"/>
      <w:lvlText w:val="%1."/>
      <w:numFmt w:val="decimal"/>
      <w:start w:val="4"/>
    </w:lvl>
  </w:abstractNum>
  <w:abstractNum w:abstractNumId="14">
    <w:nsid w:val="B03E0C6"/>
    <w:multiLevelType w:val="hybridMultilevel"/>
    <w:lvl w:ilvl="0">
      <w:lvlJc w:val="left"/>
      <w:lvlText w:val="%1."/>
      <w:numFmt w:val="decimal"/>
      <w:start w:val="5"/>
    </w:lvl>
  </w:abstractNum>
  <w:abstractNum w:abstractNumId="15">
    <w:nsid w:val="189A769B"/>
    <w:multiLevelType w:val="hybridMultilevel"/>
    <w:lvl w:ilvl="0">
      <w:lvlJc w:val="left"/>
      <w:lvlText w:val="%1."/>
      <w:numFmt w:val="decimal"/>
      <w:start w:val="6"/>
    </w:lvl>
  </w:abstractNum>
  <w:abstractNum w:abstractNumId="16">
    <w:nsid w:val="54E49EB4"/>
    <w:multiLevelType w:val="hybridMultilevel"/>
    <w:lvl w:ilvl="0">
      <w:lvlJc w:val="left"/>
      <w:lvlText w:val="%1."/>
      <w:numFmt w:val="decimal"/>
      <w:start w:val="7"/>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2"/>
    </w:lvl>
  </w:abstractNum>
  <w:abstractNum w:abstractNumId="19">
    <w:nsid w:val="836C40E"/>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20">
    <w:nsid w:val="2901D82"/>
    <w:multiLevelType w:val="hybridMultilevel"/>
    <w:lvl w:ilvl="0">
      <w:lvlJc w:val="left"/>
      <w:lvlText w:val="%1."/>
      <w:numFmt w:val="decimal"/>
      <w:start w:val="3"/>
    </w:lvl>
  </w:abstractNum>
  <w:abstractNum w:abstractNumId="21">
    <w:nsid w:val="3A95F874"/>
    <w:multiLevelType w:val="hybridMultilevel"/>
    <w:lvl w:ilvl="0">
      <w:lvlJc w:val="left"/>
      <w:lvlText w:val="%1."/>
      <w:numFmt w:val="decimal"/>
      <w:start w:val="4"/>
    </w:lvl>
  </w:abstractNum>
  <w:abstractNum w:abstractNumId="22">
    <w:nsid w:val="8138641"/>
    <w:multiLevelType w:val="hybridMultilevel"/>
    <w:lvl w:ilvl="0">
      <w:lvlJc w:val="left"/>
      <w:lvlText w:val="%1."/>
      <w:numFmt w:val="decimal"/>
      <w:start w:val="5"/>
    </w:lvl>
  </w:abstractNum>
  <w:abstractNum w:abstractNumId="23">
    <w:nsid w:val="1E7FF521"/>
    <w:multiLevelType w:val="hybridMultilevel"/>
    <w:lvl w:ilvl="0">
      <w:lvlJc w:val="left"/>
      <w:lvlText w:val="%1."/>
      <w:numFmt w:val="decimal"/>
      <w:start w:val="6"/>
    </w:lvl>
  </w:abstractNum>
  <w:abstractNum w:abstractNumId="24">
    <w:nsid w:val="7C3DBD3D"/>
    <w:multiLevelType w:val="hybridMultilevel"/>
    <w:lvl w:ilvl="0">
      <w:lvlJc w:val="left"/>
      <w:lvlText w:val="%1."/>
      <w:numFmt w:val="decimal"/>
      <w:start w:val="7"/>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3"/>
    </w:lvl>
    <w:lvl w:ilvl="1">
      <w:lvlJc w:val="left"/>
      <w:lvlText w:val="%2."/>
      <w:numFmt w:val="lowerLetter"/>
      <w:start w:val="1"/>
    </w:lvl>
  </w:abstractNum>
  <w:abstractNum w:abstractNumId="27">
    <w:nsid w:val="22221A70"/>
    <w:multiLevelType w:val="hybridMultilevel"/>
    <w:lvl w:ilvl="0">
      <w:lvlJc w:val="left"/>
      <w:lvlText w:val="%1."/>
      <w:numFmt w:val="lowerLetter"/>
      <w:start w:val="6"/>
    </w:lvl>
  </w:abstractNum>
  <w:abstractNum w:abstractNumId="28">
    <w:nsid w:val="4516DDE9"/>
    <w:multiLevelType w:val="hybridMultilevel"/>
    <w:lvl w:ilvl="0">
      <w:lvlJc w:val="left"/>
      <w:lvlText w:val="%1."/>
      <w:numFmt w:val="decimal"/>
      <w:start w:val="7"/>
    </w:lvl>
    <w:lvl w:ilvl="1">
      <w:lvlJc w:val="left"/>
      <w:lvlText w:val="%2."/>
      <w:numFmt w:val="lowerLetter"/>
      <w:start w:val="1"/>
    </w:lvl>
  </w:abstractNum>
  <w:abstractNum w:abstractNumId="29">
    <w:nsid w:val="3006C83E"/>
    <w:multiLevelType w:val="hybridMultilevel"/>
    <w:lvl w:ilvl="0">
      <w:lvlJc w:val="left"/>
      <w:lvlText w:val="%1."/>
      <w:numFmt w:val="lowerLetter"/>
      <w:start w:val="2"/>
    </w:lvl>
  </w:abstractNum>
  <w:abstractNum w:abstractNumId="30">
    <w:nsid w:val="614FD4A1"/>
    <w:multiLevelType w:val="hybridMultilevel"/>
    <w:lvl w:ilvl="0">
      <w:lvlJc w:val="left"/>
      <w:lvlText w:val="%1."/>
      <w:numFmt w:val="lowerLetter"/>
      <w:start w:val="11"/>
    </w:lvl>
  </w:abstractNum>
  <w:abstractNum w:abstractNumId="31">
    <w:nsid w:val="419AC241"/>
    <w:multiLevelType w:val="hybridMultilevel"/>
    <w:lvl w:ilvl="0">
      <w:lvlJc w:val="left"/>
      <w:lvlText w:val="%1."/>
      <w:numFmt w:val="decimal"/>
      <w:start w:val="1"/>
    </w:lvl>
    <w:lvl w:ilvl="1">
      <w:lvlJc w:val="left"/>
      <w:lvlText w:val="(%2)"/>
      <w:numFmt w:val="lowerLetter"/>
      <w:start w:val="1"/>
    </w:lvl>
  </w:abstractNum>
  <w:abstractNum w:abstractNumId="32">
    <w:nsid w:val="5577F8E1"/>
    <w:multiLevelType w:val="hybridMultilevel"/>
    <w:lvl w:ilvl="0">
      <w:lvlJc w:val="left"/>
      <w:lvlText w:val="(%1)"/>
      <w:numFmt w:val="lowerLetter"/>
      <w:start w:val="2"/>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lowerLetter"/>
      <w:start w:val="2"/>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96" Type="http://schemas.openxmlformats.org/officeDocument/2006/relationships/image" Target="media/image379.png"/><Relationship Id="rId397" Type="http://schemas.openxmlformats.org/officeDocument/2006/relationships/image" Target="media/image380.png"/><Relationship Id="rId398" Type="http://schemas.openxmlformats.org/officeDocument/2006/relationships/image" Target="media/image381.png"/><Relationship Id="rId399" Type="http://schemas.openxmlformats.org/officeDocument/2006/relationships/image" Target="media/image382.png"/><Relationship Id="rId400" Type="http://schemas.openxmlformats.org/officeDocument/2006/relationships/image" Target="media/image383.png"/><Relationship Id="rId401" Type="http://schemas.openxmlformats.org/officeDocument/2006/relationships/image" Target="media/image384.png"/><Relationship Id="rId402" Type="http://schemas.openxmlformats.org/officeDocument/2006/relationships/image" Target="media/image385.png"/><Relationship Id="rId403" Type="http://schemas.openxmlformats.org/officeDocument/2006/relationships/image" Target="media/image386.png"/><Relationship Id="rId404" Type="http://schemas.openxmlformats.org/officeDocument/2006/relationships/image" Target="media/image387.png"/><Relationship Id="rId405" Type="http://schemas.openxmlformats.org/officeDocument/2006/relationships/image" Target="media/image388.png"/><Relationship Id="rId406" Type="http://schemas.openxmlformats.org/officeDocument/2006/relationships/image" Target="media/image389.png"/><Relationship Id="rId407" Type="http://schemas.openxmlformats.org/officeDocument/2006/relationships/image" Target="media/image390.png"/><Relationship Id="rId408" Type="http://schemas.openxmlformats.org/officeDocument/2006/relationships/image" Target="media/image391.png"/><Relationship Id="rId409" Type="http://schemas.openxmlformats.org/officeDocument/2006/relationships/image" Target="media/image392.png"/><Relationship Id="rId410" Type="http://schemas.openxmlformats.org/officeDocument/2006/relationships/image" Target="media/image393.png"/><Relationship Id="rId411" Type="http://schemas.openxmlformats.org/officeDocument/2006/relationships/image" Target="media/image394.png"/><Relationship Id="rId412" Type="http://schemas.openxmlformats.org/officeDocument/2006/relationships/image" Target="media/image395.png"/><Relationship Id="rId413" Type="http://schemas.openxmlformats.org/officeDocument/2006/relationships/image" Target="media/image396.png"/><Relationship Id="rId414" Type="http://schemas.openxmlformats.org/officeDocument/2006/relationships/image" Target="media/image397.png"/><Relationship Id="rId415" Type="http://schemas.openxmlformats.org/officeDocument/2006/relationships/image" Target="media/image398.png"/><Relationship Id="rId416" Type="http://schemas.openxmlformats.org/officeDocument/2006/relationships/image" Target="media/image399.png"/><Relationship Id="rId417" Type="http://schemas.openxmlformats.org/officeDocument/2006/relationships/image" Target="media/image400.png"/><Relationship Id="rId418" Type="http://schemas.openxmlformats.org/officeDocument/2006/relationships/image" Target="media/image401.png"/><Relationship Id="rId419" Type="http://schemas.openxmlformats.org/officeDocument/2006/relationships/image" Target="media/image402.png"/><Relationship Id="rId420" Type="http://schemas.openxmlformats.org/officeDocument/2006/relationships/image" Target="media/image403.png"/><Relationship Id="rId421" Type="http://schemas.openxmlformats.org/officeDocument/2006/relationships/image" Target="media/image404.png"/><Relationship Id="rId422" Type="http://schemas.openxmlformats.org/officeDocument/2006/relationships/image" Target="media/image405.png"/><Relationship Id="rId423" Type="http://schemas.openxmlformats.org/officeDocument/2006/relationships/image" Target="media/image406.png"/><Relationship Id="rId424" Type="http://schemas.openxmlformats.org/officeDocument/2006/relationships/image" Target="media/image407.png"/><Relationship Id="rId425" Type="http://schemas.openxmlformats.org/officeDocument/2006/relationships/image" Target="media/image408.png"/><Relationship Id="rId426" Type="http://schemas.openxmlformats.org/officeDocument/2006/relationships/image" Target="media/image409.png"/><Relationship Id="rId427" Type="http://schemas.openxmlformats.org/officeDocument/2006/relationships/image" Target="media/image410.png"/><Relationship Id="rId428" Type="http://schemas.openxmlformats.org/officeDocument/2006/relationships/image" Target="media/image411.png"/><Relationship Id="rId429" Type="http://schemas.openxmlformats.org/officeDocument/2006/relationships/image" Target="media/image412.png"/><Relationship Id="rId430" Type="http://schemas.openxmlformats.org/officeDocument/2006/relationships/image" Target="media/image413.png"/><Relationship Id="rId431" Type="http://schemas.openxmlformats.org/officeDocument/2006/relationships/image" Target="media/image414.png"/><Relationship Id="rId432" Type="http://schemas.openxmlformats.org/officeDocument/2006/relationships/image" Target="media/image415.png"/><Relationship Id="rId433" Type="http://schemas.openxmlformats.org/officeDocument/2006/relationships/image" Target="media/image416.png"/><Relationship Id="rId386" Type="http://schemas.openxmlformats.org/officeDocument/2006/relationships/hyperlink" Target="https://www.sec.gov/Archives/edgar/data/0001856031/000119312521175583/d447259ds4.htm#ii447259_10" TargetMode="External"/><Relationship Id="rId387" Type="http://schemas.openxmlformats.org/officeDocument/2006/relationships/hyperlink" Target="https://www.sec.gov/Archives/edgar/data/1856031/000119312521175583/d447259dex22.htm" TargetMode="External"/><Relationship Id="rId388" Type="http://schemas.openxmlformats.org/officeDocument/2006/relationships/hyperlink" Target="https://www.sec.gov/Archives/edgar/data/0001856031/000095017021004585/seat-ex2_3.htm" TargetMode="External"/><Relationship Id="rId389" Type="http://schemas.openxmlformats.org/officeDocument/2006/relationships/hyperlink" Target="https://www.sec.gov/Archives/edgar/data/0001856031/000119312521305506/d216055dex31.htm" TargetMode="External"/><Relationship Id="rId390" Type="http://schemas.openxmlformats.org/officeDocument/2006/relationships/hyperlink" Target="https://www.sec.gov/Archives/edgar/data/1856031/000095017022008705/seat-ex3_2.htm" TargetMode="External"/><Relationship Id="rId391" Type="http://schemas.openxmlformats.org/officeDocument/2006/relationships/hyperlink" Target="https://www.sec.gov/Archives/edgar/data/0001856031/000119312521305506/d216055dex32.htm" TargetMode="External"/><Relationship Id="rId392" Type="http://schemas.openxmlformats.org/officeDocument/2006/relationships/hyperlink" Target="https://www.sec.gov/Archives/edgar/data/0001856031/000119312521305506/d216055dex107.htm" TargetMode="External"/><Relationship Id="rId393" Type="http://schemas.openxmlformats.org/officeDocument/2006/relationships/hyperlink" Target="https://www.sec.gov/Archives/edgar/data/1856031/000095017022003749/seat-ex4_2.htm" TargetMode="External"/><Relationship Id="rId394" Type="http://schemas.openxmlformats.org/officeDocument/2006/relationships/hyperlink" Target="https://www.sec.gov/Archives/edgar/data/1856031/000095017022003749/seat-ex4_3.htm" TargetMode="External"/><Relationship Id="rId395" Type="http://schemas.openxmlformats.org/officeDocument/2006/relationships/hyperlink" Target="https://www.sec.gov/Archives/edgar/data/1856031/000114036124030734/ef2003129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2024-08-06T06:26:14Z</dcterms:created>
  <dcterms:modified xsi:type="dcterms:W3CDTF">2024-08-06T06:26:14Z</dcterms:modified>
</cp:coreProperties>
</file>